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3000"/>
        </w:tabs>
        <w:spacing w:before="0" w:beforeLines="0" w:after="0" w:afterLines="0" w:line="240" w:lineRule="auto"/>
        <w:ind w:left="0" w:leftChars="0" w:right="0" w:rightChars="0" w:firstLine="0" w:firstLineChars="0"/>
        <w:jc w:val="left"/>
        <w:rPr>
          <w:rFonts w:hint="eastAsia" w:ascii="宋体" w:hAnsi="宋体" w:cstheme="minorBidi"/>
          <w:color w:val="auto"/>
          <w:kern w:val="2"/>
          <w:sz w:val="24"/>
          <w:szCs w:val="24"/>
          <w:lang w:val="en-US" w:eastAsia="zh-CN" w:bidi="ar-SA"/>
        </w:rPr>
      </w:pPr>
      <w:r>
        <w:rPr>
          <w:rFonts w:hint="eastAsia" w:ascii="宋体" w:hAnsi="宋体" w:cstheme="minorBidi"/>
          <w:color w:val="auto"/>
          <w:kern w:val="2"/>
          <w:sz w:val="24"/>
          <w:szCs w:val="24"/>
          <w:lang w:val="en-US" w:eastAsia="zh-CN" w:bidi="ar-SA"/>
        </w:rPr>
        <w:tab/>
      </w:r>
    </w:p>
    <w:p>
      <w:pPr>
        <w:bidi w:val="0"/>
        <w:rPr>
          <w:color w:val="auto"/>
          <w:lang w:val="en-US" w:eastAsia="zh-CN"/>
        </w:rPr>
      </w:pPr>
    </w:p>
    <w:p>
      <w:pPr>
        <w:tabs>
          <w:tab w:val="left" w:pos="2232"/>
        </w:tabs>
        <w:bidi w:val="0"/>
        <w:ind w:left="0" w:leftChars="0" w:firstLine="0" w:firstLineChars="0"/>
        <w:jc w:val="center"/>
        <w:rPr>
          <w:rFonts w:hint="eastAsia"/>
          <w:b/>
          <w:bCs/>
          <w:color w:val="auto"/>
          <w:sz w:val="44"/>
          <w:szCs w:val="44"/>
          <w:lang w:val="en-US" w:eastAsia="zh-CN"/>
        </w:rPr>
      </w:pPr>
      <w:r>
        <w:rPr>
          <w:rFonts w:hint="eastAsia"/>
          <w:b/>
          <w:bCs/>
          <w:color w:val="auto"/>
          <w:sz w:val="44"/>
          <w:szCs w:val="44"/>
          <w:lang w:val="en-US" w:eastAsia="zh-CN"/>
        </w:rPr>
        <w:t>第十四师皮山农场疾病预防控制中心建设项目</w:t>
      </w:r>
    </w:p>
    <w:p>
      <w:pPr>
        <w:pStyle w:val="2"/>
        <w:rPr>
          <w:rFonts w:hint="eastAsia"/>
          <w:color w:val="auto"/>
          <w:sz w:val="44"/>
          <w:szCs w:val="44"/>
          <w:lang w:val="en-US" w:eastAsia="zh-CN"/>
        </w:rPr>
      </w:pPr>
    </w:p>
    <w:p>
      <w:pPr>
        <w:keepNext w:val="0"/>
        <w:keepLines w:val="0"/>
        <w:widowControl/>
        <w:suppressLineNumbers w:val="0"/>
        <w:jc w:val="left"/>
        <w:rPr>
          <w:rFonts w:hint="eastAsia" w:ascii="宋体" w:hAnsi="宋体" w:eastAsia="宋体" w:cs="宋体"/>
          <w:b/>
          <w:bCs/>
          <w:color w:val="auto"/>
          <w:kern w:val="0"/>
          <w:sz w:val="72"/>
          <w:szCs w:val="72"/>
          <w:lang w:val="en-US" w:eastAsia="zh-CN" w:bidi="ar"/>
        </w:rPr>
      </w:pPr>
      <w:bookmarkStart w:id="167" w:name="_GoBack"/>
      <w:bookmarkEnd w:id="167"/>
    </w:p>
    <w:p>
      <w:pPr>
        <w:keepNext w:val="0"/>
        <w:keepLines w:val="0"/>
        <w:widowControl/>
        <w:suppressLineNumbers w:val="0"/>
        <w:jc w:val="left"/>
        <w:rPr>
          <w:rFonts w:hint="eastAsia" w:ascii="宋体" w:hAnsi="宋体" w:eastAsia="宋体" w:cs="宋体"/>
          <w:b/>
          <w:bCs/>
          <w:color w:val="auto"/>
          <w:kern w:val="0"/>
          <w:sz w:val="72"/>
          <w:szCs w:val="72"/>
          <w:lang w:val="en-US" w:eastAsia="zh-CN" w:bidi="ar"/>
        </w:rPr>
      </w:pPr>
    </w:p>
    <w:p>
      <w:pPr>
        <w:keepNext w:val="0"/>
        <w:keepLines w:val="0"/>
        <w:widowControl/>
        <w:suppressLineNumbers w:val="0"/>
        <w:jc w:val="left"/>
        <w:rPr>
          <w:color w:val="auto"/>
        </w:rPr>
      </w:pPr>
      <w:r>
        <w:rPr>
          <w:rFonts w:hint="eastAsia" w:ascii="宋体" w:hAnsi="宋体" w:eastAsia="宋体" w:cs="宋体"/>
          <w:b/>
          <w:bCs/>
          <w:color w:val="auto"/>
          <w:kern w:val="0"/>
          <w:sz w:val="72"/>
          <w:szCs w:val="72"/>
          <w:lang w:val="en-US" w:eastAsia="zh-CN" w:bidi="ar"/>
        </w:rPr>
        <w:t>环境影响报告书</w:t>
      </w:r>
    </w:p>
    <w:p>
      <w:pPr>
        <w:pStyle w:val="3"/>
        <w:rPr>
          <w:color w:val="auto"/>
          <w:lang w:val="en-US" w:eastAsia="zh-CN"/>
        </w:rPr>
      </w:pPr>
    </w:p>
    <w:p>
      <w:pPr>
        <w:pStyle w:val="3"/>
        <w:rPr>
          <w:color w:val="auto"/>
          <w:lang w:val="en-US" w:eastAsia="zh-CN"/>
        </w:rPr>
      </w:pPr>
    </w:p>
    <w:p>
      <w:pPr>
        <w:pStyle w:val="3"/>
        <w:rPr>
          <w:color w:val="auto"/>
          <w:lang w:val="en-US" w:eastAsia="zh-CN"/>
        </w:rPr>
      </w:pPr>
    </w:p>
    <w:p>
      <w:pPr>
        <w:keepNext w:val="0"/>
        <w:keepLines w:val="0"/>
        <w:widowControl/>
        <w:suppressLineNumbers w:val="0"/>
        <w:ind w:left="0" w:leftChars="0" w:firstLine="0" w:firstLineChars="0"/>
        <w:jc w:val="left"/>
        <w:rPr>
          <w:rFonts w:hint="eastAsia" w:ascii="宋体" w:hAnsi="宋体" w:eastAsia="宋体" w:cs="宋体"/>
          <w:b/>
          <w:bCs/>
          <w:color w:val="auto"/>
          <w:kern w:val="0"/>
          <w:sz w:val="31"/>
          <w:szCs w:val="31"/>
          <w:lang w:val="en-US" w:eastAsia="zh-CN" w:bidi="ar"/>
        </w:rPr>
      </w:pPr>
    </w:p>
    <w:p>
      <w:pPr>
        <w:keepNext w:val="0"/>
        <w:keepLines w:val="0"/>
        <w:widowControl/>
        <w:suppressLineNumbers w:val="0"/>
        <w:ind w:left="0" w:leftChars="0" w:firstLine="0" w:firstLineChars="0"/>
        <w:jc w:val="left"/>
        <w:rPr>
          <w:rFonts w:hint="eastAsia" w:ascii="宋体" w:hAnsi="宋体" w:eastAsia="宋体" w:cs="宋体"/>
          <w:b/>
          <w:bCs/>
          <w:color w:val="auto"/>
          <w:kern w:val="0"/>
          <w:sz w:val="31"/>
          <w:szCs w:val="31"/>
          <w:lang w:val="en-US" w:eastAsia="zh-CN" w:bidi="ar"/>
        </w:rPr>
      </w:pPr>
    </w:p>
    <w:p>
      <w:pPr>
        <w:keepNext w:val="0"/>
        <w:keepLines w:val="0"/>
        <w:widowControl/>
        <w:suppressLineNumbers w:val="0"/>
        <w:ind w:left="0" w:leftChars="0" w:firstLine="0" w:firstLineChars="0"/>
        <w:jc w:val="left"/>
        <w:rPr>
          <w:rFonts w:hint="eastAsia" w:ascii="宋体" w:hAnsi="宋体" w:eastAsia="宋体" w:cs="宋体"/>
          <w:b/>
          <w:bCs/>
          <w:color w:val="auto"/>
          <w:kern w:val="0"/>
          <w:sz w:val="31"/>
          <w:szCs w:val="31"/>
          <w:lang w:val="en-US" w:eastAsia="zh-CN" w:bidi="ar"/>
        </w:rPr>
      </w:pPr>
    </w:p>
    <w:p>
      <w:pPr>
        <w:keepNext w:val="0"/>
        <w:keepLines w:val="0"/>
        <w:widowControl/>
        <w:suppressLineNumbers w:val="0"/>
        <w:ind w:left="0" w:leftChars="0" w:firstLine="0" w:firstLineChars="0"/>
        <w:jc w:val="left"/>
        <w:rPr>
          <w:rFonts w:hint="eastAsia" w:ascii="宋体" w:hAnsi="宋体" w:eastAsia="宋体" w:cs="宋体"/>
          <w:b/>
          <w:bCs/>
          <w:color w:val="auto"/>
          <w:kern w:val="0"/>
          <w:sz w:val="31"/>
          <w:szCs w:val="31"/>
          <w:lang w:val="en-US" w:eastAsia="zh-CN" w:bidi="ar"/>
        </w:rPr>
      </w:pPr>
    </w:p>
    <w:p>
      <w:pPr>
        <w:keepNext w:val="0"/>
        <w:keepLines w:val="0"/>
        <w:widowControl/>
        <w:suppressLineNumbers w:val="0"/>
        <w:ind w:left="0" w:leftChars="0" w:firstLine="0" w:firstLineChars="0"/>
        <w:jc w:val="center"/>
        <w:rPr>
          <w:rFonts w:hint="eastAsia" w:ascii="宋体" w:hAnsi="宋体" w:eastAsia="宋体" w:cs="宋体"/>
          <w:b/>
          <w:bCs/>
          <w:color w:val="auto"/>
          <w:kern w:val="0"/>
          <w:sz w:val="28"/>
          <w:szCs w:val="28"/>
          <w:lang w:val="en-US" w:eastAsia="zh-CN" w:bidi="ar"/>
        </w:rPr>
      </w:pPr>
      <w:r>
        <w:rPr>
          <w:rFonts w:hint="eastAsia" w:ascii="宋体" w:hAnsi="宋体" w:eastAsia="宋体" w:cs="宋体"/>
          <w:b/>
          <w:bCs/>
          <w:color w:val="auto"/>
          <w:kern w:val="0"/>
          <w:sz w:val="28"/>
          <w:szCs w:val="28"/>
          <w:lang w:val="en-US" w:eastAsia="zh-CN" w:bidi="ar"/>
        </w:rPr>
        <w:t>建设单位（盖章）</w:t>
      </w:r>
      <w:r>
        <w:rPr>
          <w:rFonts w:ascii="TimesNewRomanPS-BoldMT" w:hAnsi="TimesNewRomanPS-BoldMT" w:eastAsia="TimesNewRomanPS-BoldMT" w:cs="TimesNewRomanPS-BoldMT"/>
          <w:b/>
          <w:bCs/>
          <w:color w:val="auto"/>
          <w:kern w:val="0"/>
          <w:sz w:val="28"/>
          <w:szCs w:val="28"/>
          <w:lang w:val="en-US" w:eastAsia="zh-CN" w:bidi="ar"/>
        </w:rPr>
        <w:t>:</w:t>
      </w:r>
      <w:r>
        <w:rPr>
          <w:rFonts w:hint="eastAsia" w:ascii="宋体" w:hAnsi="宋体" w:eastAsia="宋体" w:cs="宋体"/>
          <w:b/>
          <w:bCs/>
          <w:color w:val="auto"/>
          <w:kern w:val="0"/>
          <w:sz w:val="28"/>
          <w:szCs w:val="28"/>
          <w:lang w:val="en-US" w:eastAsia="zh-CN" w:bidi="ar"/>
        </w:rPr>
        <w:t>新疆生产建设兵团第十四师卫生健康委员会</w:t>
      </w:r>
    </w:p>
    <w:p>
      <w:pPr>
        <w:keepNext w:val="0"/>
        <w:keepLines w:val="0"/>
        <w:widowControl/>
        <w:suppressLineNumbers w:val="0"/>
        <w:ind w:left="0" w:leftChars="0" w:firstLine="0" w:firstLineChars="0"/>
        <w:jc w:val="center"/>
        <w:rPr>
          <w:color w:val="auto"/>
          <w:sz w:val="28"/>
          <w:szCs w:val="28"/>
        </w:rPr>
      </w:pPr>
      <w:r>
        <w:rPr>
          <w:rFonts w:hint="eastAsia" w:ascii="宋体" w:hAnsi="宋体" w:eastAsia="宋体" w:cs="宋体"/>
          <w:b/>
          <w:bCs/>
          <w:color w:val="auto"/>
          <w:kern w:val="0"/>
          <w:sz w:val="28"/>
          <w:szCs w:val="28"/>
          <w:lang w:val="en-US" w:eastAsia="zh-CN" w:bidi="ar"/>
        </w:rPr>
        <w:t>编制单位：石河子市鑫海旺工程咨询有限公司</w:t>
      </w:r>
    </w:p>
    <w:p>
      <w:pPr>
        <w:keepNext w:val="0"/>
        <w:keepLines w:val="0"/>
        <w:widowControl/>
        <w:suppressLineNumbers w:val="0"/>
        <w:jc w:val="center"/>
        <w:rPr>
          <w:color w:val="auto"/>
          <w:sz w:val="28"/>
          <w:szCs w:val="28"/>
        </w:rPr>
      </w:pPr>
      <w:r>
        <w:rPr>
          <w:rFonts w:hint="eastAsia" w:ascii="宋体" w:hAnsi="宋体" w:eastAsia="宋体" w:cs="宋体"/>
          <w:b/>
          <w:bCs/>
          <w:color w:val="auto"/>
          <w:kern w:val="0"/>
          <w:sz w:val="28"/>
          <w:szCs w:val="28"/>
          <w:lang w:val="en-US" w:eastAsia="zh-CN" w:bidi="ar"/>
        </w:rPr>
        <w:t>编制时间：二〇二二年四月</w:t>
      </w:r>
    </w:p>
    <w:p>
      <w:pPr>
        <w:pStyle w:val="3"/>
        <w:rPr>
          <w:color w:val="auto"/>
          <w:lang w:val="en-US" w:eastAsia="zh-CN"/>
        </w:rPr>
        <w:sectPr>
          <w:headerReference r:id="rId5" w:type="default"/>
          <w:footerReference r:id="rId6" w:type="default"/>
          <w:pgSz w:w="11906" w:h="16838"/>
          <w:pgMar w:top="1440" w:right="1800" w:bottom="1440" w:left="1800" w:header="1020" w:footer="992" w:gutter="0"/>
          <w:pgBorders>
            <w:top w:val="none" w:sz="0" w:space="0"/>
            <w:left w:val="none" w:sz="0" w:space="0"/>
            <w:bottom w:val="none" w:sz="0" w:space="0"/>
            <w:right w:val="none" w:sz="0" w:space="0"/>
          </w:pgBorders>
          <w:pgNumType w:fmt="decimal" w:start="71"/>
          <w:cols w:space="425" w:num="1"/>
          <w:titlePg/>
          <w:docGrid w:type="lines" w:linePitch="312" w:charSpace="0"/>
        </w:sectPr>
      </w:pPr>
    </w:p>
    <w:p>
      <w:pPr>
        <w:pStyle w:val="2"/>
        <w:rPr>
          <w:color w:val="auto"/>
          <w:lang w:val="en-US" w:eastAsia="zh-CN"/>
        </w:rPr>
        <w:sectPr>
          <w:pgSz w:w="11906" w:h="16838"/>
          <w:pgMar w:top="1440" w:right="1800" w:bottom="1440" w:left="1800" w:header="1020" w:footer="992" w:gutter="0"/>
          <w:pgBorders>
            <w:top w:val="none" w:sz="0" w:space="0"/>
            <w:left w:val="none" w:sz="0" w:space="0"/>
            <w:bottom w:val="none" w:sz="0" w:space="0"/>
            <w:right w:val="none" w:sz="0" w:space="0"/>
          </w:pgBorders>
          <w:pgNumType w:fmt="decimal" w:start="71"/>
          <w:cols w:space="425" w:num="1"/>
          <w:titlePg/>
          <w:docGrid w:type="lines" w:linePitch="312" w:charSpace="0"/>
        </w:sectPr>
      </w:pPr>
    </w:p>
    <w:sdt>
      <w:sdtPr>
        <w:rPr>
          <w:rFonts w:ascii="宋体" w:hAnsi="宋体" w:eastAsia="宋体" w:cstheme="minorBidi"/>
          <w:color w:val="auto"/>
          <w:kern w:val="2"/>
          <w:sz w:val="24"/>
          <w:szCs w:val="24"/>
          <w:lang w:val="en-US" w:eastAsia="zh-CN" w:bidi="ar-SA"/>
        </w:rPr>
        <w:id w:val="147472536"/>
        <w15:color w:val="DBDBDB"/>
        <w:docPartObj>
          <w:docPartGallery w:val="Table of Contents"/>
          <w:docPartUnique/>
        </w:docPartObj>
      </w:sdtPr>
      <w:sdtEndPr>
        <w:rPr>
          <w:rFonts w:ascii="宋体" w:hAnsi="宋体" w:eastAsia="宋体" w:cstheme="minorBidi"/>
          <w:color w:val="auto"/>
          <w:kern w:val="2"/>
          <w:sz w:val="24"/>
          <w:szCs w:val="24"/>
          <w:lang w:val="en-US" w:eastAsia="zh-CN" w:bidi="ar-SA"/>
        </w:rPr>
      </w:sdtEndPr>
      <w:sdtContent>
        <w:p>
          <w:pPr>
            <w:spacing w:before="0" w:beforeLines="0" w:after="0" w:afterLines="0" w:line="240" w:lineRule="auto"/>
            <w:ind w:left="0" w:leftChars="0" w:right="0" w:rightChars="0" w:firstLine="0" w:firstLineChars="0"/>
            <w:jc w:val="center"/>
            <w:rPr>
              <w:color w:val="auto"/>
              <w:sz w:val="24"/>
              <w:szCs w:val="24"/>
            </w:rPr>
          </w:pPr>
          <w:r>
            <w:rPr>
              <w:rFonts w:ascii="宋体" w:hAnsi="宋体" w:eastAsia="宋体"/>
              <w:b/>
              <w:bCs/>
              <w:color w:val="auto"/>
              <w:sz w:val="24"/>
              <w:szCs w:val="24"/>
            </w:rPr>
            <w:t>目录</w:t>
          </w:r>
        </w:p>
        <w:p>
          <w:pPr>
            <w:pStyle w:val="14"/>
            <w:tabs>
              <w:tab w:val="right" w:leader="dot" w:pos="8306"/>
            </w:tabs>
            <w:rPr>
              <w:color w:val="auto"/>
            </w:rPr>
          </w:pPr>
          <w:r>
            <w:rPr>
              <w:color w:val="auto"/>
              <w:sz w:val="21"/>
              <w:szCs w:val="21"/>
            </w:rPr>
            <w:fldChar w:fldCharType="begin"/>
          </w:r>
          <w:r>
            <w:rPr>
              <w:color w:val="auto"/>
              <w:sz w:val="21"/>
              <w:szCs w:val="21"/>
            </w:rPr>
            <w:instrText xml:space="preserve">TOC \o "1-3" \h \u </w:instrText>
          </w:r>
          <w:r>
            <w:rPr>
              <w:color w:val="auto"/>
              <w:sz w:val="21"/>
              <w:szCs w:val="21"/>
            </w:rPr>
            <w:fldChar w:fldCharType="separate"/>
          </w:r>
          <w:r>
            <w:rPr>
              <w:color w:val="auto"/>
              <w:szCs w:val="21"/>
            </w:rPr>
            <w:fldChar w:fldCharType="begin"/>
          </w:r>
          <w:r>
            <w:rPr>
              <w:color w:val="auto"/>
              <w:szCs w:val="21"/>
            </w:rPr>
            <w:instrText xml:space="preserve"> HYPERLINK \l _Toc10787 </w:instrText>
          </w:r>
          <w:r>
            <w:rPr>
              <w:color w:val="auto"/>
              <w:szCs w:val="21"/>
            </w:rPr>
            <w:fldChar w:fldCharType="separate"/>
          </w:r>
          <w:r>
            <w:rPr>
              <w:rFonts w:hint="eastAsia"/>
              <w:color w:val="auto"/>
              <w:lang w:val="en-US" w:eastAsia="zh-CN"/>
            </w:rPr>
            <w:t>1概述</w:t>
          </w:r>
          <w:r>
            <w:rPr>
              <w:color w:val="auto"/>
            </w:rPr>
            <w:tab/>
          </w:r>
          <w:r>
            <w:rPr>
              <w:color w:val="auto"/>
            </w:rPr>
            <w:fldChar w:fldCharType="begin"/>
          </w:r>
          <w:r>
            <w:rPr>
              <w:color w:val="auto"/>
            </w:rPr>
            <w:instrText xml:space="preserve"> PAGEREF _Toc10787 \h </w:instrText>
          </w:r>
          <w:r>
            <w:rPr>
              <w:color w:val="auto"/>
            </w:rPr>
            <w:fldChar w:fldCharType="separate"/>
          </w:r>
          <w:r>
            <w:rPr>
              <w:color w:val="auto"/>
            </w:rPr>
            <w:t>1</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_Toc2308 </w:instrText>
          </w:r>
          <w:r>
            <w:rPr>
              <w:color w:val="auto"/>
              <w:szCs w:val="21"/>
            </w:rPr>
            <w:fldChar w:fldCharType="separate"/>
          </w:r>
          <w:r>
            <w:rPr>
              <w:rFonts w:hint="eastAsia"/>
              <w:color w:val="auto"/>
              <w:lang w:val="en-US" w:eastAsia="zh-CN"/>
            </w:rPr>
            <w:t>1.1项目特点</w:t>
          </w:r>
          <w:r>
            <w:rPr>
              <w:color w:val="auto"/>
            </w:rPr>
            <w:tab/>
          </w:r>
          <w:r>
            <w:rPr>
              <w:color w:val="auto"/>
            </w:rPr>
            <w:fldChar w:fldCharType="begin"/>
          </w:r>
          <w:r>
            <w:rPr>
              <w:color w:val="auto"/>
            </w:rPr>
            <w:instrText xml:space="preserve"> PAGEREF _Toc2308 \h </w:instrText>
          </w:r>
          <w:r>
            <w:rPr>
              <w:color w:val="auto"/>
            </w:rPr>
            <w:fldChar w:fldCharType="separate"/>
          </w:r>
          <w:r>
            <w:rPr>
              <w:color w:val="auto"/>
            </w:rPr>
            <w:t>1</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_Toc5524 </w:instrText>
          </w:r>
          <w:r>
            <w:rPr>
              <w:color w:val="auto"/>
              <w:szCs w:val="21"/>
            </w:rPr>
            <w:fldChar w:fldCharType="separate"/>
          </w:r>
          <w:r>
            <w:rPr>
              <w:rFonts w:hint="eastAsia"/>
              <w:color w:val="auto"/>
              <w:lang w:val="en-US" w:eastAsia="zh-CN"/>
            </w:rPr>
            <w:t>1.2环境影响评价过程</w:t>
          </w:r>
          <w:r>
            <w:rPr>
              <w:color w:val="auto"/>
            </w:rPr>
            <w:tab/>
          </w:r>
          <w:r>
            <w:rPr>
              <w:color w:val="auto"/>
            </w:rPr>
            <w:fldChar w:fldCharType="begin"/>
          </w:r>
          <w:r>
            <w:rPr>
              <w:color w:val="auto"/>
            </w:rPr>
            <w:instrText xml:space="preserve"> PAGEREF _Toc5524 \h </w:instrText>
          </w:r>
          <w:r>
            <w:rPr>
              <w:color w:val="auto"/>
            </w:rPr>
            <w:fldChar w:fldCharType="separate"/>
          </w:r>
          <w:r>
            <w:rPr>
              <w:color w:val="auto"/>
            </w:rPr>
            <w:t>2</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_Toc16123 </w:instrText>
          </w:r>
          <w:r>
            <w:rPr>
              <w:color w:val="auto"/>
              <w:szCs w:val="21"/>
            </w:rPr>
            <w:fldChar w:fldCharType="separate"/>
          </w:r>
          <w:r>
            <w:rPr>
              <w:rFonts w:hint="eastAsia"/>
              <w:color w:val="auto"/>
              <w:lang w:val="en-US" w:eastAsia="zh-CN"/>
            </w:rPr>
            <w:t>1.3分析判定情况</w:t>
          </w:r>
          <w:r>
            <w:rPr>
              <w:color w:val="auto"/>
            </w:rPr>
            <w:tab/>
          </w:r>
          <w:r>
            <w:rPr>
              <w:color w:val="auto"/>
            </w:rPr>
            <w:fldChar w:fldCharType="begin"/>
          </w:r>
          <w:r>
            <w:rPr>
              <w:color w:val="auto"/>
            </w:rPr>
            <w:instrText xml:space="preserve"> PAGEREF _Toc16123 \h </w:instrText>
          </w:r>
          <w:r>
            <w:rPr>
              <w:color w:val="auto"/>
            </w:rPr>
            <w:fldChar w:fldCharType="separate"/>
          </w:r>
          <w:r>
            <w:rPr>
              <w:color w:val="auto"/>
            </w:rPr>
            <w:t>2</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_Toc13680 </w:instrText>
          </w:r>
          <w:r>
            <w:rPr>
              <w:color w:val="auto"/>
              <w:szCs w:val="21"/>
            </w:rPr>
            <w:fldChar w:fldCharType="separate"/>
          </w:r>
          <w:r>
            <w:rPr>
              <w:rFonts w:hint="eastAsia"/>
              <w:color w:val="auto"/>
              <w:lang w:val="en-US" w:eastAsia="zh-CN"/>
            </w:rPr>
            <w:t>1.4项目关注的主要环境问题</w:t>
          </w:r>
          <w:r>
            <w:rPr>
              <w:color w:val="auto"/>
            </w:rPr>
            <w:tab/>
          </w:r>
          <w:r>
            <w:rPr>
              <w:color w:val="auto"/>
            </w:rPr>
            <w:fldChar w:fldCharType="begin"/>
          </w:r>
          <w:r>
            <w:rPr>
              <w:color w:val="auto"/>
            </w:rPr>
            <w:instrText xml:space="preserve"> PAGEREF _Toc13680 \h </w:instrText>
          </w:r>
          <w:r>
            <w:rPr>
              <w:color w:val="auto"/>
            </w:rPr>
            <w:fldChar w:fldCharType="separate"/>
          </w:r>
          <w:r>
            <w:rPr>
              <w:color w:val="auto"/>
            </w:rPr>
            <w:t>3</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_Toc6723 </w:instrText>
          </w:r>
          <w:r>
            <w:rPr>
              <w:color w:val="auto"/>
              <w:szCs w:val="21"/>
            </w:rPr>
            <w:fldChar w:fldCharType="separate"/>
          </w:r>
          <w:r>
            <w:rPr>
              <w:rFonts w:hint="default"/>
              <w:color w:val="auto"/>
              <w:lang w:val="en-US" w:eastAsia="zh-CN"/>
            </w:rPr>
            <w:t>1.5</w:t>
          </w:r>
          <w:r>
            <w:rPr>
              <w:rFonts w:hint="eastAsia"/>
              <w:color w:val="auto"/>
              <w:lang w:val="en-US" w:eastAsia="zh-CN"/>
            </w:rPr>
            <w:t>环境影响评价的主要结论</w:t>
          </w:r>
          <w:r>
            <w:rPr>
              <w:color w:val="auto"/>
            </w:rPr>
            <w:tab/>
          </w:r>
          <w:r>
            <w:rPr>
              <w:color w:val="auto"/>
            </w:rPr>
            <w:fldChar w:fldCharType="begin"/>
          </w:r>
          <w:r>
            <w:rPr>
              <w:color w:val="auto"/>
            </w:rPr>
            <w:instrText xml:space="preserve"> PAGEREF _Toc6723 \h </w:instrText>
          </w:r>
          <w:r>
            <w:rPr>
              <w:color w:val="auto"/>
            </w:rPr>
            <w:fldChar w:fldCharType="separate"/>
          </w:r>
          <w:r>
            <w:rPr>
              <w:color w:val="auto"/>
            </w:rPr>
            <w:t>3</w:t>
          </w:r>
          <w:r>
            <w:rPr>
              <w:color w:val="auto"/>
            </w:rPr>
            <w:fldChar w:fldCharType="end"/>
          </w:r>
          <w:r>
            <w:rPr>
              <w:color w:val="auto"/>
              <w:szCs w:val="21"/>
            </w:rPr>
            <w:fldChar w:fldCharType="end"/>
          </w:r>
        </w:p>
        <w:p>
          <w:pPr>
            <w:pStyle w:val="14"/>
            <w:tabs>
              <w:tab w:val="right" w:leader="dot" w:pos="8306"/>
            </w:tabs>
            <w:rPr>
              <w:color w:val="auto"/>
            </w:rPr>
          </w:pPr>
          <w:r>
            <w:rPr>
              <w:color w:val="auto"/>
              <w:szCs w:val="21"/>
            </w:rPr>
            <w:fldChar w:fldCharType="begin"/>
          </w:r>
          <w:r>
            <w:rPr>
              <w:color w:val="auto"/>
              <w:szCs w:val="21"/>
            </w:rPr>
            <w:instrText xml:space="preserve"> HYPERLINK \l _Toc29351 </w:instrText>
          </w:r>
          <w:r>
            <w:rPr>
              <w:color w:val="auto"/>
              <w:szCs w:val="21"/>
            </w:rPr>
            <w:fldChar w:fldCharType="separate"/>
          </w:r>
          <w:r>
            <w:rPr>
              <w:rFonts w:hint="eastAsia"/>
              <w:color w:val="auto"/>
              <w:lang w:val="en-US" w:eastAsia="zh-CN"/>
            </w:rPr>
            <w:t>2总则</w:t>
          </w:r>
          <w:r>
            <w:rPr>
              <w:color w:val="auto"/>
            </w:rPr>
            <w:tab/>
          </w:r>
          <w:r>
            <w:rPr>
              <w:color w:val="auto"/>
            </w:rPr>
            <w:fldChar w:fldCharType="begin"/>
          </w:r>
          <w:r>
            <w:rPr>
              <w:color w:val="auto"/>
            </w:rPr>
            <w:instrText xml:space="preserve"> PAGEREF _Toc29351 \h </w:instrText>
          </w:r>
          <w:r>
            <w:rPr>
              <w:color w:val="auto"/>
            </w:rPr>
            <w:fldChar w:fldCharType="separate"/>
          </w:r>
          <w:r>
            <w:rPr>
              <w:color w:val="auto"/>
            </w:rPr>
            <w:t>4</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_Toc30356 </w:instrText>
          </w:r>
          <w:r>
            <w:rPr>
              <w:color w:val="auto"/>
              <w:szCs w:val="21"/>
            </w:rPr>
            <w:fldChar w:fldCharType="separate"/>
          </w:r>
          <w:r>
            <w:rPr>
              <w:rFonts w:hint="eastAsia"/>
              <w:color w:val="auto"/>
              <w:lang w:val="en-US" w:eastAsia="zh-CN"/>
            </w:rPr>
            <w:t>2.1评价目的和原则</w:t>
          </w:r>
          <w:r>
            <w:rPr>
              <w:color w:val="auto"/>
            </w:rPr>
            <w:tab/>
          </w:r>
          <w:r>
            <w:rPr>
              <w:color w:val="auto"/>
            </w:rPr>
            <w:fldChar w:fldCharType="begin"/>
          </w:r>
          <w:r>
            <w:rPr>
              <w:color w:val="auto"/>
            </w:rPr>
            <w:instrText xml:space="preserve"> PAGEREF _Toc30356 \h </w:instrText>
          </w:r>
          <w:r>
            <w:rPr>
              <w:color w:val="auto"/>
            </w:rPr>
            <w:fldChar w:fldCharType="separate"/>
          </w:r>
          <w:r>
            <w:rPr>
              <w:color w:val="auto"/>
            </w:rPr>
            <w:t>4</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_Toc7790 </w:instrText>
          </w:r>
          <w:r>
            <w:rPr>
              <w:color w:val="auto"/>
              <w:szCs w:val="21"/>
            </w:rPr>
            <w:fldChar w:fldCharType="separate"/>
          </w:r>
          <w:r>
            <w:rPr>
              <w:rFonts w:hint="eastAsia"/>
              <w:color w:val="auto"/>
              <w:lang w:val="en-US" w:eastAsia="zh-CN"/>
            </w:rPr>
            <w:t>2.1.1评价目的</w:t>
          </w:r>
          <w:r>
            <w:rPr>
              <w:color w:val="auto"/>
            </w:rPr>
            <w:tab/>
          </w:r>
          <w:r>
            <w:rPr>
              <w:color w:val="auto"/>
            </w:rPr>
            <w:fldChar w:fldCharType="begin"/>
          </w:r>
          <w:r>
            <w:rPr>
              <w:color w:val="auto"/>
            </w:rPr>
            <w:instrText xml:space="preserve"> PAGEREF _Toc7790 \h </w:instrText>
          </w:r>
          <w:r>
            <w:rPr>
              <w:color w:val="auto"/>
            </w:rPr>
            <w:fldChar w:fldCharType="separate"/>
          </w:r>
          <w:r>
            <w:rPr>
              <w:color w:val="auto"/>
            </w:rPr>
            <w:t>4</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_Toc15147 </w:instrText>
          </w:r>
          <w:r>
            <w:rPr>
              <w:color w:val="auto"/>
              <w:szCs w:val="21"/>
            </w:rPr>
            <w:fldChar w:fldCharType="separate"/>
          </w:r>
          <w:r>
            <w:rPr>
              <w:rFonts w:hint="eastAsia"/>
              <w:color w:val="auto"/>
              <w:lang w:val="en-US" w:eastAsia="zh-CN"/>
            </w:rPr>
            <w:t>2.1.2评价原则分析</w:t>
          </w:r>
          <w:r>
            <w:rPr>
              <w:color w:val="auto"/>
            </w:rPr>
            <w:tab/>
          </w:r>
          <w:r>
            <w:rPr>
              <w:color w:val="auto"/>
            </w:rPr>
            <w:fldChar w:fldCharType="begin"/>
          </w:r>
          <w:r>
            <w:rPr>
              <w:color w:val="auto"/>
            </w:rPr>
            <w:instrText xml:space="preserve"> PAGEREF _Toc15147 \h </w:instrText>
          </w:r>
          <w:r>
            <w:rPr>
              <w:color w:val="auto"/>
            </w:rPr>
            <w:fldChar w:fldCharType="separate"/>
          </w:r>
          <w:r>
            <w:rPr>
              <w:color w:val="auto"/>
            </w:rPr>
            <w:t>4</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_Toc23173 </w:instrText>
          </w:r>
          <w:r>
            <w:rPr>
              <w:color w:val="auto"/>
              <w:szCs w:val="21"/>
            </w:rPr>
            <w:fldChar w:fldCharType="separate"/>
          </w:r>
          <w:r>
            <w:rPr>
              <w:rFonts w:hint="eastAsia"/>
              <w:color w:val="auto"/>
              <w:lang w:val="en-US" w:eastAsia="zh-CN"/>
            </w:rPr>
            <w:t>2.2评价工作程序</w:t>
          </w:r>
          <w:r>
            <w:rPr>
              <w:color w:val="auto"/>
            </w:rPr>
            <w:tab/>
          </w:r>
          <w:r>
            <w:rPr>
              <w:color w:val="auto"/>
            </w:rPr>
            <w:fldChar w:fldCharType="begin"/>
          </w:r>
          <w:r>
            <w:rPr>
              <w:color w:val="auto"/>
            </w:rPr>
            <w:instrText xml:space="preserve"> PAGEREF _Toc23173 \h </w:instrText>
          </w:r>
          <w:r>
            <w:rPr>
              <w:color w:val="auto"/>
            </w:rPr>
            <w:fldChar w:fldCharType="separate"/>
          </w:r>
          <w:r>
            <w:rPr>
              <w:color w:val="auto"/>
            </w:rPr>
            <w:t>4</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_Toc17521 </w:instrText>
          </w:r>
          <w:r>
            <w:rPr>
              <w:color w:val="auto"/>
              <w:szCs w:val="21"/>
            </w:rPr>
            <w:fldChar w:fldCharType="separate"/>
          </w:r>
          <w:r>
            <w:rPr>
              <w:rFonts w:hint="eastAsia"/>
              <w:color w:val="auto"/>
              <w:lang w:val="en-US" w:eastAsia="zh-CN"/>
            </w:rPr>
            <w:t>2.3编制依据</w:t>
          </w:r>
          <w:r>
            <w:rPr>
              <w:color w:val="auto"/>
            </w:rPr>
            <w:tab/>
          </w:r>
          <w:r>
            <w:rPr>
              <w:color w:val="auto"/>
            </w:rPr>
            <w:fldChar w:fldCharType="begin"/>
          </w:r>
          <w:r>
            <w:rPr>
              <w:color w:val="auto"/>
            </w:rPr>
            <w:instrText xml:space="preserve"> PAGEREF _Toc17521 \h </w:instrText>
          </w:r>
          <w:r>
            <w:rPr>
              <w:color w:val="auto"/>
            </w:rPr>
            <w:fldChar w:fldCharType="separate"/>
          </w:r>
          <w:r>
            <w:rPr>
              <w:color w:val="auto"/>
            </w:rPr>
            <w:t>5</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_Toc29876 </w:instrText>
          </w:r>
          <w:r>
            <w:rPr>
              <w:color w:val="auto"/>
              <w:szCs w:val="21"/>
            </w:rPr>
            <w:fldChar w:fldCharType="separate"/>
          </w:r>
          <w:r>
            <w:rPr>
              <w:rFonts w:hint="eastAsia"/>
              <w:color w:val="auto"/>
              <w:lang w:val="en-US" w:eastAsia="zh-CN"/>
            </w:rPr>
            <w:t>2.3.1环境保护法律、法规及有关规定</w:t>
          </w:r>
          <w:r>
            <w:rPr>
              <w:color w:val="auto"/>
            </w:rPr>
            <w:tab/>
          </w:r>
          <w:r>
            <w:rPr>
              <w:color w:val="auto"/>
            </w:rPr>
            <w:fldChar w:fldCharType="begin"/>
          </w:r>
          <w:r>
            <w:rPr>
              <w:color w:val="auto"/>
            </w:rPr>
            <w:instrText xml:space="preserve"> PAGEREF _Toc29876 \h </w:instrText>
          </w:r>
          <w:r>
            <w:rPr>
              <w:color w:val="auto"/>
            </w:rPr>
            <w:fldChar w:fldCharType="separate"/>
          </w:r>
          <w:r>
            <w:rPr>
              <w:color w:val="auto"/>
            </w:rPr>
            <w:t>5</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_Toc2055 </w:instrText>
          </w:r>
          <w:r>
            <w:rPr>
              <w:color w:val="auto"/>
              <w:szCs w:val="21"/>
            </w:rPr>
            <w:fldChar w:fldCharType="separate"/>
          </w:r>
          <w:r>
            <w:rPr>
              <w:rFonts w:hint="eastAsia"/>
              <w:color w:val="auto"/>
              <w:lang w:val="en-US" w:eastAsia="zh-CN"/>
            </w:rPr>
            <w:t>2.3.2环评导则及有关技术条件</w:t>
          </w:r>
          <w:r>
            <w:rPr>
              <w:color w:val="auto"/>
            </w:rPr>
            <w:tab/>
          </w:r>
          <w:r>
            <w:rPr>
              <w:color w:val="auto"/>
            </w:rPr>
            <w:fldChar w:fldCharType="begin"/>
          </w:r>
          <w:r>
            <w:rPr>
              <w:color w:val="auto"/>
            </w:rPr>
            <w:instrText xml:space="preserve"> PAGEREF _Toc2055 \h </w:instrText>
          </w:r>
          <w:r>
            <w:rPr>
              <w:color w:val="auto"/>
            </w:rPr>
            <w:fldChar w:fldCharType="separate"/>
          </w:r>
          <w:r>
            <w:rPr>
              <w:color w:val="auto"/>
            </w:rPr>
            <w:t>7</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_Toc22307 </w:instrText>
          </w:r>
          <w:r>
            <w:rPr>
              <w:color w:val="auto"/>
              <w:szCs w:val="21"/>
            </w:rPr>
            <w:fldChar w:fldCharType="separate"/>
          </w:r>
          <w:r>
            <w:rPr>
              <w:rFonts w:hint="eastAsia"/>
              <w:color w:val="auto"/>
              <w:lang w:val="en-US" w:eastAsia="zh-CN"/>
            </w:rPr>
            <w:t>2.3.3建设项目有关资料</w:t>
          </w:r>
          <w:r>
            <w:rPr>
              <w:color w:val="auto"/>
            </w:rPr>
            <w:tab/>
          </w:r>
          <w:r>
            <w:rPr>
              <w:color w:val="auto"/>
            </w:rPr>
            <w:fldChar w:fldCharType="begin"/>
          </w:r>
          <w:r>
            <w:rPr>
              <w:color w:val="auto"/>
            </w:rPr>
            <w:instrText xml:space="preserve"> PAGEREF _Toc22307 \h </w:instrText>
          </w:r>
          <w:r>
            <w:rPr>
              <w:color w:val="auto"/>
            </w:rPr>
            <w:fldChar w:fldCharType="separate"/>
          </w:r>
          <w:r>
            <w:rPr>
              <w:color w:val="auto"/>
            </w:rPr>
            <w:t>8</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_Toc11845 </w:instrText>
          </w:r>
          <w:r>
            <w:rPr>
              <w:color w:val="auto"/>
              <w:szCs w:val="21"/>
            </w:rPr>
            <w:fldChar w:fldCharType="separate"/>
          </w:r>
          <w:r>
            <w:rPr>
              <w:rFonts w:hint="default"/>
              <w:color w:val="auto"/>
              <w:lang w:val="en-US" w:eastAsia="zh-CN"/>
            </w:rPr>
            <w:t>2.4</w:t>
          </w:r>
          <w:r>
            <w:rPr>
              <w:rFonts w:hint="eastAsia"/>
              <w:color w:val="auto"/>
              <w:lang w:val="en-US" w:eastAsia="zh-CN"/>
            </w:rPr>
            <w:t>环境影响因素识别与评价因子筛选</w:t>
          </w:r>
          <w:r>
            <w:rPr>
              <w:color w:val="auto"/>
            </w:rPr>
            <w:tab/>
          </w:r>
          <w:r>
            <w:rPr>
              <w:color w:val="auto"/>
            </w:rPr>
            <w:fldChar w:fldCharType="begin"/>
          </w:r>
          <w:r>
            <w:rPr>
              <w:color w:val="auto"/>
            </w:rPr>
            <w:instrText xml:space="preserve"> PAGEREF _Toc11845 \h </w:instrText>
          </w:r>
          <w:r>
            <w:rPr>
              <w:color w:val="auto"/>
            </w:rPr>
            <w:fldChar w:fldCharType="separate"/>
          </w:r>
          <w:r>
            <w:rPr>
              <w:color w:val="auto"/>
            </w:rPr>
            <w:t>8</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_Toc31860 </w:instrText>
          </w:r>
          <w:r>
            <w:rPr>
              <w:color w:val="auto"/>
              <w:szCs w:val="21"/>
            </w:rPr>
            <w:fldChar w:fldCharType="separate"/>
          </w:r>
          <w:r>
            <w:rPr>
              <w:rFonts w:hint="eastAsia"/>
              <w:color w:val="auto"/>
              <w:lang w:val="en-US" w:eastAsia="zh-CN"/>
            </w:rPr>
            <w:t>2.4.1环境影响因素识别</w:t>
          </w:r>
          <w:r>
            <w:rPr>
              <w:color w:val="auto"/>
            </w:rPr>
            <w:tab/>
          </w:r>
          <w:r>
            <w:rPr>
              <w:color w:val="auto"/>
            </w:rPr>
            <w:fldChar w:fldCharType="begin"/>
          </w:r>
          <w:r>
            <w:rPr>
              <w:color w:val="auto"/>
            </w:rPr>
            <w:instrText xml:space="preserve"> PAGEREF _Toc31860 \h </w:instrText>
          </w:r>
          <w:r>
            <w:rPr>
              <w:color w:val="auto"/>
            </w:rPr>
            <w:fldChar w:fldCharType="separate"/>
          </w:r>
          <w:r>
            <w:rPr>
              <w:color w:val="auto"/>
            </w:rPr>
            <w:t>8</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_Toc29780 </w:instrText>
          </w:r>
          <w:r>
            <w:rPr>
              <w:color w:val="auto"/>
              <w:szCs w:val="21"/>
            </w:rPr>
            <w:fldChar w:fldCharType="separate"/>
          </w:r>
          <w:r>
            <w:rPr>
              <w:rFonts w:hint="eastAsia"/>
              <w:color w:val="auto"/>
              <w:lang w:val="en-US" w:eastAsia="zh-CN"/>
            </w:rPr>
            <w:t>2.4.2主要评价因子筛选</w:t>
          </w:r>
          <w:r>
            <w:rPr>
              <w:color w:val="auto"/>
            </w:rPr>
            <w:tab/>
          </w:r>
          <w:r>
            <w:rPr>
              <w:color w:val="auto"/>
            </w:rPr>
            <w:fldChar w:fldCharType="begin"/>
          </w:r>
          <w:r>
            <w:rPr>
              <w:color w:val="auto"/>
            </w:rPr>
            <w:instrText xml:space="preserve"> PAGEREF _Toc29780 \h </w:instrText>
          </w:r>
          <w:r>
            <w:rPr>
              <w:color w:val="auto"/>
            </w:rPr>
            <w:fldChar w:fldCharType="separate"/>
          </w:r>
          <w:r>
            <w:rPr>
              <w:color w:val="auto"/>
            </w:rPr>
            <w:t>9</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_Toc3542 </w:instrText>
          </w:r>
          <w:r>
            <w:rPr>
              <w:color w:val="auto"/>
              <w:szCs w:val="21"/>
            </w:rPr>
            <w:fldChar w:fldCharType="separate"/>
          </w:r>
          <w:r>
            <w:rPr>
              <w:rFonts w:hint="eastAsia"/>
              <w:color w:val="auto"/>
              <w:lang w:val="en-US" w:eastAsia="zh-CN"/>
            </w:rPr>
            <w:t>2.5评价标准</w:t>
          </w:r>
          <w:r>
            <w:rPr>
              <w:color w:val="auto"/>
            </w:rPr>
            <w:tab/>
          </w:r>
          <w:r>
            <w:rPr>
              <w:color w:val="auto"/>
            </w:rPr>
            <w:fldChar w:fldCharType="begin"/>
          </w:r>
          <w:r>
            <w:rPr>
              <w:color w:val="auto"/>
            </w:rPr>
            <w:instrText xml:space="preserve"> PAGEREF _Toc3542 \h </w:instrText>
          </w:r>
          <w:r>
            <w:rPr>
              <w:color w:val="auto"/>
            </w:rPr>
            <w:fldChar w:fldCharType="separate"/>
          </w:r>
          <w:r>
            <w:rPr>
              <w:color w:val="auto"/>
            </w:rPr>
            <w:t>10</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_Toc1180 </w:instrText>
          </w:r>
          <w:r>
            <w:rPr>
              <w:color w:val="auto"/>
              <w:szCs w:val="21"/>
            </w:rPr>
            <w:fldChar w:fldCharType="separate"/>
          </w:r>
          <w:r>
            <w:rPr>
              <w:rFonts w:hint="eastAsia"/>
              <w:color w:val="auto"/>
              <w:lang w:val="en-US" w:eastAsia="zh-CN"/>
            </w:rPr>
            <w:t>2.5.1环境质量标准</w:t>
          </w:r>
          <w:r>
            <w:rPr>
              <w:color w:val="auto"/>
            </w:rPr>
            <w:tab/>
          </w:r>
          <w:r>
            <w:rPr>
              <w:color w:val="auto"/>
            </w:rPr>
            <w:fldChar w:fldCharType="begin"/>
          </w:r>
          <w:r>
            <w:rPr>
              <w:color w:val="auto"/>
            </w:rPr>
            <w:instrText xml:space="preserve"> PAGEREF _Toc1180 \h </w:instrText>
          </w:r>
          <w:r>
            <w:rPr>
              <w:color w:val="auto"/>
            </w:rPr>
            <w:fldChar w:fldCharType="separate"/>
          </w:r>
          <w:r>
            <w:rPr>
              <w:color w:val="auto"/>
            </w:rPr>
            <w:t>10</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_Toc16987 </w:instrText>
          </w:r>
          <w:r>
            <w:rPr>
              <w:color w:val="auto"/>
              <w:szCs w:val="21"/>
            </w:rPr>
            <w:fldChar w:fldCharType="separate"/>
          </w:r>
          <w:r>
            <w:rPr>
              <w:rFonts w:hint="eastAsia"/>
              <w:color w:val="auto"/>
              <w:lang w:val="en-US" w:eastAsia="zh-CN"/>
            </w:rPr>
            <w:t>2.5.2污染物排放标准</w:t>
          </w:r>
          <w:r>
            <w:rPr>
              <w:color w:val="auto"/>
            </w:rPr>
            <w:tab/>
          </w:r>
          <w:r>
            <w:rPr>
              <w:color w:val="auto"/>
            </w:rPr>
            <w:fldChar w:fldCharType="begin"/>
          </w:r>
          <w:r>
            <w:rPr>
              <w:color w:val="auto"/>
            </w:rPr>
            <w:instrText xml:space="preserve"> PAGEREF _Toc16987 \h </w:instrText>
          </w:r>
          <w:r>
            <w:rPr>
              <w:color w:val="auto"/>
            </w:rPr>
            <w:fldChar w:fldCharType="separate"/>
          </w:r>
          <w:r>
            <w:rPr>
              <w:color w:val="auto"/>
            </w:rPr>
            <w:t>11</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_Toc7960 </w:instrText>
          </w:r>
          <w:r>
            <w:rPr>
              <w:color w:val="auto"/>
              <w:szCs w:val="21"/>
            </w:rPr>
            <w:fldChar w:fldCharType="separate"/>
          </w:r>
          <w:r>
            <w:rPr>
              <w:rFonts w:hint="eastAsia"/>
              <w:color w:val="auto"/>
              <w:lang w:val="en-US" w:eastAsia="zh-CN"/>
            </w:rPr>
            <w:t>2.6评价工作等级</w:t>
          </w:r>
          <w:r>
            <w:rPr>
              <w:color w:val="auto"/>
            </w:rPr>
            <w:tab/>
          </w:r>
          <w:r>
            <w:rPr>
              <w:color w:val="auto"/>
            </w:rPr>
            <w:fldChar w:fldCharType="begin"/>
          </w:r>
          <w:r>
            <w:rPr>
              <w:color w:val="auto"/>
            </w:rPr>
            <w:instrText xml:space="preserve"> PAGEREF _Toc7960 \h </w:instrText>
          </w:r>
          <w:r>
            <w:rPr>
              <w:color w:val="auto"/>
            </w:rPr>
            <w:fldChar w:fldCharType="separate"/>
          </w:r>
          <w:r>
            <w:rPr>
              <w:color w:val="auto"/>
            </w:rPr>
            <w:t>14</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_Toc4701 </w:instrText>
          </w:r>
          <w:r>
            <w:rPr>
              <w:color w:val="auto"/>
              <w:szCs w:val="21"/>
            </w:rPr>
            <w:fldChar w:fldCharType="separate"/>
          </w:r>
          <w:r>
            <w:rPr>
              <w:rFonts w:hint="eastAsia"/>
              <w:color w:val="auto"/>
              <w:szCs w:val="24"/>
              <w:lang w:val="en-US" w:eastAsia="zh-CN"/>
            </w:rPr>
            <w:t>2.6.1</w:t>
          </w:r>
          <w:r>
            <w:rPr>
              <w:color w:val="auto"/>
              <w:szCs w:val="24"/>
            </w:rPr>
            <w:t>大气环境评价等级</w:t>
          </w:r>
          <w:r>
            <w:rPr>
              <w:color w:val="auto"/>
            </w:rPr>
            <w:tab/>
          </w:r>
          <w:r>
            <w:rPr>
              <w:color w:val="auto"/>
            </w:rPr>
            <w:fldChar w:fldCharType="begin"/>
          </w:r>
          <w:r>
            <w:rPr>
              <w:color w:val="auto"/>
            </w:rPr>
            <w:instrText xml:space="preserve"> PAGEREF _Toc4701 \h </w:instrText>
          </w:r>
          <w:r>
            <w:rPr>
              <w:color w:val="auto"/>
            </w:rPr>
            <w:fldChar w:fldCharType="separate"/>
          </w:r>
          <w:r>
            <w:rPr>
              <w:color w:val="auto"/>
            </w:rPr>
            <w:t>14</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_Toc31180 </w:instrText>
          </w:r>
          <w:r>
            <w:rPr>
              <w:color w:val="auto"/>
              <w:szCs w:val="21"/>
            </w:rPr>
            <w:fldChar w:fldCharType="separate"/>
          </w:r>
          <w:r>
            <w:rPr>
              <w:rFonts w:hint="eastAsia"/>
              <w:color w:val="auto"/>
              <w:lang w:val="en-US" w:eastAsia="zh-CN"/>
            </w:rPr>
            <w:t>2.6.2地表水环境评价等级</w:t>
          </w:r>
          <w:r>
            <w:rPr>
              <w:color w:val="auto"/>
            </w:rPr>
            <w:tab/>
          </w:r>
          <w:r>
            <w:rPr>
              <w:color w:val="auto"/>
            </w:rPr>
            <w:fldChar w:fldCharType="begin"/>
          </w:r>
          <w:r>
            <w:rPr>
              <w:color w:val="auto"/>
            </w:rPr>
            <w:instrText xml:space="preserve"> PAGEREF _Toc31180 \h </w:instrText>
          </w:r>
          <w:r>
            <w:rPr>
              <w:color w:val="auto"/>
            </w:rPr>
            <w:fldChar w:fldCharType="separate"/>
          </w:r>
          <w:r>
            <w:rPr>
              <w:color w:val="auto"/>
            </w:rPr>
            <w:t>16</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_Toc9913 </w:instrText>
          </w:r>
          <w:r>
            <w:rPr>
              <w:color w:val="auto"/>
              <w:szCs w:val="21"/>
            </w:rPr>
            <w:fldChar w:fldCharType="separate"/>
          </w:r>
          <w:r>
            <w:rPr>
              <w:rFonts w:hint="eastAsia"/>
              <w:color w:val="auto"/>
              <w:lang w:val="en-US" w:eastAsia="zh-CN"/>
            </w:rPr>
            <w:t>2.6.3地下水环境评价等级</w:t>
          </w:r>
          <w:r>
            <w:rPr>
              <w:color w:val="auto"/>
            </w:rPr>
            <w:tab/>
          </w:r>
          <w:r>
            <w:rPr>
              <w:color w:val="auto"/>
            </w:rPr>
            <w:fldChar w:fldCharType="begin"/>
          </w:r>
          <w:r>
            <w:rPr>
              <w:color w:val="auto"/>
            </w:rPr>
            <w:instrText xml:space="preserve"> PAGEREF _Toc9913 \h </w:instrText>
          </w:r>
          <w:r>
            <w:rPr>
              <w:color w:val="auto"/>
            </w:rPr>
            <w:fldChar w:fldCharType="separate"/>
          </w:r>
          <w:r>
            <w:rPr>
              <w:color w:val="auto"/>
            </w:rPr>
            <w:t>16</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_Toc16758 </w:instrText>
          </w:r>
          <w:r>
            <w:rPr>
              <w:color w:val="auto"/>
              <w:szCs w:val="21"/>
            </w:rPr>
            <w:fldChar w:fldCharType="separate"/>
          </w:r>
          <w:r>
            <w:rPr>
              <w:rFonts w:hint="eastAsia"/>
              <w:color w:val="auto"/>
              <w:lang w:val="en-US" w:eastAsia="zh-CN"/>
            </w:rPr>
            <w:t>2.6.4声环境评价等级</w:t>
          </w:r>
          <w:r>
            <w:rPr>
              <w:color w:val="auto"/>
            </w:rPr>
            <w:tab/>
          </w:r>
          <w:r>
            <w:rPr>
              <w:color w:val="auto"/>
            </w:rPr>
            <w:fldChar w:fldCharType="begin"/>
          </w:r>
          <w:r>
            <w:rPr>
              <w:color w:val="auto"/>
            </w:rPr>
            <w:instrText xml:space="preserve"> PAGEREF _Toc16758 \h </w:instrText>
          </w:r>
          <w:r>
            <w:rPr>
              <w:color w:val="auto"/>
            </w:rPr>
            <w:fldChar w:fldCharType="separate"/>
          </w:r>
          <w:r>
            <w:rPr>
              <w:color w:val="auto"/>
            </w:rPr>
            <w:t>17</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_Toc27426 </w:instrText>
          </w:r>
          <w:r>
            <w:rPr>
              <w:color w:val="auto"/>
              <w:szCs w:val="21"/>
            </w:rPr>
            <w:fldChar w:fldCharType="separate"/>
          </w:r>
          <w:r>
            <w:rPr>
              <w:rFonts w:hint="eastAsia"/>
              <w:color w:val="auto"/>
              <w:lang w:val="en-US" w:eastAsia="zh-CN"/>
            </w:rPr>
            <w:t>2.6.5土壤环境评价等级</w:t>
          </w:r>
          <w:r>
            <w:rPr>
              <w:color w:val="auto"/>
            </w:rPr>
            <w:tab/>
          </w:r>
          <w:r>
            <w:rPr>
              <w:color w:val="auto"/>
            </w:rPr>
            <w:fldChar w:fldCharType="begin"/>
          </w:r>
          <w:r>
            <w:rPr>
              <w:color w:val="auto"/>
            </w:rPr>
            <w:instrText xml:space="preserve"> PAGEREF _Toc27426 \h </w:instrText>
          </w:r>
          <w:r>
            <w:rPr>
              <w:color w:val="auto"/>
            </w:rPr>
            <w:fldChar w:fldCharType="separate"/>
          </w:r>
          <w:r>
            <w:rPr>
              <w:color w:val="auto"/>
            </w:rPr>
            <w:t>17</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_Toc9512 </w:instrText>
          </w:r>
          <w:r>
            <w:rPr>
              <w:color w:val="auto"/>
              <w:szCs w:val="21"/>
            </w:rPr>
            <w:fldChar w:fldCharType="separate"/>
          </w:r>
          <w:r>
            <w:rPr>
              <w:rFonts w:hint="eastAsia"/>
              <w:color w:val="auto"/>
              <w:szCs w:val="24"/>
              <w:lang w:val="en-US" w:eastAsia="zh-CN"/>
            </w:rPr>
            <w:t>2.6.6生态评价工作等级</w:t>
          </w:r>
          <w:r>
            <w:rPr>
              <w:color w:val="auto"/>
            </w:rPr>
            <w:tab/>
          </w:r>
          <w:r>
            <w:rPr>
              <w:color w:val="auto"/>
            </w:rPr>
            <w:fldChar w:fldCharType="begin"/>
          </w:r>
          <w:r>
            <w:rPr>
              <w:color w:val="auto"/>
            </w:rPr>
            <w:instrText xml:space="preserve"> PAGEREF _Toc9512 \h </w:instrText>
          </w:r>
          <w:r>
            <w:rPr>
              <w:color w:val="auto"/>
            </w:rPr>
            <w:fldChar w:fldCharType="separate"/>
          </w:r>
          <w:r>
            <w:rPr>
              <w:color w:val="auto"/>
            </w:rPr>
            <w:t>18</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_Toc9186 </w:instrText>
          </w:r>
          <w:r>
            <w:rPr>
              <w:color w:val="auto"/>
              <w:szCs w:val="21"/>
            </w:rPr>
            <w:fldChar w:fldCharType="separate"/>
          </w:r>
          <w:r>
            <w:rPr>
              <w:rFonts w:hint="eastAsia"/>
              <w:color w:val="auto"/>
              <w:lang w:val="en-US" w:eastAsia="zh-CN"/>
            </w:rPr>
            <w:t>2.6.7</w:t>
          </w:r>
          <w:r>
            <w:rPr>
              <w:color w:val="auto"/>
            </w:rPr>
            <w:t>风险影响评价工作等级</w:t>
          </w:r>
          <w:r>
            <w:rPr>
              <w:color w:val="auto"/>
            </w:rPr>
            <w:tab/>
          </w:r>
          <w:r>
            <w:rPr>
              <w:color w:val="auto"/>
            </w:rPr>
            <w:fldChar w:fldCharType="begin"/>
          </w:r>
          <w:r>
            <w:rPr>
              <w:color w:val="auto"/>
            </w:rPr>
            <w:instrText xml:space="preserve"> PAGEREF _Toc9186 \h </w:instrText>
          </w:r>
          <w:r>
            <w:rPr>
              <w:color w:val="auto"/>
            </w:rPr>
            <w:fldChar w:fldCharType="separate"/>
          </w:r>
          <w:r>
            <w:rPr>
              <w:color w:val="auto"/>
            </w:rPr>
            <w:t>18</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_Toc27518 </w:instrText>
          </w:r>
          <w:r>
            <w:rPr>
              <w:color w:val="auto"/>
              <w:szCs w:val="21"/>
            </w:rPr>
            <w:fldChar w:fldCharType="separate"/>
          </w:r>
          <w:r>
            <w:rPr>
              <w:rFonts w:hint="eastAsia"/>
              <w:color w:val="auto"/>
              <w:lang w:val="en-US" w:eastAsia="zh-CN"/>
            </w:rPr>
            <w:t>2.7评价范围</w:t>
          </w:r>
          <w:r>
            <w:rPr>
              <w:color w:val="auto"/>
            </w:rPr>
            <w:tab/>
          </w:r>
          <w:r>
            <w:rPr>
              <w:color w:val="auto"/>
            </w:rPr>
            <w:fldChar w:fldCharType="begin"/>
          </w:r>
          <w:r>
            <w:rPr>
              <w:color w:val="auto"/>
            </w:rPr>
            <w:instrText xml:space="preserve"> PAGEREF _Toc27518 \h </w:instrText>
          </w:r>
          <w:r>
            <w:rPr>
              <w:color w:val="auto"/>
            </w:rPr>
            <w:fldChar w:fldCharType="separate"/>
          </w:r>
          <w:r>
            <w:rPr>
              <w:color w:val="auto"/>
            </w:rPr>
            <w:t>19</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_Toc10941 </w:instrText>
          </w:r>
          <w:r>
            <w:rPr>
              <w:color w:val="auto"/>
              <w:szCs w:val="21"/>
            </w:rPr>
            <w:fldChar w:fldCharType="separate"/>
          </w:r>
          <w:r>
            <w:rPr>
              <w:rFonts w:hint="eastAsia"/>
              <w:color w:val="auto"/>
              <w:lang w:val="en-US" w:eastAsia="zh-CN"/>
            </w:rPr>
            <w:t>2.7.1大气环境影响评价范围</w:t>
          </w:r>
          <w:r>
            <w:rPr>
              <w:color w:val="auto"/>
            </w:rPr>
            <w:tab/>
          </w:r>
          <w:r>
            <w:rPr>
              <w:color w:val="auto"/>
            </w:rPr>
            <w:fldChar w:fldCharType="begin"/>
          </w:r>
          <w:r>
            <w:rPr>
              <w:color w:val="auto"/>
            </w:rPr>
            <w:instrText xml:space="preserve"> PAGEREF _Toc10941 \h </w:instrText>
          </w:r>
          <w:r>
            <w:rPr>
              <w:color w:val="auto"/>
            </w:rPr>
            <w:fldChar w:fldCharType="separate"/>
          </w:r>
          <w:r>
            <w:rPr>
              <w:color w:val="auto"/>
            </w:rPr>
            <w:t>19</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_Toc18040 </w:instrText>
          </w:r>
          <w:r>
            <w:rPr>
              <w:color w:val="auto"/>
              <w:szCs w:val="21"/>
            </w:rPr>
            <w:fldChar w:fldCharType="separate"/>
          </w:r>
          <w:r>
            <w:rPr>
              <w:rFonts w:hint="eastAsia"/>
              <w:color w:val="auto"/>
              <w:lang w:val="en-US" w:eastAsia="zh-CN"/>
            </w:rPr>
            <w:t>2.7.2水环境影响评价范围</w:t>
          </w:r>
          <w:r>
            <w:rPr>
              <w:color w:val="auto"/>
            </w:rPr>
            <w:tab/>
          </w:r>
          <w:r>
            <w:rPr>
              <w:color w:val="auto"/>
            </w:rPr>
            <w:fldChar w:fldCharType="begin"/>
          </w:r>
          <w:r>
            <w:rPr>
              <w:color w:val="auto"/>
            </w:rPr>
            <w:instrText xml:space="preserve"> PAGEREF _Toc18040 \h </w:instrText>
          </w:r>
          <w:r>
            <w:rPr>
              <w:color w:val="auto"/>
            </w:rPr>
            <w:fldChar w:fldCharType="separate"/>
          </w:r>
          <w:r>
            <w:rPr>
              <w:color w:val="auto"/>
            </w:rPr>
            <w:t>19</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_Toc21460 </w:instrText>
          </w:r>
          <w:r>
            <w:rPr>
              <w:color w:val="auto"/>
              <w:szCs w:val="21"/>
            </w:rPr>
            <w:fldChar w:fldCharType="separate"/>
          </w:r>
          <w:r>
            <w:rPr>
              <w:rFonts w:hint="eastAsia"/>
              <w:color w:val="auto"/>
              <w:lang w:val="en-US" w:eastAsia="zh-CN"/>
            </w:rPr>
            <w:t>2.7.3声环境影响评价范围</w:t>
          </w:r>
          <w:r>
            <w:rPr>
              <w:color w:val="auto"/>
            </w:rPr>
            <w:tab/>
          </w:r>
          <w:r>
            <w:rPr>
              <w:color w:val="auto"/>
            </w:rPr>
            <w:fldChar w:fldCharType="begin"/>
          </w:r>
          <w:r>
            <w:rPr>
              <w:color w:val="auto"/>
            </w:rPr>
            <w:instrText xml:space="preserve"> PAGEREF _Toc21460 \h </w:instrText>
          </w:r>
          <w:r>
            <w:rPr>
              <w:color w:val="auto"/>
            </w:rPr>
            <w:fldChar w:fldCharType="separate"/>
          </w:r>
          <w:r>
            <w:rPr>
              <w:color w:val="auto"/>
            </w:rPr>
            <w:t>19</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_Toc842 </w:instrText>
          </w:r>
          <w:r>
            <w:rPr>
              <w:color w:val="auto"/>
              <w:szCs w:val="21"/>
            </w:rPr>
            <w:fldChar w:fldCharType="separate"/>
          </w:r>
          <w:r>
            <w:rPr>
              <w:rFonts w:hint="eastAsia"/>
              <w:color w:val="auto"/>
              <w:lang w:val="en-US" w:eastAsia="zh-CN"/>
            </w:rPr>
            <w:t>2.7.4生态环境影响范围</w:t>
          </w:r>
          <w:r>
            <w:rPr>
              <w:color w:val="auto"/>
            </w:rPr>
            <w:tab/>
          </w:r>
          <w:r>
            <w:rPr>
              <w:color w:val="auto"/>
            </w:rPr>
            <w:fldChar w:fldCharType="begin"/>
          </w:r>
          <w:r>
            <w:rPr>
              <w:color w:val="auto"/>
            </w:rPr>
            <w:instrText xml:space="preserve"> PAGEREF _Toc842 \h </w:instrText>
          </w:r>
          <w:r>
            <w:rPr>
              <w:color w:val="auto"/>
            </w:rPr>
            <w:fldChar w:fldCharType="separate"/>
          </w:r>
          <w:r>
            <w:rPr>
              <w:color w:val="auto"/>
            </w:rPr>
            <w:t>19</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_Toc17082 </w:instrText>
          </w:r>
          <w:r>
            <w:rPr>
              <w:color w:val="auto"/>
              <w:szCs w:val="21"/>
            </w:rPr>
            <w:fldChar w:fldCharType="separate"/>
          </w:r>
          <w:r>
            <w:rPr>
              <w:rFonts w:hint="eastAsia"/>
              <w:color w:val="auto"/>
              <w:lang w:val="en-US" w:eastAsia="zh-CN"/>
            </w:rPr>
            <w:t>2.7.5土壤环境影响范围</w:t>
          </w:r>
          <w:r>
            <w:rPr>
              <w:color w:val="auto"/>
            </w:rPr>
            <w:tab/>
          </w:r>
          <w:r>
            <w:rPr>
              <w:color w:val="auto"/>
            </w:rPr>
            <w:fldChar w:fldCharType="begin"/>
          </w:r>
          <w:r>
            <w:rPr>
              <w:color w:val="auto"/>
            </w:rPr>
            <w:instrText xml:space="preserve"> PAGEREF _Toc17082 \h </w:instrText>
          </w:r>
          <w:r>
            <w:rPr>
              <w:color w:val="auto"/>
            </w:rPr>
            <w:fldChar w:fldCharType="separate"/>
          </w:r>
          <w:r>
            <w:rPr>
              <w:color w:val="auto"/>
            </w:rPr>
            <w:t>20</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_Toc23974 </w:instrText>
          </w:r>
          <w:r>
            <w:rPr>
              <w:color w:val="auto"/>
              <w:szCs w:val="21"/>
            </w:rPr>
            <w:fldChar w:fldCharType="separate"/>
          </w:r>
          <w:r>
            <w:rPr>
              <w:rFonts w:hint="eastAsia"/>
              <w:color w:val="auto"/>
              <w:lang w:val="en-US" w:eastAsia="zh-CN"/>
            </w:rPr>
            <w:t>2.7.6环境风险影响评价范围</w:t>
          </w:r>
          <w:r>
            <w:rPr>
              <w:color w:val="auto"/>
            </w:rPr>
            <w:tab/>
          </w:r>
          <w:r>
            <w:rPr>
              <w:color w:val="auto"/>
            </w:rPr>
            <w:fldChar w:fldCharType="begin"/>
          </w:r>
          <w:r>
            <w:rPr>
              <w:color w:val="auto"/>
            </w:rPr>
            <w:instrText xml:space="preserve"> PAGEREF _Toc23974 \h </w:instrText>
          </w:r>
          <w:r>
            <w:rPr>
              <w:color w:val="auto"/>
            </w:rPr>
            <w:fldChar w:fldCharType="separate"/>
          </w:r>
          <w:r>
            <w:rPr>
              <w:color w:val="auto"/>
            </w:rPr>
            <w:t>20</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_Toc31002 </w:instrText>
          </w:r>
          <w:r>
            <w:rPr>
              <w:color w:val="auto"/>
              <w:szCs w:val="21"/>
            </w:rPr>
            <w:fldChar w:fldCharType="separate"/>
          </w:r>
          <w:r>
            <w:rPr>
              <w:rFonts w:hint="eastAsia"/>
              <w:color w:val="auto"/>
              <w:lang w:val="en-US" w:eastAsia="zh-CN"/>
            </w:rPr>
            <w:t>2.8</w:t>
          </w:r>
          <w:r>
            <w:rPr>
              <w:color w:val="auto"/>
            </w:rPr>
            <w:t>污染控制和环境保护目标</w:t>
          </w:r>
          <w:r>
            <w:rPr>
              <w:color w:val="auto"/>
            </w:rPr>
            <w:tab/>
          </w:r>
          <w:r>
            <w:rPr>
              <w:color w:val="auto"/>
            </w:rPr>
            <w:fldChar w:fldCharType="begin"/>
          </w:r>
          <w:r>
            <w:rPr>
              <w:color w:val="auto"/>
            </w:rPr>
            <w:instrText xml:space="preserve"> PAGEREF _Toc31002 \h </w:instrText>
          </w:r>
          <w:r>
            <w:rPr>
              <w:color w:val="auto"/>
            </w:rPr>
            <w:fldChar w:fldCharType="separate"/>
          </w:r>
          <w:r>
            <w:rPr>
              <w:color w:val="auto"/>
            </w:rPr>
            <w:t>20</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_Toc14918 </w:instrText>
          </w:r>
          <w:r>
            <w:rPr>
              <w:color w:val="auto"/>
              <w:szCs w:val="21"/>
            </w:rPr>
            <w:fldChar w:fldCharType="separate"/>
          </w:r>
          <w:r>
            <w:rPr>
              <w:rFonts w:hint="eastAsia"/>
              <w:color w:val="auto"/>
              <w:lang w:val="en-US" w:eastAsia="zh-CN"/>
            </w:rPr>
            <w:t>2.9</w:t>
          </w:r>
          <w:r>
            <w:rPr>
              <w:color w:val="auto"/>
            </w:rPr>
            <w:t>产业政策与相关政策相符性</w:t>
          </w:r>
          <w:r>
            <w:rPr>
              <w:color w:val="auto"/>
            </w:rPr>
            <w:tab/>
          </w:r>
          <w:r>
            <w:rPr>
              <w:color w:val="auto"/>
            </w:rPr>
            <w:fldChar w:fldCharType="begin"/>
          </w:r>
          <w:r>
            <w:rPr>
              <w:color w:val="auto"/>
            </w:rPr>
            <w:instrText xml:space="preserve"> PAGEREF _Toc14918 \h </w:instrText>
          </w:r>
          <w:r>
            <w:rPr>
              <w:color w:val="auto"/>
            </w:rPr>
            <w:fldChar w:fldCharType="separate"/>
          </w:r>
          <w:r>
            <w:rPr>
              <w:color w:val="auto"/>
            </w:rPr>
            <w:t>21</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_Toc29596 </w:instrText>
          </w:r>
          <w:r>
            <w:rPr>
              <w:color w:val="auto"/>
              <w:szCs w:val="21"/>
            </w:rPr>
            <w:fldChar w:fldCharType="separate"/>
          </w:r>
          <w:r>
            <w:rPr>
              <w:color w:val="auto"/>
            </w:rPr>
            <w:t>2.</w:t>
          </w:r>
          <w:r>
            <w:rPr>
              <w:rFonts w:hint="eastAsia"/>
              <w:color w:val="auto"/>
              <w:lang w:val="en-US" w:eastAsia="zh-CN"/>
            </w:rPr>
            <w:t>9</w:t>
          </w:r>
          <w:r>
            <w:rPr>
              <w:color w:val="auto"/>
            </w:rPr>
            <w:t>.1产业政策相符性</w:t>
          </w:r>
          <w:r>
            <w:rPr>
              <w:color w:val="auto"/>
            </w:rPr>
            <w:tab/>
          </w:r>
          <w:r>
            <w:rPr>
              <w:color w:val="auto"/>
            </w:rPr>
            <w:fldChar w:fldCharType="begin"/>
          </w:r>
          <w:r>
            <w:rPr>
              <w:color w:val="auto"/>
            </w:rPr>
            <w:instrText xml:space="preserve"> PAGEREF _Toc29596 \h </w:instrText>
          </w:r>
          <w:r>
            <w:rPr>
              <w:color w:val="auto"/>
            </w:rPr>
            <w:fldChar w:fldCharType="separate"/>
          </w:r>
          <w:r>
            <w:rPr>
              <w:color w:val="auto"/>
            </w:rPr>
            <w:t>21</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_Toc27322 </w:instrText>
          </w:r>
          <w:r>
            <w:rPr>
              <w:color w:val="auto"/>
              <w:szCs w:val="21"/>
            </w:rPr>
            <w:fldChar w:fldCharType="separate"/>
          </w:r>
          <w:r>
            <w:rPr>
              <w:rFonts w:hint="eastAsia"/>
              <w:color w:val="auto"/>
              <w:lang w:val="en-US" w:eastAsia="zh-CN"/>
            </w:rPr>
            <w:t>2.9.2三线一单符合性分析</w:t>
          </w:r>
          <w:r>
            <w:rPr>
              <w:color w:val="auto"/>
            </w:rPr>
            <w:tab/>
          </w:r>
          <w:r>
            <w:rPr>
              <w:color w:val="auto"/>
            </w:rPr>
            <w:fldChar w:fldCharType="begin"/>
          </w:r>
          <w:r>
            <w:rPr>
              <w:color w:val="auto"/>
            </w:rPr>
            <w:instrText xml:space="preserve"> PAGEREF _Toc27322 \h </w:instrText>
          </w:r>
          <w:r>
            <w:rPr>
              <w:color w:val="auto"/>
            </w:rPr>
            <w:fldChar w:fldCharType="separate"/>
          </w:r>
          <w:r>
            <w:rPr>
              <w:color w:val="auto"/>
            </w:rPr>
            <w:t>21</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_Toc3824 </w:instrText>
          </w:r>
          <w:r>
            <w:rPr>
              <w:color w:val="auto"/>
              <w:szCs w:val="21"/>
            </w:rPr>
            <w:fldChar w:fldCharType="separate"/>
          </w:r>
          <w:r>
            <w:rPr>
              <w:rFonts w:hint="eastAsia"/>
              <w:color w:val="auto"/>
              <w:lang w:val="en-US" w:eastAsia="zh-CN"/>
            </w:rPr>
            <w:t>2.9.3选址符合性分析</w:t>
          </w:r>
          <w:r>
            <w:rPr>
              <w:color w:val="auto"/>
            </w:rPr>
            <w:tab/>
          </w:r>
          <w:r>
            <w:rPr>
              <w:color w:val="auto"/>
            </w:rPr>
            <w:fldChar w:fldCharType="begin"/>
          </w:r>
          <w:r>
            <w:rPr>
              <w:color w:val="auto"/>
            </w:rPr>
            <w:instrText xml:space="preserve"> PAGEREF _Toc3824 \h </w:instrText>
          </w:r>
          <w:r>
            <w:rPr>
              <w:color w:val="auto"/>
            </w:rPr>
            <w:fldChar w:fldCharType="separate"/>
          </w:r>
          <w:r>
            <w:rPr>
              <w:color w:val="auto"/>
            </w:rPr>
            <w:t>23</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_Toc27855 </w:instrText>
          </w:r>
          <w:r>
            <w:rPr>
              <w:color w:val="auto"/>
              <w:szCs w:val="21"/>
            </w:rPr>
            <w:fldChar w:fldCharType="separate"/>
          </w:r>
          <w:r>
            <w:rPr>
              <w:color w:val="auto"/>
            </w:rPr>
            <w:t>2.9.</w:t>
          </w:r>
          <w:r>
            <w:rPr>
              <w:rFonts w:hint="eastAsia"/>
              <w:color w:val="auto"/>
              <w:lang w:val="en-US" w:eastAsia="zh-CN"/>
            </w:rPr>
            <w:t>4</w:t>
          </w:r>
          <w:r>
            <w:rPr>
              <w:color w:val="auto"/>
            </w:rPr>
            <w:t>与生物安全相关规范的符合性分析</w:t>
          </w:r>
          <w:r>
            <w:rPr>
              <w:color w:val="auto"/>
            </w:rPr>
            <w:tab/>
          </w:r>
          <w:r>
            <w:rPr>
              <w:color w:val="auto"/>
            </w:rPr>
            <w:fldChar w:fldCharType="begin"/>
          </w:r>
          <w:r>
            <w:rPr>
              <w:color w:val="auto"/>
            </w:rPr>
            <w:instrText xml:space="preserve"> PAGEREF _Toc27855 \h </w:instrText>
          </w:r>
          <w:r>
            <w:rPr>
              <w:color w:val="auto"/>
            </w:rPr>
            <w:fldChar w:fldCharType="separate"/>
          </w:r>
          <w:r>
            <w:rPr>
              <w:color w:val="auto"/>
            </w:rPr>
            <w:t>24</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_Toc32289 </w:instrText>
          </w:r>
          <w:r>
            <w:rPr>
              <w:color w:val="auto"/>
              <w:szCs w:val="21"/>
            </w:rPr>
            <w:fldChar w:fldCharType="separate"/>
          </w:r>
          <w:r>
            <w:rPr>
              <w:color w:val="auto"/>
            </w:rPr>
            <w:t>2.</w:t>
          </w:r>
          <w:r>
            <w:rPr>
              <w:rFonts w:hint="eastAsia"/>
              <w:color w:val="auto"/>
              <w:lang w:val="en-US" w:eastAsia="zh-CN"/>
            </w:rPr>
            <w:t>9</w:t>
          </w:r>
          <w:r>
            <w:rPr>
              <w:color w:val="auto"/>
            </w:rPr>
            <w:t>.</w:t>
          </w:r>
          <w:r>
            <w:rPr>
              <w:rFonts w:hint="eastAsia"/>
              <w:color w:val="auto"/>
              <w:lang w:val="en-US" w:eastAsia="zh-CN"/>
            </w:rPr>
            <w:t>4</w:t>
          </w:r>
          <w:r>
            <w:rPr>
              <w:color w:val="auto"/>
            </w:rPr>
            <w:t>环境管理政策符合性分析</w:t>
          </w:r>
          <w:r>
            <w:rPr>
              <w:color w:val="auto"/>
            </w:rPr>
            <w:tab/>
          </w:r>
          <w:r>
            <w:rPr>
              <w:color w:val="auto"/>
            </w:rPr>
            <w:fldChar w:fldCharType="begin"/>
          </w:r>
          <w:r>
            <w:rPr>
              <w:color w:val="auto"/>
            </w:rPr>
            <w:instrText xml:space="preserve"> PAGEREF _Toc32289 \h </w:instrText>
          </w:r>
          <w:r>
            <w:rPr>
              <w:color w:val="auto"/>
            </w:rPr>
            <w:fldChar w:fldCharType="separate"/>
          </w:r>
          <w:r>
            <w:rPr>
              <w:color w:val="auto"/>
            </w:rPr>
            <w:t>27</w:t>
          </w:r>
          <w:r>
            <w:rPr>
              <w:color w:val="auto"/>
            </w:rPr>
            <w:fldChar w:fldCharType="end"/>
          </w:r>
          <w:r>
            <w:rPr>
              <w:color w:val="auto"/>
              <w:szCs w:val="21"/>
            </w:rPr>
            <w:fldChar w:fldCharType="end"/>
          </w:r>
        </w:p>
        <w:p>
          <w:pPr>
            <w:pStyle w:val="14"/>
            <w:tabs>
              <w:tab w:val="right" w:leader="dot" w:pos="8306"/>
            </w:tabs>
            <w:rPr>
              <w:color w:val="auto"/>
            </w:rPr>
          </w:pPr>
          <w:r>
            <w:rPr>
              <w:color w:val="auto"/>
              <w:szCs w:val="21"/>
            </w:rPr>
            <w:fldChar w:fldCharType="begin"/>
          </w:r>
          <w:r>
            <w:rPr>
              <w:color w:val="auto"/>
              <w:szCs w:val="21"/>
            </w:rPr>
            <w:instrText xml:space="preserve"> HYPERLINK \l _Toc27144 </w:instrText>
          </w:r>
          <w:r>
            <w:rPr>
              <w:color w:val="auto"/>
              <w:szCs w:val="21"/>
            </w:rPr>
            <w:fldChar w:fldCharType="separate"/>
          </w:r>
          <w:r>
            <w:rPr>
              <w:rFonts w:hint="eastAsia"/>
              <w:color w:val="auto"/>
              <w:lang w:val="en-US" w:eastAsia="zh-CN"/>
            </w:rPr>
            <w:t>3建设项目工程分析</w:t>
          </w:r>
          <w:r>
            <w:rPr>
              <w:color w:val="auto"/>
            </w:rPr>
            <w:tab/>
          </w:r>
          <w:r>
            <w:rPr>
              <w:color w:val="auto"/>
            </w:rPr>
            <w:fldChar w:fldCharType="begin"/>
          </w:r>
          <w:r>
            <w:rPr>
              <w:color w:val="auto"/>
            </w:rPr>
            <w:instrText xml:space="preserve"> PAGEREF _Toc27144 \h </w:instrText>
          </w:r>
          <w:r>
            <w:rPr>
              <w:color w:val="auto"/>
            </w:rPr>
            <w:fldChar w:fldCharType="separate"/>
          </w:r>
          <w:r>
            <w:rPr>
              <w:color w:val="auto"/>
            </w:rPr>
            <w:t>29</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_Toc9383 </w:instrText>
          </w:r>
          <w:r>
            <w:rPr>
              <w:color w:val="auto"/>
              <w:szCs w:val="21"/>
            </w:rPr>
            <w:fldChar w:fldCharType="separate"/>
          </w:r>
          <w:r>
            <w:rPr>
              <w:rFonts w:hint="eastAsia"/>
              <w:color w:val="auto"/>
              <w:lang w:val="en-US" w:eastAsia="zh-CN"/>
            </w:rPr>
            <w:t>3.1工程概况</w:t>
          </w:r>
          <w:r>
            <w:rPr>
              <w:color w:val="auto"/>
            </w:rPr>
            <w:tab/>
          </w:r>
          <w:r>
            <w:rPr>
              <w:color w:val="auto"/>
            </w:rPr>
            <w:fldChar w:fldCharType="begin"/>
          </w:r>
          <w:r>
            <w:rPr>
              <w:color w:val="auto"/>
            </w:rPr>
            <w:instrText xml:space="preserve"> PAGEREF _Toc9383 \h </w:instrText>
          </w:r>
          <w:r>
            <w:rPr>
              <w:color w:val="auto"/>
            </w:rPr>
            <w:fldChar w:fldCharType="separate"/>
          </w:r>
          <w:r>
            <w:rPr>
              <w:color w:val="auto"/>
            </w:rPr>
            <w:t>29</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_Toc8192 </w:instrText>
          </w:r>
          <w:r>
            <w:rPr>
              <w:color w:val="auto"/>
              <w:szCs w:val="21"/>
            </w:rPr>
            <w:fldChar w:fldCharType="separate"/>
          </w:r>
          <w:r>
            <w:rPr>
              <w:color w:val="auto"/>
              <w:lang w:val="en-US" w:eastAsia="zh-CN"/>
            </w:rPr>
            <w:t>3.1.1</w:t>
          </w:r>
          <w:r>
            <w:rPr>
              <w:rFonts w:hint="eastAsia"/>
              <w:color w:val="auto"/>
              <w:lang w:val="en-US" w:eastAsia="zh-CN"/>
            </w:rPr>
            <w:t>疾病预防控制中心概况</w:t>
          </w:r>
          <w:r>
            <w:rPr>
              <w:color w:val="auto"/>
            </w:rPr>
            <w:tab/>
          </w:r>
          <w:r>
            <w:rPr>
              <w:color w:val="auto"/>
            </w:rPr>
            <w:fldChar w:fldCharType="begin"/>
          </w:r>
          <w:r>
            <w:rPr>
              <w:color w:val="auto"/>
            </w:rPr>
            <w:instrText xml:space="preserve"> PAGEREF _Toc8192 \h </w:instrText>
          </w:r>
          <w:r>
            <w:rPr>
              <w:color w:val="auto"/>
            </w:rPr>
            <w:fldChar w:fldCharType="separate"/>
          </w:r>
          <w:r>
            <w:rPr>
              <w:color w:val="auto"/>
            </w:rPr>
            <w:t>29</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_Toc31176 </w:instrText>
          </w:r>
          <w:r>
            <w:rPr>
              <w:color w:val="auto"/>
              <w:szCs w:val="21"/>
            </w:rPr>
            <w:fldChar w:fldCharType="separate"/>
          </w:r>
          <w:r>
            <w:rPr>
              <w:rFonts w:hint="eastAsia"/>
              <w:color w:val="auto"/>
              <w:lang w:val="en-US" w:eastAsia="zh-CN"/>
            </w:rPr>
            <w:t>3.2建设项目概况</w:t>
          </w:r>
          <w:r>
            <w:rPr>
              <w:color w:val="auto"/>
            </w:rPr>
            <w:tab/>
          </w:r>
          <w:r>
            <w:rPr>
              <w:color w:val="auto"/>
            </w:rPr>
            <w:fldChar w:fldCharType="begin"/>
          </w:r>
          <w:r>
            <w:rPr>
              <w:color w:val="auto"/>
            </w:rPr>
            <w:instrText xml:space="preserve"> PAGEREF _Toc31176 \h </w:instrText>
          </w:r>
          <w:r>
            <w:rPr>
              <w:color w:val="auto"/>
            </w:rPr>
            <w:fldChar w:fldCharType="separate"/>
          </w:r>
          <w:r>
            <w:rPr>
              <w:color w:val="auto"/>
            </w:rPr>
            <w:t>30</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_Toc24744 </w:instrText>
          </w:r>
          <w:r>
            <w:rPr>
              <w:color w:val="auto"/>
              <w:szCs w:val="21"/>
            </w:rPr>
            <w:fldChar w:fldCharType="separate"/>
          </w:r>
          <w:r>
            <w:rPr>
              <w:rFonts w:hint="eastAsia"/>
              <w:color w:val="auto"/>
              <w:lang w:val="en-US" w:eastAsia="zh-CN"/>
            </w:rPr>
            <w:t>3.2.1建设内容及规模</w:t>
          </w:r>
          <w:r>
            <w:rPr>
              <w:color w:val="auto"/>
            </w:rPr>
            <w:tab/>
          </w:r>
          <w:r>
            <w:rPr>
              <w:color w:val="auto"/>
            </w:rPr>
            <w:fldChar w:fldCharType="begin"/>
          </w:r>
          <w:r>
            <w:rPr>
              <w:color w:val="auto"/>
            </w:rPr>
            <w:instrText xml:space="preserve"> PAGEREF _Toc24744 \h </w:instrText>
          </w:r>
          <w:r>
            <w:rPr>
              <w:color w:val="auto"/>
            </w:rPr>
            <w:fldChar w:fldCharType="separate"/>
          </w:r>
          <w:r>
            <w:rPr>
              <w:color w:val="auto"/>
            </w:rPr>
            <w:t>30</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_Toc2123 </w:instrText>
          </w:r>
          <w:r>
            <w:rPr>
              <w:color w:val="auto"/>
              <w:szCs w:val="21"/>
            </w:rPr>
            <w:fldChar w:fldCharType="separate"/>
          </w:r>
          <w:r>
            <w:rPr>
              <w:rFonts w:hint="eastAsia"/>
              <w:color w:val="auto"/>
              <w:lang w:val="en-US" w:eastAsia="zh-CN"/>
            </w:rPr>
            <w:t>3.2.2主要设备</w:t>
          </w:r>
          <w:r>
            <w:rPr>
              <w:color w:val="auto"/>
            </w:rPr>
            <w:tab/>
          </w:r>
          <w:r>
            <w:rPr>
              <w:color w:val="auto"/>
            </w:rPr>
            <w:fldChar w:fldCharType="begin"/>
          </w:r>
          <w:r>
            <w:rPr>
              <w:color w:val="auto"/>
            </w:rPr>
            <w:instrText xml:space="preserve"> PAGEREF _Toc2123 \h </w:instrText>
          </w:r>
          <w:r>
            <w:rPr>
              <w:color w:val="auto"/>
            </w:rPr>
            <w:fldChar w:fldCharType="separate"/>
          </w:r>
          <w:r>
            <w:rPr>
              <w:color w:val="auto"/>
            </w:rPr>
            <w:t>33</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_Toc4552 </w:instrText>
          </w:r>
          <w:r>
            <w:rPr>
              <w:color w:val="auto"/>
              <w:szCs w:val="21"/>
            </w:rPr>
            <w:fldChar w:fldCharType="separate"/>
          </w:r>
          <w:r>
            <w:rPr>
              <w:rFonts w:hint="eastAsia"/>
              <w:color w:val="auto"/>
              <w:lang w:val="en-US" w:eastAsia="zh-CN"/>
            </w:rPr>
            <w:t>3.2.3原辅材料及能源消耗</w:t>
          </w:r>
          <w:r>
            <w:rPr>
              <w:color w:val="auto"/>
            </w:rPr>
            <w:tab/>
          </w:r>
          <w:r>
            <w:rPr>
              <w:color w:val="auto"/>
            </w:rPr>
            <w:fldChar w:fldCharType="begin"/>
          </w:r>
          <w:r>
            <w:rPr>
              <w:color w:val="auto"/>
            </w:rPr>
            <w:instrText xml:space="preserve"> PAGEREF _Toc4552 \h </w:instrText>
          </w:r>
          <w:r>
            <w:rPr>
              <w:color w:val="auto"/>
            </w:rPr>
            <w:fldChar w:fldCharType="separate"/>
          </w:r>
          <w:r>
            <w:rPr>
              <w:color w:val="auto"/>
            </w:rPr>
            <w:t>33</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_Toc29841 </w:instrText>
          </w:r>
          <w:r>
            <w:rPr>
              <w:color w:val="auto"/>
              <w:szCs w:val="21"/>
            </w:rPr>
            <w:fldChar w:fldCharType="separate"/>
          </w:r>
          <w:r>
            <w:rPr>
              <w:rFonts w:hint="eastAsia"/>
              <w:color w:val="auto"/>
              <w:lang w:val="en-US" w:eastAsia="zh-CN"/>
            </w:rPr>
            <w:t>3.2.4公用配套工程</w:t>
          </w:r>
          <w:r>
            <w:rPr>
              <w:color w:val="auto"/>
            </w:rPr>
            <w:tab/>
          </w:r>
          <w:r>
            <w:rPr>
              <w:color w:val="auto"/>
            </w:rPr>
            <w:fldChar w:fldCharType="begin"/>
          </w:r>
          <w:r>
            <w:rPr>
              <w:color w:val="auto"/>
            </w:rPr>
            <w:instrText xml:space="preserve"> PAGEREF _Toc29841 \h </w:instrText>
          </w:r>
          <w:r>
            <w:rPr>
              <w:color w:val="auto"/>
            </w:rPr>
            <w:fldChar w:fldCharType="separate"/>
          </w:r>
          <w:r>
            <w:rPr>
              <w:color w:val="auto"/>
            </w:rPr>
            <w:t>34</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_Toc3367 </w:instrText>
          </w:r>
          <w:r>
            <w:rPr>
              <w:color w:val="auto"/>
              <w:szCs w:val="21"/>
            </w:rPr>
            <w:fldChar w:fldCharType="separate"/>
          </w:r>
          <w:r>
            <w:rPr>
              <w:color w:val="auto"/>
            </w:rPr>
            <w:t>3.</w:t>
          </w:r>
          <w:r>
            <w:rPr>
              <w:rFonts w:hint="eastAsia"/>
              <w:color w:val="auto"/>
              <w:lang w:val="en-US" w:eastAsia="zh-CN"/>
            </w:rPr>
            <w:t>2</w:t>
          </w:r>
          <w:r>
            <w:rPr>
              <w:color w:val="auto"/>
            </w:rPr>
            <w:t>.</w:t>
          </w:r>
          <w:r>
            <w:rPr>
              <w:rFonts w:hint="eastAsia"/>
              <w:color w:val="auto"/>
              <w:lang w:val="en-US" w:eastAsia="zh-CN"/>
            </w:rPr>
            <w:t>5</w:t>
          </w:r>
          <w:r>
            <w:rPr>
              <w:color w:val="auto"/>
            </w:rPr>
            <w:t>总平面布置</w:t>
          </w:r>
          <w:r>
            <w:rPr>
              <w:color w:val="auto"/>
            </w:rPr>
            <w:tab/>
          </w:r>
          <w:r>
            <w:rPr>
              <w:color w:val="auto"/>
            </w:rPr>
            <w:fldChar w:fldCharType="begin"/>
          </w:r>
          <w:r>
            <w:rPr>
              <w:color w:val="auto"/>
            </w:rPr>
            <w:instrText xml:space="preserve"> PAGEREF _Toc3367 \h </w:instrText>
          </w:r>
          <w:r>
            <w:rPr>
              <w:color w:val="auto"/>
            </w:rPr>
            <w:fldChar w:fldCharType="separate"/>
          </w:r>
          <w:r>
            <w:rPr>
              <w:color w:val="auto"/>
            </w:rPr>
            <w:t>36</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_Toc1156 </w:instrText>
          </w:r>
          <w:r>
            <w:rPr>
              <w:color w:val="auto"/>
              <w:szCs w:val="21"/>
            </w:rPr>
            <w:fldChar w:fldCharType="separate"/>
          </w:r>
          <w:r>
            <w:rPr>
              <w:color w:val="auto"/>
            </w:rPr>
            <w:t>3.</w:t>
          </w:r>
          <w:r>
            <w:rPr>
              <w:rFonts w:hint="eastAsia"/>
              <w:color w:val="auto"/>
              <w:lang w:val="en-US" w:eastAsia="zh-CN"/>
            </w:rPr>
            <w:t>2</w:t>
          </w:r>
          <w:r>
            <w:rPr>
              <w:color w:val="auto"/>
            </w:rPr>
            <w:t>.</w:t>
          </w:r>
          <w:r>
            <w:rPr>
              <w:rFonts w:hint="eastAsia"/>
              <w:color w:val="auto"/>
              <w:lang w:val="en-US" w:eastAsia="zh-CN"/>
            </w:rPr>
            <w:t>6</w:t>
          </w:r>
          <w:r>
            <w:rPr>
              <w:color w:val="auto"/>
            </w:rPr>
            <w:t>劳动定员及工作制度</w:t>
          </w:r>
          <w:r>
            <w:rPr>
              <w:color w:val="auto"/>
            </w:rPr>
            <w:tab/>
          </w:r>
          <w:r>
            <w:rPr>
              <w:color w:val="auto"/>
            </w:rPr>
            <w:fldChar w:fldCharType="begin"/>
          </w:r>
          <w:r>
            <w:rPr>
              <w:color w:val="auto"/>
            </w:rPr>
            <w:instrText xml:space="preserve"> PAGEREF _Toc1156 \h </w:instrText>
          </w:r>
          <w:r>
            <w:rPr>
              <w:color w:val="auto"/>
            </w:rPr>
            <w:fldChar w:fldCharType="separate"/>
          </w:r>
          <w:r>
            <w:rPr>
              <w:color w:val="auto"/>
            </w:rPr>
            <w:t>37</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_Toc3904 </w:instrText>
          </w:r>
          <w:r>
            <w:rPr>
              <w:color w:val="auto"/>
              <w:szCs w:val="21"/>
            </w:rPr>
            <w:fldChar w:fldCharType="separate"/>
          </w:r>
          <w:r>
            <w:rPr>
              <w:rFonts w:hint="eastAsia"/>
              <w:color w:val="auto"/>
              <w:lang w:val="en-US" w:eastAsia="zh-CN"/>
            </w:rPr>
            <w:t>3.3工程分析</w:t>
          </w:r>
          <w:r>
            <w:rPr>
              <w:color w:val="auto"/>
            </w:rPr>
            <w:tab/>
          </w:r>
          <w:r>
            <w:rPr>
              <w:color w:val="auto"/>
            </w:rPr>
            <w:fldChar w:fldCharType="begin"/>
          </w:r>
          <w:r>
            <w:rPr>
              <w:color w:val="auto"/>
            </w:rPr>
            <w:instrText xml:space="preserve"> PAGEREF _Toc3904 \h </w:instrText>
          </w:r>
          <w:r>
            <w:rPr>
              <w:color w:val="auto"/>
            </w:rPr>
            <w:fldChar w:fldCharType="separate"/>
          </w:r>
          <w:r>
            <w:rPr>
              <w:color w:val="auto"/>
            </w:rPr>
            <w:t>37</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_Toc16388 </w:instrText>
          </w:r>
          <w:r>
            <w:rPr>
              <w:color w:val="auto"/>
              <w:szCs w:val="21"/>
            </w:rPr>
            <w:fldChar w:fldCharType="separate"/>
          </w:r>
          <w:r>
            <w:rPr>
              <w:color w:val="auto"/>
            </w:rPr>
            <w:t>3.</w:t>
          </w:r>
          <w:r>
            <w:rPr>
              <w:rFonts w:hint="eastAsia"/>
              <w:color w:val="auto"/>
              <w:lang w:val="en-US" w:eastAsia="zh-CN"/>
            </w:rPr>
            <w:t>3</w:t>
          </w:r>
          <w:r>
            <w:rPr>
              <w:color w:val="auto"/>
            </w:rPr>
            <w:t>.1施工期工艺流程及产物环节</w:t>
          </w:r>
          <w:r>
            <w:rPr>
              <w:color w:val="auto"/>
            </w:rPr>
            <w:tab/>
          </w:r>
          <w:r>
            <w:rPr>
              <w:color w:val="auto"/>
            </w:rPr>
            <w:fldChar w:fldCharType="begin"/>
          </w:r>
          <w:r>
            <w:rPr>
              <w:color w:val="auto"/>
            </w:rPr>
            <w:instrText xml:space="preserve"> PAGEREF _Toc16388 \h </w:instrText>
          </w:r>
          <w:r>
            <w:rPr>
              <w:color w:val="auto"/>
            </w:rPr>
            <w:fldChar w:fldCharType="separate"/>
          </w:r>
          <w:r>
            <w:rPr>
              <w:color w:val="auto"/>
            </w:rPr>
            <w:t>37</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_Toc4220 </w:instrText>
          </w:r>
          <w:r>
            <w:rPr>
              <w:color w:val="auto"/>
              <w:szCs w:val="21"/>
            </w:rPr>
            <w:fldChar w:fldCharType="separate"/>
          </w:r>
          <w:r>
            <w:rPr>
              <w:color w:val="auto"/>
            </w:rPr>
            <w:t>3.</w:t>
          </w:r>
          <w:r>
            <w:rPr>
              <w:rFonts w:hint="eastAsia"/>
              <w:color w:val="auto"/>
              <w:lang w:val="en-US" w:eastAsia="zh-CN"/>
            </w:rPr>
            <w:t>3</w:t>
          </w:r>
          <w:r>
            <w:rPr>
              <w:color w:val="auto"/>
            </w:rPr>
            <w:t>.2运营期工艺流程及产物环节</w:t>
          </w:r>
          <w:r>
            <w:rPr>
              <w:color w:val="auto"/>
            </w:rPr>
            <w:tab/>
          </w:r>
          <w:r>
            <w:rPr>
              <w:color w:val="auto"/>
            </w:rPr>
            <w:fldChar w:fldCharType="begin"/>
          </w:r>
          <w:r>
            <w:rPr>
              <w:color w:val="auto"/>
            </w:rPr>
            <w:instrText xml:space="preserve"> PAGEREF _Toc4220 \h </w:instrText>
          </w:r>
          <w:r>
            <w:rPr>
              <w:color w:val="auto"/>
            </w:rPr>
            <w:fldChar w:fldCharType="separate"/>
          </w:r>
          <w:r>
            <w:rPr>
              <w:color w:val="auto"/>
            </w:rPr>
            <w:t>37</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_Toc13754 </w:instrText>
          </w:r>
          <w:r>
            <w:rPr>
              <w:color w:val="auto"/>
              <w:szCs w:val="21"/>
            </w:rPr>
            <w:fldChar w:fldCharType="separate"/>
          </w:r>
          <w:r>
            <w:rPr>
              <w:color w:val="auto"/>
            </w:rPr>
            <w:t>3.</w:t>
          </w:r>
          <w:r>
            <w:rPr>
              <w:rFonts w:hint="eastAsia"/>
              <w:color w:val="auto"/>
              <w:lang w:val="en-US" w:eastAsia="zh-CN"/>
            </w:rPr>
            <w:t>4</w:t>
          </w:r>
          <w:r>
            <w:rPr>
              <w:color w:val="auto"/>
            </w:rPr>
            <w:t>施工期污染源分析</w:t>
          </w:r>
          <w:r>
            <w:rPr>
              <w:color w:val="auto"/>
            </w:rPr>
            <w:tab/>
          </w:r>
          <w:r>
            <w:rPr>
              <w:color w:val="auto"/>
            </w:rPr>
            <w:fldChar w:fldCharType="begin"/>
          </w:r>
          <w:r>
            <w:rPr>
              <w:color w:val="auto"/>
            </w:rPr>
            <w:instrText xml:space="preserve"> PAGEREF _Toc13754 \h </w:instrText>
          </w:r>
          <w:r>
            <w:rPr>
              <w:color w:val="auto"/>
            </w:rPr>
            <w:fldChar w:fldCharType="separate"/>
          </w:r>
          <w:r>
            <w:rPr>
              <w:color w:val="auto"/>
            </w:rPr>
            <w:t>38</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_Toc1340 </w:instrText>
          </w:r>
          <w:r>
            <w:rPr>
              <w:color w:val="auto"/>
              <w:szCs w:val="21"/>
            </w:rPr>
            <w:fldChar w:fldCharType="separate"/>
          </w:r>
          <w:r>
            <w:rPr>
              <w:color w:val="auto"/>
            </w:rPr>
            <w:t>3.</w:t>
          </w:r>
          <w:r>
            <w:rPr>
              <w:rFonts w:hint="eastAsia"/>
              <w:color w:val="auto"/>
              <w:lang w:val="en-US" w:eastAsia="zh-CN"/>
            </w:rPr>
            <w:t>4</w:t>
          </w:r>
          <w:r>
            <w:rPr>
              <w:color w:val="auto"/>
            </w:rPr>
            <w:t>.1大气污染源分析</w:t>
          </w:r>
          <w:r>
            <w:rPr>
              <w:color w:val="auto"/>
            </w:rPr>
            <w:tab/>
          </w:r>
          <w:r>
            <w:rPr>
              <w:color w:val="auto"/>
            </w:rPr>
            <w:fldChar w:fldCharType="begin"/>
          </w:r>
          <w:r>
            <w:rPr>
              <w:color w:val="auto"/>
            </w:rPr>
            <w:instrText xml:space="preserve"> PAGEREF _Toc1340 \h </w:instrText>
          </w:r>
          <w:r>
            <w:rPr>
              <w:color w:val="auto"/>
            </w:rPr>
            <w:fldChar w:fldCharType="separate"/>
          </w:r>
          <w:r>
            <w:rPr>
              <w:color w:val="auto"/>
            </w:rPr>
            <w:t>38</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_Toc3956 </w:instrText>
          </w:r>
          <w:r>
            <w:rPr>
              <w:color w:val="auto"/>
              <w:szCs w:val="21"/>
            </w:rPr>
            <w:fldChar w:fldCharType="separate"/>
          </w:r>
          <w:r>
            <w:rPr>
              <w:color w:val="auto"/>
            </w:rPr>
            <w:t>3.</w:t>
          </w:r>
          <w:r>
            <w:rPr>
              <w:rFonts w:hint="eastAsia"/>
              <w:color w:val="auto"/>
              <w:lang w:val="en-US" w:eastAsia="zh-CN"/>
            </w:rPr>
            <w:t>4</w:t>
          </w:r>
          <w:r>
            <w:rPr>
              <w:color w:val="auto"/>
            </w:rPr>
            <w:t>.2水污染源分析</w:t>
          </w:r>
          <w:r>
            <w:rPr>
              <w:color w:val="auto"/>
            </w:rPr>
            <w:tab/>
          </w:r>
          <w:r>
            <w:rPr>
              <w:color w:val="auto"/>
            </w:rPr>
            <w:fldChar w:fldCharType="begin"/>
          </w:r>
          <w:r>
            <w:rPr>
              <w:color w:val="auto"/>
            </w:rPr>
            <w:instrText xml:space="preserve"> PAGEREF _Toc3956 \h </w:instrText>
          </w:r>
          <w:r>
            <w:rPr>
              <w:color w:val="auto"/>
            </w:rPr>
            <w:fldChar w:fldCharType="separate"/>
          </w:r>
          <w:r>
            <w:rPr>
              <w:color w:val="auto"/>
            </w:rPr>
            <w:t>38</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_Toc9022 </w:instrText>
          </w:r>
          <w:r>
            <w:rPr>
              <w:color w:val="auto"/>
              <w:szCs w:val="21"/>
            </w:rPr>
            <w:fldChar w:fldCharType="separate"/>
          </w:r>
          <w:r>
            <w:rPr>
              <w:color w:val="auto"/>
            </w:rPr>
            <w:t>3.</w:t>
          </w:r>
          <w:r>
            <w:rPr>
              <w:rFonts w:hint="eastAsia"/>
              <w:color w:val="auto"/>
              <w:lang w:val="en-US" w:eastAsia="zh-CN"/>
            </w:rPr>
            <w:t>4</w:t>
          </w:r>
          <w:r>
            <w:rPr>
              <w:color w:val="auto"/>
            </w:rPr>
            <w:t>.3噪声污染源分析</w:t>
          </w:r>
          <w:r>
            <w:rPr>
              <w:color w:val="auto"/>
            </w:rPr>
            <w:tab/>
          </w:r>
          <w:r>
            <w:rPr>
              <w:color w:val="auto"/>
            </w:rPr>
            <w:fldChar w:fldCharType="begin"/>
          </w:r>
          <w:r>
            <w:rPr>
              <w:color w:val="auto"/>
            </w:rPr>
            <w:instrText xml:space="preserve"> PAGEREF _Toc9022 \h </w:instrText>
          </w:r>
          <w:r>
            <w:rPr>
              <w:color w:val="auto"/>
            </w:rPr>
            <w:fldChar w:fldCharType="separate"/>
          </w:r>
          <w:r>
            <w:rPr>
              <w:color w:val="auto"/>
            </w:rPr>
            <w:t>39</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_Toc14972 </w:instrText>
          </w:r>
          <w:r>
            <w:rPr>
              <w:color w:val="auto"/>
              <w:szCs w:val="21"/>
            </w:rPr>
            <w:fldChar w:fldCharType="separate"/>
          </w:r>
          <w:r>
            <w:rPr>
              <w:color w:val="auto"/>
            </w:rPr>
            <w:t>3.</w:t>
          </w:r>
          <w:r>
            <w:rPr>
              <w:rFonts w:hint="eastAsia"/>
              <w:color w:val="auto"/>
              <w:lang w:val="en-US" w:eastAsia="zh-CN"/>
            </w:rPr>
            <w:t>4</w:t>
          </w:r>
          <w:r>
            <w:rPr>
              <w:color w:val="auto"/>
            </w:rPr>
            <w:t>.4固体废物污染源分析</w:t>
          </w:r>
          <w:r>
            <w:rPr>
              <w:color w:val="auto"/>
            </w:rPr>
            <w:tab/>
          </w:r>
          <w:r>
            <w:rPr>
              <w:color w:val="auto"/>
            </w:rPr>
            <w:fldChar w:fldCharType="begin"/>
          </w:r>
          <w:r>
            <w:rPr>
              <w:color w:val="auto"/>
            </w:rPr>
            <w:instrText xml:space="preserve"> PAGEREF _Toc14972 \h </w:instrText>
          </w:r>
          <w:r>
            <w:rPr>
              <w:color w:val="auto"/>
            </w:rPr>
            <w:fldChar w:fldCharType="separate"/>
          </w:r>
          <w:r>
            <w:rPr>
              <w:color w:val="auto"/>
            </w:rPr>
            <w:t>39</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_Toc32545 </w:instrText>
          </w:r>
          <w:r>
            <w:rPr>
              <w:color w:val="auto"/>
              <w:szCs w:val="21"/>
            </w:rPr>
            <w:fldChar w:fldCharType="separate"/>
          </w:r>
          <w:r>
            <w:rPr>
              <w:color w:val="auto"/>
            </w:rPr>
            <w:t>3.</w:t>
          </w:r>
          <w:r>
            <w:rPr>
              <w:rFonts w:hint="eastAsia"/>
              <w:color w:val="auto"/>
              <w:lang w:val="en-US" w:eastAsia="zh-CN"/>
            </w:rPr>
            <w:t>4</w:t>
          </w:r>
          <w:r>
            <w:rPr>
              <w:color w:val="auto"/>
            </w:rPr>
            <w:t>.5对生态环境的影响</w:t>
          </w:r>
          <w:r>
            <w:rPr>
              <w:color w:val="auto"/>
            </w:rPr>
            <w:tab/>
          </w:r>
          <w:r>
            <w:rPr>
              <w:color w:val="auto"/>
            </w:rPr>
            <w:fldChar w:fldCharType="begin"/>
          </w:r>
          <w:r>
            <w:rPr>
              <w:color w:val="auto"/>
            </w:rPr>
            <w:instrText xml:space="preserve"> PAGEREF _Toc32545 \h </w:instrText>
          </w:r>
          <w:r>
            <w:rPr>
              <w:color w:val="auto"/>
            </w:rPr>
            <w:fldChar w:fldCharType="separate"/>
          </w:r>
          <w:r>
            <w:rPr>
              <w:color w:val="auto"/>
            </w:rPr>
            <w:t>39</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_Toc19333 </w:instrText>
          </w:r>
          <w:r>
            <w:rPr>
              <w:color w:val="auto"/>
              <w:szCs w:val="21"/>
            </w:rPr>
            <w:fldChar w:fldCharType="separate"/>
          </w:r>
          <w:r>
            <w:rPr>
              <w:color w:val="auto"/>
            </w:rPr>
            <w:t>3.</w:t>
          </w:r>
          <w:r>
            <w:rPr>
              <w:rFonts w:hint="eastAsia"/>
              <w:color w:val="auto"/>
              <w:lang w:val="en-US" w:eastAsia="zh-CN"/>
            </w:rPr>
            <w:t>5</w:t>
          </w:r>
          <w:r>
            <w:rPr>
              <w:color w:val="auto"/>
            </w:rPr>
            <w:t>运营期污染源分析</w:t>
          </w:r>
          <w:r>
            <w:rPr>
              <w:color w:val="auto"/>
            </w:rPr>
            <w:tab/>
          </w:r>
          <w:r>
            <w:rPr>
              <w:color w:val="auto"/>
            </w:rPr>
            <w:fldChar w:fldCharType="begin"/>
          </w:r>
          <w:r>
            <w:rPr>
              <w:color w:val="auto"/>
            </w:rPr>
            <w:instrText xml:space="preserve"> PAGEREF _Toc19333 \h </w:instrText>
          </w:r>
          <w:r>
            <w:rPr>
              <w:color w:val="auto"/>
            </w:rPr>
            <w:fldChar w:fldCharType="separate"/>
          </w:r>
          <w:r>
            <w:rPr>
              <w:color w:val="auto"/>
            </w:rPr>
            <w:t>39</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_Toc11028 </w:instrText>
          </w:r>
          <w:r>
            <w:rPr>
              <w:color w:val="auto"/>
              <w:szCs w:val="21"/>
            </w:rPr>
            <w:fldChar w:fldCharType="separate"/>
          </w:r>
          <w:r>
            <w:rPr>
              <w:color w:val="auto"/>
            </w:rPr>
            <w:t>3.</w:t>
          </w:r>
          <w:r>
            <w:rPr>
              <w:rFonts w:hint="eastAsia"/>
              <w:color w:val="auto"/>
              <w:lang w:val="en-US" w:eastAsia="zh-CN"/>
            </w:rPr>
            <w:t>5</w:t>
          </w:r>
          <w:r>
            <w:rPr>
              <w:color w:val="auto"/>
            </w:rPr>
            <w:t>.1大气污染源分析</w:t>
          </w:r>
          <w:r>
            <w:rPr>
              <w:color w:val="auto"/>
            </w:rPr>
            <w:tab/>
          </w:r>
          <w:r>
            <w:rPr>
              <w:color w:val="auto"/>
            </w:rPr>
            <w:fldChar w:fldCharType="begin"/>
          </w:r>
          <w:r>
            <w:rPr>
              <w:color w:val="auto"/>
            </w:rPr>
            <w:instrText xml:space="preserve"> PAGEREF _Toc11028 \h </w:instrText>
          </w:r>
          <w:r>
            <w:rPr>
              <w:color w:val="auto"/>
            </w:rPr>
            <w:fldChar w:fldCharType="separate"/>
          </w:r>
          <w:r>
            <w:rPr>
              <w:color w:val="auto"/>
            </w:rPr>
            <w:t>39</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_Toc17187 </w:instrText>
          </w:r>
          <w:r>
            <w:rPr>
              <w:color w:val="auto"/>
              <w:szCs w:val="21"/>
            </w:rPr>
            <w:fldChar w:fldCharType="separate"/>
          </w:r>
          <w:r>
            <w:rPr>
              <w:color w:val="auto"/>
            </w:rPr>
            <w:t>3.</w:t>
          </w:r>
          <w:r>
            <w:rPr>
              <w:rFonts w:hint="eastAsia"/>
              <w:color w:val="auto"/>
              <w:lang w:val="en-US" w:eastAsia="zh-CN"/>
            </w:rPr>
            <w:t>5</w:t>
          </w:r>
          <w:r>
            <w:rPr>
              <w:color w:val="auto"/>
            </w:rPr>
            <w:t>.2废水污染源分析</w:t>
          </w:r>
          <w:r>
            <w:rPr>
              <w:color w:val="auto"/>
            </w:rPr>
            <w:tab/>
          </w:r>
          <w:r>
            <w:rPr>
              <w:color w:val="auto"/>
            </w:rPr>
            <w:fldChar w:fldCharType="begin"/>
          </w:r>
          <w:r>
            <w:rPr>
              <w:color w:val="auto"/>
            </w:rPr>
            <w:instrText xml:space="preserve"> PAGEREF _Toc17187 \h </w:instrText>
          </w:r>
          <w:r>
            <w:rPr>
              <w:color w:val="auto"/>
            </w:rPr>
            <w:fldChar w:fldCharType="separate"/>
          </w:r>
          <w:r>
            <w:rPr>
              <w:color w:val="auto"/>
            </w:rPr>
            <w:t>41</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_Toc2038 </w:instrText>
          </w:r>
          <w:r>
            <w:rPr>
              <w:color w:val="auto"/>
              <w:szCs w:val="21"/>
            </w:rPr>
            <w:fldChar w:fldCharType="separate"/>
          </w:r>
          <w:r>
            <w:rPr>
              <w:color w:val="auto"/>
            </w:rPr>
            <w:t>3.</w:t>
          </w:r>
          <w:r>
            <w:rPr>
              <w:rFonts w:hint="eastAsia"/>
              <w:color w:val="auto"/>
              <w:lang w:val="en-US" w:eastAsia="zh-CN"/>
            </w:rPr>
            <w:t>5</w:t>
          </w:r>
          <w:r>
            <w:rPr>
              <w:color w:val="auto"/>
            </w:rPr>
            <w:t>.3噪声</w:t>
          </w:r>
          <w:r>
            <w:rPr>
              <w:color w:val="auto"/>
            </w:rPr>
            <w:tab/>
          </w:r>
          <w:r>
            <w:rPr>
              <w:color w:val="auto"/>
            </w:rPr>
            <w:fldChar w:fldCharType="begin"/>
          </w:r>
          <w:r>
            <w:rPr>
              <w:color w:val="auto"/>
            </w:rPr>
            <w:instrText xml:space="preserve"> PAGEREF _Toc2038 \h </w:instrText>
          </w:r>
          <w:r>
            <w:rPr>
              <w:color w:val="auto"/>
            </w:rPr>
            <w:fldChar w:fldCharType="separate"/>
          </w:r>
          <w:r>
            <w:rPr>
              <w:color w:val="auto"/>
            </w:rPr>
            <w:t>43</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_Toc16108 </w:instrText>
          </w:r>
          <w:r>
            <w:rPr>
              <w:color w:val="auto"/>
              <w:szCs w:val="21"/>
            </w:rPr>
            <w:fldChar w:fldCharType="separate"/>
          </w:r>
          <w:r>
            <w:rPr>
              <w:color w:val="auto"/>
            </w:rPr>
            <w:t>3.</w:t>
          </w:r>
          <w:r>
            <w:rPr>
              <w:rFonts w:hint="eastAsia"/>
              <w:color w:val="auto"/>
              <w:lang w:val="en-US" w:eastAsia="zh-CN"/>
            </w:rPr>
            <w:t>5</w:t>
          </w:r>
          <w:r>
            <w:rPr>
              <w:color w:val="auto"/>
            </w:rPr>
            <w:t>.4固体废物污染源分析</w:t>
          </w:r>
          <w:r>
            <w:rPr>
              <w:color w:val="auto"/>
            </w:rPr>
            <w:tab/>
          </w:r>
          <w:r>
            <w:rPr>
              <w:color w:val="auto"/>
            </w:rPr>
            <w:fldChar w:fldCharType="begin"/>
          </w:r>
          <w:r>
            <w:rPr>
              <w:color w:val="auto"/>
            </w:rPr>
            <w:instrText xml:space="preserve"> PAGEREF _Toc16108 \h </w:instrText>
          </w:r>
          <w:r>
            <w:rPr>
              <w:color w:val="auto"/>
            </w:rPr>
            <w:fldChar w:fldCharType="separate"/>
          </w:r>
          <w:r>
            <w:rPr>
              <w:color w:val="auto"/>
            </w:rPr>
            <w:t>43</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_Toc17516 </w:instrText>
          </w:r>
          <w:r>
            <w:rPr>
              <w:color w:val="auto"/>
              <w:szCs w:val="21"/>
            </w:rPr>
            <w:fldChar w:fldCharType="separate"/>
          </w:r>
          <w:r>
            <w:rPr>
              <w:color w:val="auto"/>
              <w:highlight w:val="none"/>
            </w:rPr>
            <w:t>3.</w:t>
          </w:r>
          <w:r>
            <w:rPr>
              <w:rFonts w:hint="eastAsia"/>
              <w:color w:val="auto"/>
              <w:highlight w:val="none"/>
              <w:lang w:val="en-US" w:eastAsia="zh-CN"/>
            </w:rPr>
            <w:t>5</w:t>
          </w:r>
          <w:r>
            <w:rPr>
              <w:color w:val="auto"/>
              <w:highlight w:val="none"/>
            </w:rPr>
            <w:t>.5运营期“三废”产排情况汇总</w:t>
          </w:r>
          <w:r>
            <w:rPr>
              <w:color w:val="auto"/>
            </w:rPr>
            <w:tab/>
          </w:r>
          <w:r>
            <w:rPr>
              <w:color w:val="auto"/>
            </w:rPr>
            <w:fldChar w:fldCharType="begin"/>
          </w:r>
          <w:r>
            <w:rPr>
              <w:color w:val="auto"/>
            </w:rPr>
            <w:instrText xml:space="preserve"> PAGEREF _Toc17516 \h </w:instrText>
          </w:r>
          <w:r>
            <w:rPr>
              <w:color w:val="auto"/>
            </w:rPr>
            <w:fldChar w:fldCharType="separate"/>
          </w:r>
          <w:r>
            <w:rPr>
              <w:color w:val="auto"/>
            </w:rPr>
            <w:t>47</w:t>
          </w:r>
          <w:r>
            <w:rPr>
              <w:color w:val="auto"/>
            </w:rPr>
            <w:fldChar w:fldCharType="end"/>
          </w:r>
          <w:r>
            <w:rPr>
              <w:color w:val="auto"/>
              <w:szCs w:val="21"/>
            </w:rPr>
            <w:fldChar w:fldCharType="end"/>
          </w:r>
        </w:p>
        <w:p>
          <w:pPr>
            <w:pStyle w:val="14"/>
            <w:tabs>
              <w:tab w:val="right" w:leader="dot" w:pos="8306"/>
            </w:tabs>
            <w:rPr>
              <w:color w:val="auto"/>
            </w:rPr>
          </w:pPr>
          <w:r>
            <w:rPr>
              <w:color w:val="auto"/>
              <w:szCs w:val="21"/>
            </w:rPr>
            <w:fldChar w:fldCharType="begin"/>
          </w:r>
          <w:r>
            <w:rPr>
              <w:color w:val="auto"/>
              <w:szCs w:val="21"/>
            </w:rPr>
            <w:instrText xml:space="preserve"> HYPERLINK \l _Toc17586 </w:instrText>
          </w:r>
          <w:r>
            <w:rPr>
              <w:color w:val="auto"/>
              <w:szCs w:val="21"/>
            </w:rPr>
            <w:fldChar w:fldCharType="separate"/>
          </w:r>
          <w:r>
            <w:rPr>
              <w:color w:val="auto"/>
            </w:rPr>
            <w:t>4环境现状调查与评价</w:t>
          </w:r>
          <w:r>
            <w:rPr>
              <w:color w:val="auto"/>
            </w:rPr>
            <w:tab/>
          </w:r>
          <w:r>
            <w:rPr>
              <w:color w:val="auto"/>
            </w:rPr>
            <w:fldChar w:fldCharType="begin"/>
          </w:r>
          <w:r>
            <w:rPr>
              <w:color w:val="auto"/>
            </w:rPr>
            <w:instrText xml:space="preserve"> PAGEREF _Toc17586 \h </w:instrText>
          </w:r>
          <w:r>
            <w:rPr>
              <w:color w:val="auto"/>
            </w:rPr>
            <w:fldChar w:fldCharType="separate"/>
          </w:r>
          <w:r>
            <w:rPr>
              <w:color w:val="auto"/>
            </w:rPr>
            <w:t>48</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_Toc8637 </w:instrText>
          </w:r>
          <w:r>
            <w:rPr>
              <w:color w:val="auto"/>
              <w:szCs w:val="21"/>
            </w:rPr>
            <w:fldChar w:fldCharType="separate"/>
          </w:r>
          <w:r>
            <w:rPr>
              <w:color w:val="auto"/>
            </w:rPr>
            <w:t>4.1自然环境概况</w:t>
          </w:r>
          <w:r>
            <w:rPr>
              <w:color w:val="auto"/>
            </w:rPr>
            <w:tab/>
          </w:r>
          <w:r>
            <w:rPr>
              <w:color w:val="auto"/>
            </w:rPr>
            <w:fldChar w:fldCharType="begin"/>
          </w:r>
          <w:r>
            <w:rPr>
              <w:color w:val="auto"/>
            </w:rPr>
            <w:instrText xml:space="preserve"> PAGEREF _Toc8637 \h </w:instrText>
          </w:r>
          <w:r>
            <w:rPr>
              <w:color w:val="auto"/>
            </w:rPr>
            <w:fldChar w:fldCharType="separate"/>
          </w:r>
          <w:r>
            <w:rPr>
              <w:color w:val="auto"/>
            </w:rPr>
            <w:t>48</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_Toc118 </w:instrText>
          </w:r>
          <w:r>
            <w:rPr>
              <w:color w:val="auto"/>
              <w:szCs w:val="21"/>
            </w:rPr>
            <w:fldChar w:fldCharType="separate"/>
          </w:r>
          <w:r>
            <w:rPr>
              <w:color w:val="auto"/>
            </w:rPr>
            <w:t>4.1.1地理位置</w:t>
          </w:r>
          <w:r>
            <w:rPr>
              <w:color w:val="auto"/>
            </w:rPr>
            <w:tab/>
          </w:r>
          <w:r>
            <w:rPr>
              <w:color w:val="auto"/>
            </w:rPr>
            <w:fldChar w:fldCharType="begin"/>
          </w:r>
          <w:r>
            <w:rPr>
              <w:color w:val="auto"/>
            </w:rPr>
            <w:instrText xml:space="preserve"> PAGEREF _Toc118 \h </w:instrText>
          </w:r>
          <w:r>
            <w:rPr>
              <w:color w:val="auto"/>
            </w:rPr>
            <w:fldChar w:fldCharType="separate"/>
          </w:r>
          <w:r>
            <w:rPr>
              <w:color w:val="auto"/>
            </w:rPr>
            <w:t>48</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_Toc5232 </w:instrText>
          </w:r>
          <w:r>
            <w:rPr>
              <w:color w:val="auto"/>
              <w:szCs w:val="21"/>
            </w:rPr>
            <w:fldChar w:fldCharType="separate"/>
          </w:r>
          <w:r>
            <w:rPr>
              <w:rFonts w:hint="eastAsia"/>
              <w:color w:val="auto"/>
              <w:lang w:val="en-US" w:eastAsia="zh-CN"/>
            </w:rPr>
            <w:t>4.1.2地形地貌</w:t>
          </w:r>
          <w:r>
            <w:rPr>
              <w:color w:val="auto"/>
            </w:rPr>
            <w:tab/>
          </w:r>
          <w:r>
            <w:rPr>
              <w:color w:val="auto"/>
            </w:rPr>
            <w:fldChar w:fldCharType="begin"/>
          </w:r>
          <w:r>
            <w:rPr>
              <w:color w:val="auto"/>
            </w:rPr>
            <w:instrText xml:space="preserve"> PAGEREF _Toc5232 \h </w:instrText>
          </w:r>
          <w:r>
            <w:rPr>
              <w:color w:val="auto"/>
            </w:rPr>
            <w:fldChar w:fldCharType="separate"/>
          </w:r>
          <w:r>
            <w:rPr>
              <w:color w:val="auto"/>
            </w:rPr>
            <w:t>48</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_Toc21249 </w:instrText>
          </w:r>
          <w:r>
            <w:rPr>
              <w:color w:val="auto"/>
              <w:szCs w:val="21"/>
            </w:rPr>
            <w:fldChar w:fldCharType="separate"/>
          </w:r>
          <w:r>
            <w:rPr>
              <w:rFonts w:hint="eastAsia"/>
              <w:color w:val="auto"/>
              <w:szCs w:val="24"/>
              <w:lang w:val="en-US" w:eastAsia="zh-CN"/>
            </w:rPr>
            <w:t>4.1.3气候与气象</w:t>
          </w:r>
          <w:r>
            <w:rPr>
              <w:color w:val="auto"/>
            </w:rPr>
            <w:tab/>
          </w:r>
          <w:r>
            <w:rPr>
              <w:color w:val="auto"/>
            </w:rPr>
            <w:fldChar w:fldCharType="begin"/>
          </w:r>
          <w:r>
            <w:rPr>
              <w:color w:val="auto"/>
            </w:rPr>
            <w:instrText xml:space="preserve"> PAGEREF _Toc21249 \h </w:instrText>
          </w:r>
          <w:r>
            <w:rPr>
              <w:color w:val="auto"/>
            </w:rPr>
            <w:fldChar w:fldCharType="separate"/>
          </w:r>
          <w:r>
            <w:rPr>
              <w:color w:val="auto"/>
            </w:rPr>
            <w:t>50</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_Toc18179 </w:instrText>
          </w:r>
          <w:r>
            <w:rPr>
              <w:color w:val="auto"/>
              <w:szCs w:val="21"/>
            </w:rPr>
            <w:fldChar w:fldCharType="separate"/>
          </w:r>
          <w:r>
            <w:rPr>
              <w:rFonts w:hint="eastAsia"/>
              <w:color w:val="auto"/>
              <w:lang w:val="en-US" w:eastAsia="zh-CN"/>
            </w:rPr>
            <w:t>4.1.4水文及水文地质</w:t>
          </w:r>
          <w:r>
            <w:rPr>
              <w:color w:val="auto"/>
            </w:rPr>
            <w:tab/>
          </w:r>
          <w:r>
            <w:rPr>
              <w:color w:val="auto"/>
            </w:rPr>
            <w:fldChar w:fldCharType="begin"/>
          </w:r>
          <w:r>
            <w:rPr>
              <w:color w:val="auto"/>
            </w:rPr>
            <w:instrText xml:space="preserve"> PAGEREF _Toc18179 \h </w:instrText>
          </w:r>
          <w:r>
            <w:rPr>
              <w:color w:val="auto"/>
            </w:rPr>
            <w:fldChar w:fldCharType="separate"/>
          </w:r>
          <w:r>
            <w:rPr>
              <w:color w:val="auto"/>
            </w:rPr>
            <w:t>50</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_Toc15948 </w:instrText>
          </w:r>
          <w:r>
            <w:rPr>
              <w:color w:val="auto"/>
              <w:szCs w:val="21"/>
            </w:rPr>
            <w:fldChar w:fldCharType="separate"/>
          </w:r>
          <w:r>
            <w:rPr>
              <w:rFonts w:hint="eastAsia"/>
              <w:color w:val="auto"/>
              <w:lang w:val="en-US" w:eastAsia="zh-CN"/>
            </w:rPr>
            <w:t>4.1.4.1水文</w:t>
          </w:r>
          <w:r>
            <w:rPr>
              <w:color w:val="auto"/>
            </w:rPr>
            <w:tab/>
          </w:r>
          <w:r>
            <w:rPr>
              <w:color w:val="auto"/>
            </w:rPr>
            <w:fldChar w:fldCharType="begin"/>
          </w:r>
          <w:r>
            <w:rPr>
              <w:color w:val="auto"/>
            </w:rPr>
            <w:instrText xml:space="preserve"> PAGEREF _Toc15948 \h </w:instrText>
          </w:r>
          <w:r>
            <w:rPr>
              <w:color w:val="auto"/>
            </w:rPr>
            <w:fldChar w:fldCharType="separate"/>
          </w:r>
          <w:r>
            <w:rPr>
              <w:color w:val="auto"/>
            </w:rPr>
            <w:t>50</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_Toc30517 </w:instrText>
          </w:r>
          <w:r>
            <w:rPr>
              <w:color w:val="auto"/>
              <w:szCs w:val="21"/>
            </w:rPr>
            <w:fldChar w:fldCharType="separate"/>
          </w:r>
          <w:r>
            <w:rPr>
              <w:rFonts w:hint="eastAsia"/>
              <w:color w:val="auto"/>
              <w:lang w:val="en-US" w:eastAsia="zh-CN"/>
            </w:rPr>
            <w:t>4.1.4.2地质</w:t>
          </w:r>
          <w:r>
            <w:rPr>
              <w:color w:val="auto"/>
            </w:rPr>
            <w:tab/>
          </w:r>
          <w:r>
            <w:rPr>
              <w:color w:val="auto"/>
            </w:rPr>
            <w:fldChar w:fldCharType="begin"/>
          </w:r>
          <w:r>
            <w:rPr>
              <w:color w:val="auto"/>
            </w:rPr>
            <w:instrText xml:space="preserve"> PAGEREF _Toc30517 \h </w:instrText>
          </w:r>
          <w:r>
            <w:rPr>
              <w:color w:val="auto"/>
            </w:rPr>
            <w:fldChar w:fldCharType="separate"/>
          </w:r>
          <w:r>
            <w:rPr>
              <w:color w:val="auto"/>
            </w:rPr>
            <w:t>51</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_Toc26139 </w:instrText>
          </w:r>
          <w:r>
            <w:rPr>
              <w:color w:val="auto"/>
              <w:szCs w:val="21"/>
            </w:rPr>
            <w:fldChar w:fldCharType="separate"/>
          </w:r>
          <w:r>
            <w:rPr>
              <w:rFonts w:hint="eastAsia"/>
              <w:color w:val="auto"/>
              <w:lang w:val="en-US" w:eastAsia="zh-CN"/>
            </w:rPr>
            <w:t>4.1.5生态环境</w:t>
          </w:r>
          <w:r>
            <w:rPr>
              <w:color w:val="auto"/>
            </w:rPr>
            <w:tab/>
          </w:r>
          <w:r>
            <w:rPr>
              <w:color w:val="auto"/>
            </w:rPr>
            <w:fldChar w:fldCharType="begin"/>
          </w:r>
          <w:r>
            <w:rPr>
              <w:color w:val="auto"/>
            </w:rPr>
            <w:instrText xml:space="preserve"> PAGEREF _Toc26139 \h </w:instrText>
          </w:r>
          <w:r>
            <w:rPr>
              <w:color w:val="auto"/>
            </w:rPr>
            <w:fldChar w:fldCharType="separate"/>
          </w:r>
          <w:r>
            <w:rPr>
              <w:color w:val="auto"/>
            </w:rPr>
            <w:t>52</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_Toc10934 </w:instrText>
          </w:r>
          <w:r>
            <w:rPr>
              <w:color w:val="auto"/>
              <w:szCs w:val="21"/>
            </w:rPr>
            <w:fldChar w:fldCharType="separate"/>
          </w:r>
          <w:r>
            <w:rPr>
              <w:rFonts w:hint="eastAsia"/>
              <w:color w:val="auto"/>
              <w:lang w:val="en-US" w:eastAsia="zh-CN"/>
            </w:rPr>
            <w:t>4.2环境质量现状评价</w:t>
          </w:r>
          <w:r>
            <w:rPr>
              <w:color w:val="auto"/>
            </w:rPr>
            <w:tab/>
          </w:r>
          <w:r>
            <w:rPr>
              <w:color w:val="auto"/>
            </w:rPr>
            <w:fldChar w:fldCharType="begin"/>
          </w:r>
          <w:r>
            <w:rPr>
              <w:color w:val="auto"/>
            </w:rPr>
            <w:instrText xml:space="preserve"> PAGEREF _Toc10934 \h </w:instrText>
          </w:r>
          <w:r>
            <w:rPr>
              <w:color w:val="auto"/>
            </w:rPr>
            <w:fldChar w:fldCharType="separate"/>
          </w:r>
          <w:r>
            <w:rPr>
              <w:color w:val="auto"/>
            </w:rPr>
            <w:t>52</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_Toc20085 </w:instrText>
          </w:r>
          <w:r>
            <w:rPr>
              <w:color w:val="auto"/>
              <w:szCs w:val="21"/>
            </w:rPr>
            <w:fldChar w:fldCharType="separate"/>
          </w:r>
          <w:r>
            <w:rPr>
              <w:rFonts w:hint="eastAsia"/>
              <w:color w:val="auto"/>
              <w:lang w:val="en-US" w:eastAsia="zh-CN"/>
            </w:rPr>
            <w:t>4.2.1环境空气质量现状评价</w:t>
          </w:r>
          <w:r>
            <w:rPr>
              <w:color w:val="auto"/>
            </w:rPr>
            <w:tab/>
          </w:r>
          <w:r>
            <w:rPr>
              <w:color w:val="auto"/>
            </w:rPr>
            <w:fldChar w:fldCharType="begin"/>
          </w:r>
          <w:r>
            <w:rPr>
              <w:color w:val="auto"/>
            </w:rPr>
            <w:instrText xml:space="preserve"> PAGEREF _Toc20085 \h </w:instrText>
          </w:r>
          <w:r>
            <w:rPr>
              <w:color w:val="auto"/>
            </w:rPr>
            <w:fldChar w:fldCharType="separate"/>
          </w:r>
          <w:r>
            <w:rPr>
              <w:color w:val="auto"/>
            </w:rPr>
            <w:t>52</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_Toc24118 </w:instrText>
          </w:r>
          <w:r>
            <w:rPr>
              <w:color w:val="auto"/>
              <w:szCs w:val="21"/>
            </w:rPr>
            <w:fldChar w:fldCharType="separate"/>
          </w:r>
          <w:r>
            <w:rPr>
              <w:color w:val="auto"/>
            </w:rPr>
            <w:t>4.2.2地表水环境现状调查及评价</w:t>
          </w:r>
          <w:r>
            <w:rPr>
              <w:color w:val="auto"/>
            </w:rPr>
            <w:tab/>
          </w:r>
          <w:r>
            <w:rPr>
              <w:color w:val="auto"/>
            </w:rPr>
            <w:fldChar w:fldCharType="begin"/>
          </w:r>
          <w:r>
            <w:rPr>
              <w:color w:val="auto"/>
            </w:rPr>
            <w:instrText xml:space="preserve"> PAGEREF _Toc24118 \h </w:instrText>
          </w:r>
          <w:r>
            <w:rPr>
              <w:color w:val="auto"/>
            </w:rPr>
            <w:fldChar w:fldCharType="separate"/>
          </w:r>
          <w:r>
            <w:rPr>
              <w:color w:val="auto"/>
            </w:rPr>
            <w:t>55</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_Toc3812 </w:instrText>
          </w:r>
          <w:r>
            <w:rPr>
              <w:color w:val="auto"/>
              <w:szCs w:val="21"/>
            </w:rPr>
            <w:fldChar w:fldCharType="separate"/>
          </w:r>
          <w:r>
            <w:rPr>
              <w:color w:val="auto"/>
            </w:rPr>
            <w:t>4.2.3地下水质量现状调查与评价</w:t>
          </w:r>
          <w:r>
            <w:rPr>
              <w:color w:val="auto"/>
            </w:rPr>
            <w:tab/>
          </w:r>
          <w:r>
            <w:rPr>
              <w:color w:val="auto"/>
            </w:rPr>
            <w:fldChar w:fldCharType="begin"/>
          </w:r>
          <w:r>
            <w:rPr>
              <w:color w:val="auto"/>
            </w:rPr>
            <w:instrText xml:space="preserve"> PAGEREF _Toc3812 \h </w:instrText>
          </w:r>
          <w:r>
            <w:rPr>
              <w:color w:val="auto"/>
            </w:rPr>
            <w:fldChar w:fldCharType="separate"/>
          </w:r>
          <w:r>
            <w:rPr>
              <w:color w:val="auto"/>
            </w:rPr>
            <w:t>55</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_Toc10807 </w:instrText>
          </w:r>
          <w:r>
            <w:rPr>
              <w:color w:val="auto"/>
              <w:szCs w:val="21"/>
            </w:rPr>
            <w:fldChar w:fldCharType="separate"/>
          </w:r>
          <w:r>
            <w:rPr>
              <w:color w:val="auto"/>
            </w:rPr>
            <w:t>4.2.4声环境质量现状调查与评价</w:t>
          </w:r>
          <w:r>
            <w:rPr>
              <w:color w:val="auto"/>
            </w:rPr>
            <w:tab/>
          </w:r>
          <w:r>
            <w:rPr>
              <w:color w:val="auto"/>
            </w:rPr>
            <w:fldChar w:fldCharType="begin"/>
          </w:r>
          <w:r>
            <w:rPr>
              <w:color w:val="auto"/>
            </w:rPr>
            <w:instrText xml:space="preserve"> PAGEREF _Toc10807 \h </w:instrText>
          </w:r>
          <w:r>
            <w:rPr>
              <w:color w:val="auto"/>
            </w:rPr>
            <w:fldChar w:fldCharType="separate"/>
          </w:r>
          <w:r>
            <w:rPr>
              <w:color w:val="auto"/>
            </w:rPr>
            <w:t>55</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_Toc10396 </w:instrText>
          </w:r>
          <w:r>
            <w:rPr>
              <w:color w:val="auto"/>
              <w:szCs w:val="21"/>
            </w:rPr>
            <w:fldChar w:fldCharType="separate"/>
          </w:r>
          <w:r>
            <w:rPr>
              <w:color w:val="auto"/>
            </w:rPr>
            <w:t>4.2.5土壤环境质量现状调查与评价</w:t>
          </w:r>
          <w:r>
            <w:rPr>
              <w:color w:val="auto"/>
            </w:rPr>
            <w:tab/>
          </w:r>
          <w:r>
            <w:rPr>
              <w:color w:val="auto"/>
            </w:rPr>
            <w:fldChar w:fldCharType="begin"/>
          </w:r>
          <w:r>
            <w:rPr>
              <w:color w:val="auto"/>
            </w:rPr>
            <w:instrText xml:space="preserve"> PAGEREF _Toc10396 \h </w:instrText>
          </w:r>
          <w:r>
            <w:rPr>
              <w:color w:val="auto"/>
            </w:rPr>
            <w:fldChar w:fldCharType="separate"/>
          </w:r>
          <w:r>
            <w:rPr>
              <w:color w:val="auto"/>
            </w:rPr>
            <w:t>57</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_Toc29442 </w:instrText>
          </w:r>
          <w:r>
            <w:rPr>
              <w:color w:val="auto"/>
              <w:szCs w:val="21"/>
            </w:rPr>
            <w:fldChar w:fldCharType="separate"/>
          </w:r>
          <w:r>
            <w:rPr>
              <w:rFonts w:hint="eastAsia"/>
              <w:color w:val="auto"/>
              <w:lang w:val="en-US" w:eastAsia="zh-CN"/>
            </w:rPr>
            <w:t>4.2.6生态环境</w:t>
          </w:r>
          <w:r>
            <w:rPr>
              <w:color w:val="auto"/>
            </w:rPr>
            <w:tab/>
          </w:r>
          <w:r>
            <w:rPr>
              <w:color w:val="auto"/>
            </w:rPr>
            <w:fldChar w:fldCharType="begin"/>
          </w:r>
          <w:r>
            <w:rPr>
              <w:color w:val="auto"/>
            </w:rPr>
            <w:instrText xml:space="preserve"> PAGEREF _Toc29442 \h </w:instrText>
          </w:r>
          <w:r>
            <w:rPr>
              <w:color w:val="auto"/>
            </w:rPr>
            <w:fldChar w:fldCharType="separate"/>
          </w:r>
          <w:r>
            <w:rPr>
              <w:color w:val="auto"/>
            </w:rPr>
            <w:t>57</w:t>
          </w:r>
          <w:r>
            <w:rPr>
              <w:color w:val="auto"/>
            </w:rPr>
            <w:fldChar w:fldCharType="end"/>
          </w:r>
          <w:r>
            <w:rPr>
              <w:color w:val="auto"/>
              <w:szCs w:val="21"/>
            </w:rPr>
            <w:fldChar w:fldCharType="end"/>
          </w:r>
        </w:p>
        <w:p>
          <w:pPr>
            <w:pStyle w:val="14"/>
            <w:tabs>
              <w:tab w:val="right" w:leader="dot" w:pos="8306"/>
            </w:tabs>
            <w:rPr>
              <w:color w:val="auto"/>
            </w:rPr>
          </w:pPr>
          <w:r>
            <w:rPr>
              <w:color w:val="auto"/>
              <w:szCs w:val="21"/>
            </w:rPr>
            <w:fldChar w:fldCharType="begin"/>
          </w:r>
          <w:r>
            <w:rPr>
              <w:color w:val="auto"/>
              <w:szCs w:val="21"/>
            </w:rPr>
            <w:instrText xml:space="preserve"> HYPERLINK \l _Toc24319 </w:instrText>
          </w:r>
          <w:r>
            <w:rPr>
              <w:color w:val="auto"/>
              <w:szCs w:val="21"/>
            </w:rPr>
            <w:fldChar w:fldCharType="separate"/>
          </w:r>
          <w:r>
            <w:rPr>
              <w:color w:val="auto"/>
            </w:rPr>
            <w:t>5环境影响预测与评价</w:t>
          </w:r>
          <w:r>
            <w:rPr>
              <w:color w:val="auto"/>
            </w:rPr>
            <w:tab/>
          </w:r>
          <w:r>
            <w:rPr>
              <w:color w:val="auto"/>
            </w:rPr>
            <w:fldChar w:fldCharType="begin"/>
          </w:r>
          <w:r>
            <w:rPr>
              <w:color w:val="auto"/>
            </w:rPr>
            <w:instrText xml:space="preserve"> PAGEREF _Toc24319 \h </w:instrText>
          </w:r>
          <w:r>
            <w:rPr>
              <w:color w:val="auto"/>
            </w:rPr>
            <w:fldChar w:fldCharType="separate"/>
          </w:r>
          <w:r>
            <w:rPr>
              <w:color w:val="auto"/>
            </w:rPr>
            <w:t>60</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_Toc9648 </w:instrText>
          </w:r>
          <w:r>
            <w:rPr>
              <w:color w:val="auto"/>
              <w:szCs w:val="21"/>
            </w:rPr>
            <w:fldChar w:fldCharType="separate"/>
          </w:r>
          <w:r>
            <w:rPr>
              <w:color w:val="auto"/>
            </w:rPr>
            <w:t>5.1施工期影响分析</w:t>
          </w:r>
          <w:r>
            <w:rPr>
              <w:color w:val="auto"/>
            </w:rPr>
            <w:tab/>
          </w:r>
          <w:r>
            <w:rPr>
              <w:color w:val="auto"/>
            </w:rPr>
            <w:fldChar w:fldCharType="begin"/>
          </w:r>
          <w:r>
            <w:rPr>
              <w:color w:val="auto"/>
            </w:rPr>
            <w:instrText xml:space="preserve"> PAGEREF _Toc9648 \h </w:instrText>
          </w:r>
          <w:r>
            <w:rPr>
              <w:color w:val="auto"/>
            </w:rPr>
            <w:fldChar w:fldCharType="separate"/>
          </w:r>
          <w:r>
            <w:rPr>
              <w:color w:val="auto"/>
            </w:rPr>
            <w:t>60</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_Toc11540 </w:instrText>
          </w:r>
          <w:r>
            <w:rPr>
              <w:color w:val="auto"/>
              <w:szCs w:val="21"/>
            </w:rPr>
            <w:fldChar w:fldCharType="separate"/>
          </w:r>
          <w:r>
            <w:rPr>
              <w:color w:val="auto"/>
            </w:rPr>
            <w:t>5.1.1施工大气影响分析</w:t>
          </w:r>
          <w:r>
            <w:rPr>
              <w:color w:val="auto"/>
            </w:rPr>
            <w:tab/>
          </w:r>
          <w:r>
            <w:rPr>
              <w:color w:val="auto"/>
            </w:rPr>
            <w:fldChar w:fldCharType="begin"/>
          </w:r>
          <w:r>
            <w:rPr>
              <w:color w:val="auto"/>
            </w:rPr>
            <w:instrText xml:space="preserve"> PAGEREF _Toc11540 \h </w:instrText>
          </w:r>
          <w:r>
            <w:rPr>
              <w:color w:val="auto"/>
            </w:rPr>
            <w:fldChar w:fldCharType="separate"/>
          </w:r>
          <w:r>
            <w:rPr>
              <w:color w:val="auto"/>
            </w:rPr>
            <w:t>60</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_Toc21041 </w:instrText>
          </w:r>
          <w:r>
            <w:rPr>
              <w:color w:val="auto"/>
              <w:szCs w:val="21"/>
            </w:rPr>
            <w:fldChar w:fldCharType="separate"/>
          </w:r>
          <w:r>
            <w:rPr>
              <w:rFonts w:hint="eastAsia"/>
              <w:color w:val="auto"/>
              <w:lang w:val="en-US" w:eastAsia="zh-CN"/>
            </w:rPr>
            <w:t>5.1.2施工废水影响分析</w:t>
          </w:r>
          <w:r>
            <w:rPr>
              <w:color w:val="auto"/>
            </w:rPr>
            <w:tab/>
          </w:r>
          <w:r>
            <w:rPr>
              <w:color w:val="auto"/>
            </w:rPr>
            <w:fldChar w:fldCharType="begin"/>
          </w:r>
          <w:r>
            <w:rPr>
              <w:color w:val="auto"/>
            </w:rPr>
            <w:instrText xml:space="preserve"> PAGEREF _Toc21041 \h </w:instrText>
          </w:r>
          <w:r>
            <w:rPr>
              <w:color w:val="auto"/>
            </w:rPr>
            <w:fldChar w:fldCharType="separate"/>
          </w:r>
          <w:r>
            <w:rPr>
              <w:color w:val="auto"/>
            </w:rPr>
            <w:t>61</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_Toc2030 </w:instrText>
          </w:r>
          <w:r>
            <w:rPr>
              <w:color w:val="auto"/>
              <w:szCs w:val="21"/>
            </w:rPr>
            <w:fldChar w:fldCharType="separate"/>
          </w:r>
          <w:r>
            <w:rPr>
              <w:rFonts w:hint="eastAsia"/>
              <w:color w:val="auto"/>
              <w:lang w:val="en-US" w:eastAsia="zh-CN"/>
            </w:rPr>
            <w:t>5.1.3施工期噪声影响分析</w:t>
          </w:r>
          <w:r>
            <w:rPr>
              <w:color w:val="auto"/>
            </w:rPr>
            <w:tab/>
          </w:r>
          <w:r>
            <w:rPr>
              <w:color w:val="auto"/>
            </w:rPr>
            <w:fldChar w:fldCharType="begin"/>
          </w:r>
          <w:r>
            <w:rPr>
              <w:color w:val="auto"/>
            </w:rPr>
            <w:instrText xml:space="preserve"> PAGEREF _Toc2030 \h </w:instrText>
          </w:r>
          <w:r>
            <w:rPr>
              <w:color w:val="auto"/>
            </w:rPr>
            <w:fldChar w:fldCharType="separate"/>
          </w:r>
          <w:r>
            <w:rPr>
              <w:color w:val="auto"/>
            </w:rPr>
            <w:t>61</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_Toc12968 </w:instrText>
          </w:r>
          <w:r>
            <w:rPr>
              <w:color w:val="auto"/>
              <w:szCs w:val="21"/>
            </w:rPr>
            <w:fldChar w:fldCharType="separate"/>
          </w:r>
          <w:r>
            <w:rPr>
              <w:rFonts w:hint="eastAsia"/>
              <w:color w:val="auto"/>
              <w:lang w:val="en-US" w:eastAsia="zh-CN"/>
            </w:rPr>
            <w:t>5.1.4</w:t>
          </w:r>
          <w:r>
            <w:rPr>
              <w:rFonts w:hint="default"/>
              <w:color w:val="auto"/>
              <w:lang w:val="en-US" w:eastAsia="zh-CN"/>
            </w:rPr>
            <w:t>施工期固体废物环境影响分析</w:t>
          </w:r>
          <w:r>
            <w:rPr>
              <w:color w:val="auto"/>
            </w:rPr>
            <w:tab/>
          </w:r>
          <w:r>
            <w:rPr>
              <w:color w:val="auto"/>
            </w:rPr>
            <w:fldChar w:fldCharType="begin"/>
          </w:r>
          <w:r>
            <w:rPr>
              <w:color w:val="auto"/>
            </w:rPr>
            <w:instrText xml:space="preserve"> PAGEREF _Toc12968 \h </w:instrText>
          </w:r>
          <w:r>
            <w:rPr>
              <w:color w:val="auto"/>
            </w:rPr>
            <w:fldChar w:fldCharType="separate"/>
          </w:r>
          <w:r>
            <w:rPr>
              <w:color w:val="auto"/>
            </w:rPr>
            <w:t>61</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_Toc23833 </w:instrText>
          </w:r>
          <w:r>
            <w:rPr>
              <w:color w:val="auto"/>
              <w:szCs w:val="21"/>
            </w:rPr>
            <w:fldChar w:fldCharType="separate"/>
          </w:r>
          <w:r>
            <w:rPr>
              <w:rFonts w:hint="eastAsia"/>
              <w:color w:val="auto"/>
              <w:lang w:val="en-US" w:eastAsia="zh-CN"/>
            </w:rPr>
            <w:t>5.1.5</w:t>
          </w:r>
          <w:r>
            <w:rPr>
              <w:color w:val="auto"/>
            </w:rPr>
            <w:t>施工期生态环境影响分析</w:t>
          </w:r>
          <w:r>
            <w:rPr>
              <w:color w:val="auto"/>
            </w:rPr>
            <w:tab/>
          </w:r>
          <w:r>
            <w:rPr>
              <w:color w:val="auto"/>
            </w:rPr>
            <w:fldChar w:fldCharType="begin"/>
          </w:r>
          <w:r>
            <w:rPr>
              <w:color w:val="auto"/>
            </w:rPr>
            <w:instrText xml:space="preserve"> PAGEREF _Toc23833 \h </w:instrText>
          </w:r>
          <w:r>
            <w:rPr>
              <w:color w:val="auto"/>
            </w:rPr>
            <w:fldChar w:fldCharType="separate"/>
          </w:r>
          <w:r>
            <w:rPr>
              <w:color w:val="auto"/>
            </w:rPr>
            <w:t>62</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_Toc29340 </w:instrText>
          </w:r>
          <w:r>
            <w:rPr>
              <w:color w:val="auto"/>
              <w:szCs w:val="21"/>
            </w:rPr>
            <w:fldChar w:fldCharType="separate"/>
          </w:r>
          <w:r>
            <w:rPr>
              <w:rFonts w:hint="eastAsia"/>
              <w:color w:val="auto"/>
              <w:lang w:val="en-US" w:eastAsia="zh-CN"/>
            </w:rPr>
            <w:t>5.2</w:t>
          </w:r>
          <w:r>
            <w:rPr>
              <w:color w:val="auto"/>
            </w:rPr>
            <w:t>运营期环境影响分析</w:t>
          </w:r>
          <w:r>
            <w:rPr>
              <w:color w:val="auto"/>
            </w:rPr>
            <w:tab/>
          </w:r>
          <w:r>
            <w:rPr>
              <w:color w:val="auto"/>
            </w:rPr>
            <w:fldChar w:fldCharType="begin"/>
          </w:r>
          <w:r>
            <w:rPr>
              <w:color w:val="auto"/>
            </w:rPr>
            <w:instrText xml:space="preserve"> PAGEREF _Toc29340 \h </w:instrText>
          </w:r>
          <w:r>
            <w:rPr>
              <w:color w:val="auto"/>
            </w:rPr>
            <w:fldChar w:fldCharType="separate"/>
          </w:r>
          <w:r>
            <w:rPr>
              <w:color w:val="auto"/>
            </w:rPr>
            <w:t>62</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_Toc30075 </w:instrText>
          </w:r>
          <w:r>
            <w:rPr>
              <w:color w:val="auto"/>
              <w:szCs w:val="21"/>
            </w:rPr>
            <w:fldChar w:fldCharType="separate"/>
          </w:r>
          <w:r>
            <w:rPr>
              <w:rFonts w:hint="eastAsia" w:cs="Times New Roman"/>
              <w:color w:val="auto"/>
              <w:highlight w:val="none"/>
              <w:lang w:val="en-US" w:eastAsia="zh-CN"/>
            </w:rPr>
            <w:t>5.2.1大气环境影响分析</w:t>
          </w:r>
          <w:r>
            <w:rPr>
              <w:color w:val="auto"/>
            </w:rPr>
            <w:tab/>
          </w:r>
          <w:r>
            <w:rPr>
              <w:color w:val="auto"/>
            </w:rPr>
            <w:fldChar w:fldCharType="begin"/>
          </w:r>
          <w:r>
            <w:rPr>
              <w:color w:val="auto"/>
            </w:rPr>
            <w:instrText xml:space="preserve"> PAGEREF _Toc30075 \h </w:instrText>
          </w:r>
          <w:r>
            <w:rPr>
              <w:color w:val="auto"/>
            </w:rPr>
            <w:fldChar w:fldCharType="separate"/>
          </w:r>
          <w:r>
            <w:rPr>
              <w:color w:val="auto"/>
            </w:rPr>
            <w:t>62</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_Toc23764 </w:instrText>
          </w:r>
          <w:r>
            <w:rPr>
              <w:color w:val="auto"/>
              <w:szCs w:val="21"/>
            </w:rPr>
            <w:fldChar w:fldCharType="separate"/>
          </w:r>
          <w:r>
            <w:rPr>
              <w:rFonts w:hint="default" w:ascii="Times New Roman" w:hAnsi="Times New Roman" w:cs="Times New Roman"/>
              <w:color w:val="auto"/>
              <w:highlight w:val="none"/>
            </w:rPr>
            <w:t>5.2.</w:t>
          </w:r>
          <w:r>
            <w:rPr>
              <w:rFonts w:hint="eastAsia" w:cs="Times New Roman"/>
              <w:color w:val="auto"/>
              <w:highlight w:val="none"/>
              <w:lang w:val="en-US" w:eastAsia="zh-CN"/>
            </w:rPr>
            <w:t>2</w:t>
          </w:r>
          <w:r>
            <w:rPr>
              <w:rFonts w:hint="default" w:ascii="Times New Roman" w:hAnsi="Times New Roman" w:cs="Times New Roman"/>
              <w:color w:val="auto"/>
              <w:highlight w:val="none"/>
            </w:rPr>
            <w:t>大气环境影响预测</w:t>
          </w:r>
          <w:r>
            <w:rPr>
              <w:color w:val="auto"/>
            </w:rPr>
            <w:tab/>
          </w:r>
          <w:r>
            <w:rPr>
              <w:color w:val="auto"/>
            </w:rPr>
            <w:fldChar w:fldCharType="begin"/>
          </w:r>
          <w:r>
            <w:rPr>
              <w:color w:val="auto"/>
            </w:rPr>
            <w:instrText xml:space="preserve"> PAGEREF _Toc23764 \h </w:instrText>
          </w:r>
          <w:r>
            <w:rPr>
              <w:color w:val="auto"/>
            </w:rPr>
            <w:fldChar w:fldCharType="separate"/>
          </w:r>
          <w:r>
            <w:rPr>
              <w:color w:val="auto"/>
            </w:rPr>
            <w:t>63</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_Toc26713 </w:instrText>
          </w:r>
          <w:r>
            <w:rPr>
              <w:color w:val="auto"/>
              <w:szCs w:val="21"/>
            </w:rPr>
            <w:fldChar w:fldCharType="separate"/>
          </w:r>
          <w:r>
            <w:rPr>
              <w:rFonts w:hint="eastAsia"/>
              <w:color w:val="auto"/>
              <w:lang w:val="en-US" w:eastAsia="zh-CN"/>
            </w:rPr>
            <w:t>5.2.3影响分析</w:t>
          </w:r>
          <w:r>
            <w:rPr>
              <w:color w:val="auto"/>
            </w:rPr>
            <w:tab/>
          </w:r>
          <w:r>
            <w:rPr>
              <w:color w:val="auto"/>
            </w:rPr>
            <w:fldChar w:fldCharType="begin"/>
          </w:r>
          <w:r>
            <w:rPr>
              <w:color w:val="auto"/>
            </w:rPr>
            <w:instrText xml:space="preserve"> PAGEREF _Toc26713 \h </w:instrText>
          </w:r>
          <w:r>
            <w:rPr>
              <w:color w:val="auto"/>
            </w:rPr>
            <w:fldChar w:fldCharType="separate"/>
          </w:r>
          <w:r>
            <w:rPr>
              <w:color w:val="auto"/>
            </w:rPr>
            <w:t>65</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_Toc3278 </w:instrText>
          </w:r>
          <w:r>
            <w:rPr>
              <w:color w:val="auto"/>
              <w:szCs w:val="21"/>
            </w:rPr>
            <w:fldChar w:fldCharType="separate"/>
          </w:r>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.2.</w:t>
          </w:r>
          <w:r>
            <w:rPr>
              <w:rFonts w:hint="eastAsia" w:cs="Times New Roman"/>
              <w:color w:val="auto"/>
              <w:highlight w:val="none"/>
              <w:lang w:val="en-US" w:eastAsia="zh-CN"/>
            </w:rPr>
            <w:t>4</w:t>
          </w:r>
          <w:r>
            <w:rPr>
              <w:rFonts w:hint="default" w:ascii="Times New Roman" w:hAnsi="Times New Roman" w:cs="Times New Roman"/>
              <w:color w:val="auto"/>
              <w:highlight w:val="none"/>
            </w:rPr>
            <w:t>防护距离</w:t>
          </w:r>
          <w:r>
            <w:rPr>
              <w:color w:val="auto"/>
            </w:rPr>
            <w:tab/>
          </w:r>
          <w:r>
            <w:rPr>
              <w:color w:val="auto"/>
            </w:rPr>
            <w:fldChar w:fldCharType="begin"/>
          </w:r>
          <w:r>
            <w:rPr>
              <w:color w:val="auto"/>
            </w:rPr>
            <w:instrText xml:space="preserve"> PAGEREF _Toc3278 \h </w:instrText>
          </w:r>
          <w:r>
            <w:rPr>
              <w:color w:val="auto"/>
            </w:rPr>
            <w:fldChar w:fldCharType="separate"/>
          </w:r>
          <w:r>
            <w:rPr>
              <w:color w:val="auto"/>
            </w:rPr>
            <w:t>66</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_Toc26455 </w:instrText>
          </w:r>
          <w:r>
            <w:rPr>
              <w:color w:val="auto"/>
              <w:szCs w:val="21"/>
            </w:rPr>
            <w:fldChar w:fldCharType="separate"/>
          </w:r>
          <w:r>
            <w:rPr>
              <w:color w:val="auto"/>
            </w:rPr>
            <w:t>5.2.2</w:t>
          </w:r>
          <w:r>
            <w:rPr>
              <w:rFonts w:hint="eastAsia"/>
              <w:color w:val="auto"/>
              <w:lang w:val="en-US" w:eastAsia="zh-CN"/>
            </w:rPr>
            <w:t>地表水</w:t>
          </w:r>
          <w:r>
            <w:rPr>
              <w:color w:val="auto"/>
            </w:rPr>
            <w:t>环境影响分析</w:t>
          </w:r>
          <w:r>
            <w:rPr>
              <w:color w:val="auto"/>
            </w:rPr>
            <w:tab/>
          </w:r>
          <w:r>
            <w:rPr>
              <w:color w:val="auto"/>
            </w:rPr>
            <w:fldChar w:fldCharType="begin"/>
          </w:r>
          <w:r>
            <w:rPr>
              <w:color w:val="auto"/>
            </w:rPr>
            <w:instrText xml:space="preserve"> PAGEREF _Toc26455 \h </w:instrText>
          </w:r>
          <w:r>
            <w:rPr>
              <w:color w:val="auto"/>
            </w:rPr>
            <w:fldChar w:fldCharType="separate"/>
          </w:r>
          <w:r>
            <w:rPr>
              <w:color w:val="auto"/>
            </w:rPr>
            <w:t>68</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_Toc26928 </w:instrText>
          </w:r>
          <w:r>
            <w:rPr>
              <w:color w:val="auto"/>
              <w:szCs w:val="21"/>
            </w:rPr>
            <w:fldChar w:fldCharType="separate"/>
          </w:r>
          <w:r>
            <w:rPr>
              <w:color w:val="auto"/>
            </w:rPr>
            <w:t>5.2</w:t>
          </w:r>
          <w:r>
            <w:rPr>
              <w:rFonts w:hint="eastAsia"/>
              <w:color w:val="auto"/>
              <w:lang w:val="en-US" w:eastAsia="zh-CN"/>
            </w:rPr>
            <w:t>.3</w:t>
          </w:r>
          <w:r>
            <w:rPr>
              <w:color w:val="auto"/>
            </w:rPr>
            <w:t>地下水环境影响分析</w:t>
          </w:r>
          <w:r>
            <w:rPr>
              <w:color w:val="auto"/>
            </w:rPr>
            <w:tab/>
          </w:r>
          <w:r>
            <w:rPr>
              <w:color w:val="auto"/>
            </w:rPr>
            <w:fldChar w:fldCharType="begin"/>
          </w:r>
          <w:r>
            <w:rPr>
              <w:color w:val="auto"/>
            </w:rPr>
            <w:instrText xml:space="preserve"> PAGEREF _Toc26928 \h </w:instrText>
          </w:r>
          <w:r>
            <w:rPr>
              <w:color w:val="auto"/>
            </w:rPr>
            <w:fldChar w:fldCharType="separate"/>
          </w:r>
          <w:r>
            <w:rPr>
              <w:color w:val="auto"/>
            </w:rPr>
            <w:t>71</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_Toc13235 </w:instrText>
          </w:r>
          <w:r>
            <w:rPr>
              <w:color w:val="auto"/>
              <w:szCs w:val="21"/>
            </w:rPr>
            <w:fldChar w:fldCharType="separate"/>
          </w:r>
          <w:r>
            <w:rPr>
              <w:color w:val="auto"/>
            </w:rPr>
            <w:t>5.</w:t>
          </w:r>
          <w:r>
            <w:rPr>
              <w:rFonts w:hint="eastAsia"/>
              <w:color w:val="auto"/>
              <w:lang w:val="en-US" w:eastAsia="zh-CN"/>
            </w:rPr>
            <w:t>2.4</w:t>
          </w:r>
          <w:r>
            <w:rPr>
              <w:color w:val="auto"/>
            </w:rPr>
            <w:t>声环境影响分析</w:t>
          </w:r>
          <w:r>
            <w:rPr>
              <w:color w:val="auto"/>
            </w:rPr>
            <w:tab/>
          </w:r>
          <w:r>
            <w:rPr>
              <w:color w:val="auto"/>
            </w:rPr>
            <w:fldChar w:fldCharType="begin"/>
          </w:r>
          <w:r>
            <w:rPr>
              <w:color w:val="auto"/>
            </w:rPr>
            <w:instrText xml:space="preserve"> PAGEREF _Toc13235 \h </w:instrText>
          </w:r>
          <w:r>
            <w:rPr>
              <w:color w:val="auto"/>
            </w:rPr>
            <w:fldChar w:fldCharType="separate"/>
          </w:r>
          <w:r>
            <w:rPr>
              <w:color w:val="auto"/>
            </w:rPr>
            <w:t>71</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_Toc5813 </w:instrText>
          </w:r>
          <w:r>
            <w:rPr>
              <w:color w:val="auto"/>
              <w:szCs w:val="21"/>
            </w:rPr>
            <w:fldChar w:fldCharType="separate"/>
          </w:r>
          <w:r>
            <w:rPr>
              <w:color w:val="auto"/>
            </w:rPr>
            <w:t>5.2.</w:t>
          </w:r>
          <w:r>
            <w:rPr>
              <w:rFonts w:hint="eastAsia"/>
              <w:color w:val="auto"/>
              <w:lang w:val="en-US" w:eastAsia="zh-CN"/>
            </w:rPr>
            <w:t>5</w:t>
          </w:r>
          <w:r>
            <w:rPr>
              <w:color w:val="auto"/>
            </w:rPr>
            <w:t>固废环境影响分析</w:t>
          </w:r>
          <w:r>
            <w:rPr>
              <w:color w:val="auto"/>
            </w:rPr>
            <w:tab/>
          </w:r>
          <w:r>
            <w:rPr>
              <w:color w:val="auto"/>
            </w:rPr>
            <w:fldChar w:fldCharType="begin"/>
          </w:r>
          <w:r>
            <w:rPr>
              <w:color w:val="auto"/>
            </w:rPr>
            <w:instrText xml:space="preserve"> PAGEREF _Toc5813 \h </w:instrText>
          </w:r>
          <w:r>
            <w:rPr>
              <w:color w:val="auto"/>
            </w:rPr>
            <w:fldChar w:fldCharType="separate"/>
          </w:r>
          <w:r>
            <w:rPr>
              <w:color w:val="auto"/>
            </w:rPr>
            <w:t>72</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_Toc19970 </w:instrText>
          </w:r>
          <w:r>
            <w:rPr>
              <w:color w:val="auto"/>
              <w:szCs w:val="21"/>
            </w:rPr>
            <w:fldChar w:fldCharType="separate"/>
          </w:r>
          <w:r>
            <w:rPr>
              <w:color w:val="auto"/>
            </w:rPr>
            <w:t>5.</w:t>
          </w:r>
          <w:r>
            <w:rPr>
              <w:rFonts w:hint="eastAsia"/>
              <w:color w:val="auto"/>
              <w:lang w:val="en-US" w:eastAsia="zh-CN"/>
            </w:rPr>
            <w:t>2.6</w:t>
          </w:r>
          <w:r>
            <w:rPr>
              <w:color w:val="auto"/>
            </w:rPr>
            <w:t>土壤环境影响预测与评价</w:t>
          </w:r>
          <w:r>
            <w:rPr>
              <w:color w:val="auto"/>
            </w:rPr>
            <w:tab/>
          </w:r>
          <w:r>
            <w:rPr>
              <w:color w:val="auto"/>
            </w:rPr>
            <w:fldChar w:fldCharType="begin"/>
          </w:r>
          <w:r>
            <w:rPr>
              <w:color w:val="auto"/>
            </w:rPr>
            <w:instrText xml:space="preserve"> PAGEREF _Toc19970 \h </w:instrText>
          </w:r>
          <w:r>
            <w:rPr>
              <w:color w:val="auto"/>
            </w:rPr>
            <w:fldChar w:fldCharType="separate"/>
          </w:r>
          <w:r>
            <w:rPr>
              <w:color w:val="auto"/>
            </w:rPr>
            <w:t>72</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_Toc20303 </w:instrText>
          </w:r>
          <w:r>
            <w:rPr>
              <w:color w:val="auto"/>
              <w:szCs w:val="21"/>
            </w:rPr>
            <w:fldChar w:fldCharType="separate"/>
          </w:r>
          <w:r>
            <w:rPr>
              <w:color w:val="auto"/>
            </w:rPr>
            <w:t>5.2.</w:t>
          </w:r>
          <w:r>
            <w:rPr>
              <w:rFonts w:hint="eastAsia"/>
              <w:color w:val="auto"/>
              <w:lang w:val="en-US" w:eastAsia="zh-CN"/>
            </w:rPr>
            <w:t>7</w:t>
          </w:r>
          <w:r>
            <w:rPr>
              <w:color w:val="auto"/>
            </w:rPr>
            <w:t>环境风险分析</w:t>
          </w:r>
          <w:r>
            <w:rPr>
              <w:color w:val="auto"/>
            </w:rPr>
            <w:tab/>
          </w:r>
          <w:r>
            <w:rPr>
              <w:color w:val="auto"/>
            </w:rPr>
            <w:fldChar w:fldCharType="begin"/>
          </w:r>
          <w:r>
            <w:rPr>
              <w:color w:val="auto"/>
            </w:rPr>
            <w:instrText xml:space="preserve"> PAGEREF _Toc20303 \h </w:instrText>
          </w:r>
          <w:r>
            <w:rPr>
              <w:color w:val="auto"/>
            </w:rPr>
            <w:fldChar w:fldCharType="separate"/>
          </w:r>
          <w:r>
            <w:rPr>
              <w:color w:val="auto"/>
            </w:rPr>
            <w:t>72</w:t>
          </w:r>
          <w:r>
            <w:rPr>
              <w:color w:val="auto"/>
            </w:rPr>
            <w:fldChar w:fldCharType="end"/>
          </w:r>
          <w:r>
            <w:rPr>
              <w:color w:val="auto"/>
              <w:szCs w:val="21"/>
            </w:rPr>
            <w:fldChar w:fldCharType="end"/>
          </w:r>
        </w:p>
        <w:p>
          <w:pPr>
            <w:pStyle w:val="14"/>
            <w:tabs>
              <w:tab w:val="right" w:leader="dot" w:pos="8306"/>
            </w:tabs>
            <w:rPr>
              <w:color w:val="auto"/>
            </w:rPr>
          </w:pPr>
          <w:r>
            <w:rPr>
              <w:color w:val="auto"/>
              <w:szCs w:val="21"/>
            </w:rPr>
            <w:fldChar w:fldCharType="begin"/>
          </w:r>
          <w:r>
            <w:rPr>
              <w:color w:val="auto"/>
              <w:szCs w:val="21"/>
            </w:rPr>
            <w:instrText xml:space="preserve"> HYPERLINK \l _Toc15678 </w:instrText>
          </w:r>
          <w:r>
            <w:rPr>
              <w:color w:val="auto"/>
              <w:szCs w:val="21"/>
            </w:rPr>
            <w:fldChar w:fldCharType="separate"/>
          </w:r>
          <w:r>
            <w:rPr>
              <w:rFonts w:hint="eastAsia"/>
              <w:color w:val="auto"/>
              <w:lang w:val="en-US" w:eastAsia="zh-CN"/>
            </w:rPr>
            <w:t>6施工期环保措施分析</w:t>
          </w:r>
          <w:r>
            <w:rPr>
              <w:color w:val="auto"/>
            </w:rPr>
            <w:tab/>
          </w:r>
          <w:r>
            <w:rPr>
              <w:color w:val="auto"/>
            </w:rPr>
            <w:fldChar w:fldCharType="begin"/>
          </w:r>
          <w:r>
            <w:rPr>
              <w:color w:val="auto"/>
            </w:rPr>
            <w:instrText xml:space="preserve"> PAGEREF _Toc15678 \h </w:instrText>
          </w:r>
          <w:r>
            <w:rPr>
              <w:color w:val="auto"/>
            </w:rPr>
            <w:fldChar w:fldCharType="separate"/>
          </w:r>
          <w:r>
            <w:rPr>
              <w:color w:val="auto"/>
            </w:rPr>
            <w:t>86</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_Toc10141 </w:instrText>
          </w:r>
          <w:r>
            <w:rPr>
              <w:color w:val="auto"/>
              <w:szCs w:val="21"/>
            </w:rPr>
            <w:fldChar w:fldCharType="separate"/>
          </w:r>
          <w:r>
            <w:rPr>
              <w:color w:val="auto"/>
            </w:rPr>
            <w:t>6.1施工期污染防治措施</w:t>
          </w:r>
          <w:r>
            <w:rPr>
              <w:color w:val="auto"/>
            </w:rPr>
            <w:tab/>
          </w:r>
          <w:r>
            <w:rPr>
              <w:color w:val="auto"/>
            </w:rPr>
            <w:fldChar w:fldCharType="begin"/>
          </w:r>
          <w:r>
            <w:rPr>
              <w:color w:val="auto"/>
            </w:rPr>
            <w:instrText xml:space="preserve"> PAGEREF _Toc10141 \h </w:instrText>
          </w:r>
          <w:r>
            <w:rPr>
              <w:color w:val="auto"/>
            </w:rPr>
            <w:fldChar w:fldCharType="separate"/>
          </w:r>
          <w:r>
            <w:rPr>
              <w:color w:val="auto"/>
            </w:rPr>
            <w:t>86</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_Toc28394 </w:instrText>
          </w:r>
          <w:r>
            <w:rPr>
              <w:color w:val="auto"/>
              <w:szCs w:val="21"/>
            </w:rPr>
            <w:fldChar w:fldCharType="separate"/>
          </w:r>
          <w:r>
            <w:rPr>
              <w:color w:val="auto"/>
            </w:rPr>
            <w:t>6.1.1施工期废气污染防治措施</w:t>
          </w:r>
          <w:r>
            <w:rPr>
              <w:color w:val="auto"/>
            </w:rPr>
            <w:tab/>
          </w:r>
          <w:r>
            <w:rPr>
              <w:color w:val="auto"/>
            </w:rPr>
            <w:fldChar w:fldCharType="begin"/>
          </w:r>
          <w:r>
            <w:rPr>
              <w:color w:val="auto"/>
            </w:rPr>
            <w:instrText xml:space="preserve"> PAGEREF _Toc28394 \h </w:instrText>
          </w:r>
          <w:r>
            <w:rPr>
              <w:color w:val="auto"/>
            </w:rPr>
            <w:fldChar w:fldCharType="separate"/>
          </w:r>
          <w:r>
            <w:rPr>
              <w:color w:val="auto"/>
            </w:rPr>
            <w:t>86</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_Toc23791 </w:instrText>
          </w:r>
          <w:r>
            <w:rPr>
              <w:color w:val="auto"/>
              <w:szCs w:val="21"/>
            </w:rPr>
            <w:fldChar w:fldCharType="separate"/>
          </w:r>
          <w:r>
            <w:rPr>
              <w:color w:val="auto"/>
            </w:rPr>
            <w:t>6.1.2水污染防治措施</w:t>
          </w:r>
          <w:r>
            <w:rPr>
              <w:color w:val="auto"/>
            </w:rPr>
            <w:tab/>
          </w:r>
          <w:r>
            <w:rPr>
              <w:color w:val="auto"/>
            </w:rPr>
            <w:fldChar w:fldCharType="begin"/>
          </w:r>
          <w:r>
            <w:rPr>
              <w:color w:val="auto"/>
            </w:rPr>
            <w:instrText xml:space="preserve"> PAGEREF _Toc23791 \h </w:instrText>
          </w:r>
          <w:r>
            <w:rPr>
              <w:color w:val="auto"/>
            </w:rPr>
            <w:fldChar w:fldCharType="separate"/>
          </w:r>
          <w:r>
            <w:rPr>
              <w:color w:val="auto"/>
            </w:rPr>
            <w:t>88</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_Toc397 </w:instrText>
          </w:r>
          <w:r>
            <w:rPr>
              <w:color w:val="auto"/>
              <w:szCs w:val="21"/>
            </w:rPr>
            <w:fldChar w:fldCharType="separate"/>
          </w:r>
          <w:r>
            <w:rPr>
              <w:color w:val="auto"/>
            </w:rPr>
            <w:t>6.1.3噪声污染防治措施</w:t>
          </w:r>
          <w:r>
            <w:rPr>
              <w:color w:val="auto"/>
            </w:rPr>
            <w:tab/>
          </w:r>
          <w:r>
            <w:rPr>
              <w:color w:val="auto"/>
            </w:rPr>
            <w:fldChar w:fldCharType="begin"/>
          </w:r>
          <w:r>
            <w:rPr>
              <w:color w:val="auto"/>
            </w:rPr>
            <w:instrText xml:space="preserve"> PAGEREF _Toc397 \h </w:instrText>
          </w:r>
          <w:r>
            <w:rPr>
              <w:color w:val="auto"/>
            </w:rPr>
            <w:fldChar w:fldCharType="separate"/>
          </w:r>
          <w:r>
            <w:rPr>
              <w:color w:val="auto"/>
            </w:rPr>
            <w:t>88</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_Toc22624 </w:instrText>
          </w:r>
          <w:r>
            <w:rPr>
              <w:color w:val="auto"/>
              <w:szCs w:val="21"/>
            </w:rPr>
            <w:fldChar w:fldCharType="separate"/>
          </w:r>
          <w:r>
            <w:rPr>
              <w:color w:val="auto"/>
            </w:rPr>
            <w:t>6.2运营期环保措施分析</w:t>
          </w:r>
          <w:r>
            <w:rPr>
              <w:color w:val="auto"/>
            </w:rPr>
            <w:tab/>
          </w:r>
          <w:r>
            <w:rPr>
              <w:color w:val="auto"/>
            </w:rPr>
            <w:fldChar w:fldCharType="begin"/>
          </w:r>
          <w:r>
            <w:rPr>
              <w:color w:val="auto"/>
            </w:rPr>
            <w:instrText xml:space="preserve"> PAGEREF _Toc22624 \h </w:instrText>
          </w:r>
          <w:r>
            <w:rPr>
              <w:color w:val="auto"/>
            </w:rPr>
            <w:fldChar w:fldCharType="separate"/>
          </w:r>
          <w:r>
            <w:rPr>
              <w:color w:val="auto"/>
            </w:rPr>
            <w:t>89</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_Toc5079 </w:instrText>
          </w:r>
          <w:r>
            <w:rPr>
              <w:color w:val="auto"/>
              <w:szCs w:val="21"/>
            </w:rPr>
            <w:fldChar w:fldCharType="separate"/>
          </w:r>
          <w:r>
            <w:rPr>
              <w:color w:val="auto"/>
            </w:rPr>
            <w:t>6.2.1大气污染防治措施</w:t>
          </w:r>
          <w:r>
            <w:rPr>
              <w:color w:val="auto"/>
            </w:rPr>
            <w:tab/>
          </w:r>
          <w:r>
            <w:rPr>
              <w:color w:val="auto"/>
            </w:rPr>
            <w:fldChar w:fldCharType="begin"/>
          </w:r>
          <w:r>
            <w:rPr>
              <w:color w:val="auto"/>
            </w:rPr>
            <w:instrText xml:space="preserve"> PAGEREF _Toc5079 \h </w:instrText>
          </w:r>
          <w:r>
            <w:rPr>
              <w:color w:val="auto"/>
            </w:rPr>
            <w:fldChar w:fldCharType="separate"/>
          </w:r>
          <w:r>
            <w:rPr>
              <w:color w:val="auto"/>
            </w:rPr>
            <w:t>89</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_Toc14289 </w:instrText>
          </w:r>
          <w:r>
            <w:rPr>
              <w:color w:val="auto"/>
              <w:szCs w:val="21"/>
            </w:rPr>
            <w:fldChar w:fldCharType="separate"/>
          </w:r>
          <w:r>
            <w:rPr>
              <w:color w:val="auto"/>
            </w:rPr>
            <w:t>6.2.2水污染防治措施</w:t>
          </w:r>
          <w:r>
            <w:rPr>
              <w:color w:val="auto"/>
            </w:rPr>
            <w:tab/>
          </w:r>
          <w:r>
            <w:rPr>
              <w:color w:val="auto"/>
            </w:rPr>
            <w:fldChar w:fldCharType="begin"/>
          </w:r>
          <w:r>
            <w:rPr>
              <w:color w:val="auto"/>
            </w:rPr>
            <w:instrText xml:space="preserve"> PAGEREF _Toc14289 \h </w:instrText>
          </w:r>
          <w:r>
            <w:rPr>
              <w:color w:val="auto"/>
            </w:rPr>
            <w:fldChar w:fldCharType="separate"/>
          </w:r>
          <w:r>
            <w:rPr>
              <w:color w:val="auto"/>
            </w:rPr>
            <w:t>92</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_Toc17969 </w:instrText>
          </w:r>
          <w:r>
            <w:rPr>
              <w:color w:val="auto"/>
              <w:szCs w:val="21"/>
            </w:rPr>
            <w:fldChar w:fldCharType="separate"/>
          </w:r>
          <w:r>
            <w:rPr>
              <w:color w:val="auto"/>
            </w:rPr>
            <w:t>6.2.3噪声污染防治措施</w:t>
          </w:r>
          <w:r>
            <w:rPr>
              <w:color w:val="auto"/>
            </w:rPr>
            <w:tab/>
          </w:r>
          <w:r>
            <w:rPr>
              <w:color w:val="auto"/>
            </w:rPr>
            <w:fldChar w:fldCharType="begin"/>
          </w:r>
          <w:r>
            <w:rPr>
              <w:color w:val="auto"/>
            </w:rPr>
            <w:instrText xml:space="preserve"> PAGEREF _Toc17969 \h </w:instrText>
          </w:r>
          <w:r>
            <w:rPr>
              <w:color w:val="auto"/>
            </w:rPr>
            <w:fldChar w:fldCharType="separate"/>
          </w:r>
          <w:r>
            <w:rPr>
              <w:color w:val="auto"/>
            </w:rPr>
            <w:t>96</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_Toc29654 </w:instrText>
          </w:r>
          <w:r>
            <w:rPr>
              <w:color w:val="auto"/>
              <w:szCs w:val="21"/>
            </w:rPr>
            <w:fldChar w:fldCharType="separate"/>
          </w:r>
          <w:r>
            <w:rPr>
              <w:color w:val="auto"/>
            </w:rPr>
            <w:t>6.2.4固体废弃物污染防治措施</w:t>
          </w:r>
          <w:r>
            <w:rPr>
              <w:color w:val="auto"/>
            </w:rPr>
            <w:tab/>
          </w:r>
          <w:r>
            <w:rPr>
              <w:color w:val="auto"/>
            </w:rPr>
            <w:fldChar w:fldCharType="begin"/>
          </w:r>
          <w:r>
            <w:rPr>
              <w:color w:val="auto"/>
            </w:rPr>
            <w:instrText xml:space="preserve"> PAGEREF _Toc29654 \h </w:instrText>
          </w:r>
          <w:r>
            <w:rPr>
              <w:color w:val="auto"/>
            </w:rPr>
            <w:fldChar w:fldCharType="separate"/>
          </w:r>
          <w:r>
            <w:rPr>
              <w:color w:val="auto"/>
            </w:rPr>
            <w:t>96</w:t>
          </w:r>
          <w:r>
            <w:rPr>
              <w:color w:val="auto"/>
            </w:rPr>
            <w:fldChar w:fldCharType="end"/>
          </w:r>
          <w:r>
            <w:rPr>
              <w:color w:val="auto"/>
              <w:szCs w:val="21"/>
            </w:rPr>
            <w:fldChar w:fldCharType="end"/>
          </w:r>
        </w:p>
        <w:p>
          <w:pPr>
            <w:pStyle w:val="14"/>
            <w:tabs>
              <w:tab w:val="right" w:leader="dot" w:pos="8306"/>
            </w:tabs>
            <w:rPr>
              <w:color w:val="auto"/>
            </w:rPr>
          </w:pPr>
          <w:r>
            <w:rPr>
              <w:color w:val="auto"/>
              <w:szCs w:val="21"/>
            </w:rPr>
            <w:fldChar w:fldCharType="begin"/>
          </w:r>
          <w:r>
            <w:rPr>
              <w:color w:val="auto"/>
              <w:szCs w:val="21"/>
            </w:rPr>
            <w:instrText xml:space="preserve"> HYPERLINK \l _Toc18822 </w:instrText>
          </w:r>
          <w:r>
            <w:rPr>
              <w:color w:val="auto"/>
              <w:szCs w:val="21"/>
            </w:rPr>
            <w:fldChar w:fldCharType="separate"/>
          </w:r>
          <w:r>
            <w:rPr>
              <w:color w:val="auto"/>
            </w:rPr>
            <w:t>7环境影响经济损益分析</w:t>
          </w:r>
          <w:r>
            <w:rPr>
              <w:color w:val="auto"/>
            </w:rPr>
            <w:tab/>
          </w:r>
          <w:r>
            <w:rPr>
              <w:color w:val="auto"/>
            </w:rPr>
            <w:fldChar w:fldCharType="begin"/>
          </w:r>
          <w:r>
            <w:rPr>
              <w:color w:val="auto"/>
            </w:rPr>
            <w:instrText xml:space="preserve"> PAGEREF _Toc18822 \h </w:instrText>
          </w:r>
          <w:r>
            <w:rPr>
              <w:color w:val="auto"/>
            </w:rPr>
            <w:fldChar w:fldCharType="separate"/>
          </w:r>
          <w:r>
            <w:rPr>
              <w:color w:val="auto"/>
            </w:rPr>
            <w:t>104</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_Toc12744 </w:instrText>
          </w:r>
          <w:r>
            <w:rPr>
              <w:color w:val="auto"/>
              <w:szCs w:val="21"/>
            </w:rPr>
            <w:fldChar w:fldCharType="separate"/>
          </w:r>
          <w:r>
            <w:rPr>
              <w:rFonts w:hint="eastAsia"/>
              <w:color w:val="auto"/>
              <w:lang w:val="en-US" w:eastAsia="zh-CN"/>
            </w:rPr>
            <w:t>7.1</w:t>
          </w:r>
          <w:r>
            <w:rPr>
              <w:color w:val="auto"/>
            </w:rPr>
            <w:t>环境经济损益分析的目的</w:t>
          </w:r>
          <w:r>
            <w:rPr>
              <w:color w:val="auto"/>
            </w:rPr>
            <w:tab/>
          </w:r>
          <w:r>
            <w:rPr>
              <w:color w:val="auto"/>
            </w:rPr>
            <w:fldChar w:fldCharType="begin"/>
          </w:r>
          <w:r>
            <w:rPr>
              <w:color w:val="auto"/>
            </w:rPr>
            <w:instrText xml:space="preserve"> PAGEREF _Toc12744 \h </w:instrText>
          </w:r>
          <w:r>
            <w:rPr>
              <w:color w:val="auto"/>
            </w:rPr>
            <w:fldChar w:fldCharType="separate"/>
          </w:r>
          <w:r>
            <w:rPr>
              <w:color w:val="auto"/>
            </w:rPr>
            <w:t>104</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_Toc28032 </w:instrText>
          </w:r>
          <w:r>
            <w:rPr>
              <w:color w:val="auto"/>
              <w:szCs w:val="21"/>
            </w:rPr>
            <w:fldChar w:fldCharType="separate"/>
          </w:r>
          <w:r>
            <w:rPr>
              <w:color w:val="auto"/>
            </w:rPr>
            <w:t>7.</w:t>
          </w:r>
          <w:r>
            <w:rPr>
              <w:rFonts w:hint="eastAsia"/>
              <w:color w:val="auto"/>
              <w:lang w:val="en-US" w:eastAsia="zh-CN"/>
            </w:rPr>
            <w:t>2</w:t>
          </w:r>
          <w:r>
            <w:rPr>
              <w:color w:val="auto"/>
            </w:rPr>
            <w:t>环境投资估算</w:t>
          </w:r>
          <w:r>
            <w:rPr>
              <w:color w:val="auto"/>
            </w:rPr>
            <w:tab/>
          </w:r>
          <w:r>
            <w:rPr>
              <w:color w:val="auto"/>
            </w:rPr>
            <w:fldChar w:fldCharType="begin"/>
          </w:r>
          <w:r>
            <w:rPr>
              <w:color w:val="auto"/>
            </w:rPr>
            <w:instrText xml:space="preserve"> PAGEREF _Toc28032 \h </w:instrText>
          </w:r>
          <w:r>
            <w:rPr>
              <w:color w:val="auto"/>
            </w:rPr>
            <w:fldChar w:fldCharType="separate"/>
          </w:r>
          <w:r>
            <w:rPr>
              <w:color w:val="auto"/>
            </w:rPr>
            <w:t>104</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_Toc2963 </w:instrText>
          </w:r>
          <w:r>
            <w:rPr>
              <w:color w:val="auto"/>
              <w:szCs w:val="21"/>
            </w:rPr>
            <w:fldChar w:fldCharType="separate"/>
          </w:r>
          <w:r>
            <w:rPr>
              <w:color w:val="auto"/>
            </w:rPr>
            <w:t>7.3环境经济效益分析</w:t>
          </w:r>
          <w:r>
            <w:rPr>
              <w:color w:val="auto"/>
            </w:rPr>
            <w:tab/>
          </w:r>
          <w:r>
            <w:rPr>
              <w:color w:val="auto"/>
            </w:rPr>
            <w:fldChar w:fldCharType="begin"/>
          </w:r>
          <w:r>
            <w:rPr>
              <w:color w:val="auto"/>
            </w:rPr>
            <w:instrText xml:space="preserve"> PAGEREF _Toc2963 \h </w:instrText>
          </w:r>
          <w:r>
            <w:rPr>
              <w:color w:val="auto"/>
            </w:rPr>
            <w:fldChar w:fldCharType="separate"/>
          </w:r>
          <w:r>
            <w:rPr>
              <w:color w:val="auto"/>
            </w:rPr>
            <w:t>105</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_Toc29076 </w:instrText>
          </w:r>
          <w:r>
            <w:rPr>
              <w:color w:val="auto"/>
              <w:szCs w:val="21"/>
            </w:rPr>
            <w:fldChar w:fldCharType="separate"/>
          </w:r>
          <w:r>
            <w:rPr>
              <w:color w:val="auto"/>
            </w:rPr>
            <w:t>7.3.1社会效益</w:t>
          </w:r>
          <w:r>
            <w:rPr>
              <w:color w:val="auto"/>
            </w:rPr>
            <w:tab/>
          </w:r>
          <w:r>
            <w:rPr>
              <w:color w:val="auto"/>
            </w:rPr>
            <w:fldChar w:fldCharType="begin"/>
          </w:r>
          <w:r>
            <w:rPr>
              <w:color w:val="auto"/>
            </w:rPr>
            <w:instrText xml:space="preserve"> PAGEREF _Toc29076 \h </w:instrText>
          </w:r>
          <w:r>
            <w:rPr>
              <w:color w:val="auto"/>
            </w:rPr>
            <w:fldChar w:fldCharType="separate"/>
          </w:r>
          <w:r>
            <w:rPr>
              <w:color w:val="auto"/>
            </w:rPr>
            <w:t>105</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_Toc8975 </w:instrText>
          </w:r>
          <w:r>
            <w:rPr>
              <w:color w:val="auto"/>
              <w:szCs w:val="21"/>
            </w:rPr>
            <w:fldChar w:fldCharType="separate"/>
          </w:r>
          <w:r>
            <w:rPr>
              <w:color w:val="auto"/>
            </w:rPr>
            <w:t>7.3.2经济效益</w:t>
          </w:r>
          <w:r>
            <w:rPr>
              <w:color w:val="auto"/>
            </w:rPr>
            <w:tab/>
          </w:r>
          <w:r>
            <w:rPr>
              <w:color w:val="auto"/>
            </w:rPr>
            <w:fldChar w:fldCharType="begin"/>
          </w:r>
          <w:r>
            <w:rPr>
              <w:color w:val="auto"/>
            </w:rPr>
            <w:instrText xml:space="preserve"> PAGEREF _Toc8975 \h </w:instrText>
          </w:r>
          <w:r>
            <w:rPr>
              <w:color w:val="auto"/>
            </w:rPr>
            <w:fldChar w:fldCharType="separate"/>
          </w:r>
          <w:r>
            <w:rPr>
              <w:color w:val="auto"/>
            </w:rPr>
            <w:t>105</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_Toc14229 </w:instrText>
          </w:r>
          <w:r>
            <w:rPr>
              <w:color w:val="auto"/>
              <w:szCs w:val="21"/>
            </w:rPr>
            <w:fldChar w:fldCharType="separate"/>
          </w:r>
          <w:r>
            <w:rPr>
              <w:color w:val="auto"/>
            </w:rPr>
            <w:t>7.3.3环境效益</w:t>
          </w:r>
          <w:r>
            <w:rPr>
              <w:color w:val="auto"/>
            </w:rPr>
            <w:tab/>
          </w:r>
          <w:r>
            <w:rPr>
              <w:color w:val="auto"/>
            </w:rPr>
            <w:fldChar w:fldCharType="begin"/>
          </w:r>
          <w:r>
            <w:rPr>
              <w:color w:val="auto"/>
            </w:rPr>
            <w:instrText xml:space="preserve"> PAGEREF _Toc14229 \h </w:instrText>
          </w:r>
          <w:r>
            <w:rPr>
              <w:color w:val="auto"/>
            </w:rPr>
            <w:fldChar w:fldCharType="separate"/>
          </w:r>
          <w:r>
            <w:rPr>
              <w:color w:val="auto"/>
            </w:rPr>
            <w:t>106</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_Toc17618 </w:instrText>
          </w:r>
          <w:r>
            <w:rPr>
              <w:color w:val="auto"/>
              <w:szCs w:val="21"/>
            </w:rPr>
            <w:fldChar w:fldCharType="separate"/>
          </w:r>
          <w:r>
            <w:rPr>
              <w:color w:val="auto"/>
            </w:rPr>
            <w:t>7.4结论</w:t>
          </w:r>
          <w:r>
            <w:rPr>
              <w:color w:val="auto"/>
            </w:rPr>
            <w:tab/>
          </w:r>
          <w:r>
            <w:rPr>
              <w:color w:val="auto"/>
            </w:rPr>
            <w:fldChar w:fldCharType="begin"/>
          </w:r>
          <w:r>
            <w:rPr>
              <w:color w:val="auto"/>
            </w:rPr>
            <w:instrText xml:space="preserve"> PAGEREF _Toc17618 \h </w:instrText>
          </w:r>
          <w:r>
            <w:rPr>
              <w:color w:val="auto"/>
            </w:rPr>
            <w:fldChar w:fldCharType="separate"/>
          </w:r>
          <w:r>
            <w:rPr>
              <w:color w:val="auto"/>
            </w:rPr>
            <w:t>106</w:t>
          </w:r>
          <w:r>
            <w:rPr>
              <w:color w:val="auto"/>
            </w:rPr>
            <w:fldChar w:fldCharType="end"/>
          </w:r>
          <w:r>
            <w:rPr>
              <w:color w:val="auto"/>
              <w:szCs w:val="21"/>
            </w:rPr>
            <w:fldChar w:fldCharType="end"/>
          </w:r>
        </w:p>
        <w:p>
          <w:pPr>
            <w:pStyle w:val="14"/>
            <w:tabs>
              <w:tab w:val="right" w:leader="dot" w:pos="8306"/>
            </w:tabs>
            <w:rPr>
              <w:color w:val="auto"/>
            </w:rPr>
          </w:pPr>
          <w:r>
            <w:rPr>
              <w:color w:val="auto"/>
              <w:szCs w:val="21"/>
            </w:rPr>
            <w:fldChar w:fldCharType="begin"/>
          </w:r>
          <w:r>
            <w:rPr>
              <w:color w:val="auto"/>
              <w:szCs w:val="21"/>
            </w:rPr>
            <w:instrText xml:space="preserve"> HYPERLINK \l _Toc11167 </w:instrText>
          </w:r>
          <w:r>
            <w:rPr>
              <w:color w:val="auto"/>
              <w:szCs w:val="21"/>
            </w:rPr>
            <w:fldChar w:fldCharType="separate"/>
          </w:r>
          <w:r>
            <w:rPr>
              <w:color w:val="auto"/>
            </w:rPr>
            <w:t>8环境管理与监测计划</w:t>
          </w:r>
          <w:r>
            <w:rPr>
              <w:color w:val="auto"/>
            </w:rPr>
            <w:tab/>
          </w:r>
          <w:r>
            <w:rPr>
              <w:color w:val="auto"/>
            </w:rPr>
            <w:fldChar w:fldCharType="begin"/>
          </w:r>
          <w:r>
            <w:rPr>
              <w:color w:val="auto"/>
            </w:rPr>
            <w:instrText xml:space="preserve"> PAGEREF _Toc11167 \h </w:instrText>
          </w:r>
          <w:r>
            <w:rPr>
              <w:color w:val="auto"/>
            </w:rPr>
            <w:fldChar w:fldCharType="separate"/>
          </w:r>
          <w:r>
            <w:rPr>
              <w:color w:val="auto"/>
            </w:rPr>
            <w:t>107</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_Toc16095 </w:instrText>
          </w:r>
          <w:r>
            <w:rPr>
              <w:color w:val="auto"/>
              <w:szCs w:val="21"/>
            </w:rPr>
            <w:fldChar w:fldCharType="separate"/>
          </w:r>
          <w:r>
            <w:rPr>
              <w:color w:val="auto"/>
            </w:rPr>
            <w:t>8.1环境管理计划</w:t>
          </w:r>
          <w:r>
            <w:rPr>
              <w:color w:val="auto"/>
            </w:rPr>
            <w:tab/>
          </w:r>
          <w:r>
            <w:rPr>
              <w:color w:val="auto"/>
            </w:rPr>
            <w:fldChar w:fldCharType="begin"/>
          </w:r>
          <w:r>
            <w:rPr>
              <w:color w:val="auto"/>
            </w:rPr>
            <w:instrText xml:space="preserve"> PAGEREF _Toc16095 \h </w:instrText>
          </w:r>
          <w:r>
            <w:rPr>
              <w:color w:val="auto"/>
            </w:rPr>
            <w:fldChar w:fldCharType="separate"/>
          </w:r>
          <w:r>
            <w:rPr>
              <w:color w:val="auto"/>
            </w:rPr>
            <w:t>107</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_Toc5272 </w:instrText>
          </w:r>
          <w:r>
            <w:rPr>
              <w:color w:val="auto"/>
              <w:szCs w:val="21"/>
            </w:rPr>
            <w:fldChar w:fldCharType="separate"/>
          </w:r>
          <w:r>
            <w:rPr>
              <w:color w:val="auto"/>
            </w:rPr>
            <w:t>8.1.3环境管理机构的职责</w:t>
          </w:r>
          <w:r>
            <w:rPr>
              <w:color w:val="auto"/>
            </w:rPr>
            <w:tab/>
          </w:r>
          <w:r>
            <w:rPr>
              <w:color w:val="auto"/>
            </w:rPr>
            <w:fldChar w:fldCharType="begin"/>
          </w:r>
          <w:r>
            <w:rPr>
              <w:color w:val="auto"/>
            </w:rPr>
            <w:instrText xml:space="preserve"> PAGEREF _Toc5272 \h </w:instrText>
          </w:r>
          <w:r>
            <w:rPr>
              <w:color w:val="auto"/>
            </w:rPr>
            <w:fldChar w:fldCharType="separate"/>
          </w:r>
          <w:r>
            <w:rPr>
              <w:color w:val="auto"/>
            </w:rPr>
            <w:t>107</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_Toc29100 </w:instrText>
          </w:r>
          <w:r>
            <w:rPr>
              <w:color w:val="auto"/>
              <w:szCs w:val="21"/>
            </w:rPr>
            <w:fldChar w:fldCharType="separate"/>
          </w:r>
          <w:r>
            <w:rPr>
              <w:color w:val="auto"/>
            </w:rPr>
            <w:t>8.1.1环境管理目的</w:t>
          </w:r>
          <w:r>
            <w:rPr>
              <w:color w:val="auto"/>
            </w:rPr>
            <w:tab/>
          </w:r>
          <w:r>
            <w:rPr>
              <w:color w:val="auto"/>
            </w:rPr>
            <w:fldChar w:fldCharType="begin"/>
          </w:r>
          <w:r>
            <w:rPr>
              <w:color w:val="auto"/>
            </w:rPr>
            <w:instrText xml:space="preserve"> PAGEREF _Toc29100 \h </w:instrText>
          </w:r>
          <w:r>
            <w:rPr>
              <w:color w:val="auto"/>
            </w:rPr>
            <w:fldChar w:fldCharType="separate"/>
          </w:r>
          <w:r>
            <w:rPr>
              <w:color w:val="auto"/>
            </w:rPr>
            <w:t>107</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_Toc22951 </w:instrText>
          </w:r>
          <w:r>
            <w:rPr>
              <w:color w:val="auto"/>
              <w:szCs w:val="21"/>
            </w:rPr>
            <w:fldChar w:fldCharType="separate"/>
          </w:r>
          <w:r>
            <w:rPr>
              <w:color w:val="auto"/>
            </w:rPr>
            <w:t>8.1.2环境管理机构的设置</w:t>
          </w:r>
          <w:r>
            <w:rPr>
              <w:color w:val="auto"/>
            </w:rPr>
            <w:tab/>
          </w:r>
          <w:r>
            <w:rPr>
              <w:color w:val="auto"/>
            </w:rPr>
            <w:fldChar w:fldCharType="begin"/>
          </w:r>
          <w:r>
            <w:rPr>
              <w:color w:val="auto"/>
            </w:rPr>
            <w:instrText xml:space="preserve"> PAGEREF _Toc22951 \h </w:instrText>
          </w:r>
          <w:r>
            <w:rPr>
              <w:color w:val="auto"/>
            </w:rPr>
            <w:fldChar w:fldCharType="separate"/>
          </w:r>
          <w:r>
            <w:rPr>
              <w:color w:val="auto"/>
            </w:rPr>
            <w:t>107</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_Toc5697 </w:instrText>
          </w:r>
          <w:r>
            <w:rPr>
              <w:color w:val="auto"/>
              <w:szCs w:val="21"/>
            </w:rPr>
            <w:fldChar w:fldCharType="separate"/>
          </w:r>
          <w:r>
            <w:rPr>
              <w:color w:val="auto"/>
            </w:rPr>
            <w:t>8.1.4环境管理计划</w:t>
          </w:r>
          <w:r>
            <w:rPr>
              <w:color w:val="auto"/>
            </w:rPr>
            <w:tab/>
          </w:r>
          <w:r>
            <w:rPr>
              <w:color w:val="auto"/>
            </w:rPr>
            <w:fldChar w:fldCharType="begin"/>
          </w:r>
          <w:r>
            <w:rPr>
              <w:color w:val="auto"/>
            </w:rPr>
            <w:instrText xml:space="preserve"> PAGEREF _Toc5697 \h </w:instrText>
          </w:r>
          <w:r>
            <w:rPr>
              <w:color w:val="auto"/>
            </w:rPr>
            <w:fldChar w:fldCharType="separate"/>
          </w:r>
          <w:r>
            <w:rPr>
              <w:color w:val="auto"/>
            </w:rPr>
            <w:t>108</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_Toc27712 </w:instrText>
          </w:r>
          <w:r>
            <w:rPr>
              <w:color w:val="auto"/>
              <w:szCs w:val="21"/>
            </w:rPr>
            <w:fldChar w:fldCharType="separate"/>
          </w:r>
          <w:r>
            <w:rPr>
              <w:color w:val="auto"/>
            </w:rPr>
            <w:t>8.1.5信息公开</w:t>
          </w:r>
          <w:r>
            <w:rPr>
              <w:color w:val="auto"/>
            </w:rPr>
            <w:tab/>
          </w:r>
          <w:r>
            <w:rPr>
              <w:color w:val="auto"/>
            </w:rPr>
            <w:fldChar w:fldCharType="begin"/>
          </w:r>
          <w:r>
            <w:rPr>
              <w:color w:val="auto"/>
            </w:rPr>
            <w:instrText xml:space="preserve"> PAGEREF _Toc27712 \h </w:instrText>
          </w:r>
          <w:r>
            <w:rPr>
              <w:color w:val="auto"/>
            </w:rPr>
            <w:fldChar w:fldCharType="separate"/>
          </w:r>
          <w:r>
            <w:rPr>
              <w:color w:val="auto"/>
            </w:rPr>
            <w:t>109</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_Toc19086 </w:instrText>
          </w:r>
          <w:r>
            <w:rPr>
              <w:color w:val="auto"/>
              <w:szCs w:val="21"/>
            </w:rPr>
            <w:fldChar w:fldCharType="separate"/>
          </w:r>
          <w:r>
            <w:rPr>
              <w:color w:val="auto"/>
            </w:rPr>
            <w:t>8.1.6项目污染物排放清单</w:t>
          </w:r>
          <w:r>
            <w:rPr>
              <w:color w:val="auto"/>
            </w:rPr>
            <w:tab/>
          </w:r>
          <w:r>
            <w:rPr>
              <w:color w:val="auto"/>
            </w:rPr>
            <w:fldChar w:fldCharType="begin"/>
          </w:r>
          <w:r>
            <w:rPr>
              <w:color w:val="auto"/>
            </w:rPr>
            <w:instrText xml:space="preserve"> PAGEREF _Toc19086 \h </w:instrText>
          </w:r>
          <w:r>
            <w:rPr>
              <w:color w:val="auto"/>
            </w:rPr>
            <w:fldChar w:fldCharType="separate"/>
          </w:r>
          <w:r>
            <w:rPr>
              <w:color w:val="auto"/>
            </w:rPr>
            <w:t>109</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_Toc17338 </w:instrText>
          </w:r>
          <w:r>
            <w:rPr>
              <w:color w:val="auto"/>
              <w:szCs w:val="21"/>
            </w:rPr>
            <w:fldChar w:fldCharType="separate"/>
          </w:r>
          <w:r>
            <w:rPr>
              <w:color w:val="auto"/>
            </w:rPr>
            <w:t>8.2环境监测计划</w:t>
          </w:r>
          <w:r>
            <w:rPr>
              <w:color w:val="auto"/>
            </w:rPr>
            <w:tab/>
          </w:r>
          <w:r>
            <w:rPr>
              <w:color w:val="auto"/>
            </w:rPr>
            <w:fldChar w:fldCharType="begin"/>
          </w:r>
          <w:r>
            <w:rPr>
              <w:color w:val="auto"/>
            </w:rPr>
            <w:instrText xml:space="preserve"> PAGEREF _Toc17338 \h </w:instrText>
          </w:r>
          <w:r>
            <w:rPr>
              <w:color w:val="auto"/>
            </w:rPr>
            <w:fldChar w:fldCharType="separate"/>
          </w:r>
          <w:r>
            <w:rPr>
              <w:color w:val="auto"/>
            </w:rPr>
            <w:t>110</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_Toc15650 </w:instrText>
          </w:r>
          <w:r>
            <w:rPr>
              <w:color w:val="auto"/>
              <w:szCs w:val="21"/>
            </w:rPr>
            <w:fldChar w:fldCharType="separate"/>
          </w:r>
          <w:r>
            <w:rPr>
              <w:color w:val="auto"/>
            </w:rPr>
            <w:t>8.2.1环境监测目的</w:t>
          </w:r>
          <w:r>
            <w:rPr>
              <w:color w:val="auto"/>
            </w:rPr>
            <w:tab/>
          </w:r>
          <w:r>
            <w:rPr>
              <w:color w:val="auto"/>
            </w:rPr>
            <w:fldChar w:fldCharType="begin"/>
          </w:r>
          <w:r>
            <w:rPr>
              <w:color w:val="auto"/>
            </w:rPr>
            <w:instrText xml:space="preserve"> PAGEREF _Toc15650 \h </w:instrText>
          </w:r>
          <w:r>
            <w:rPr>
              <w:color w:val="auto"/>
            </w:rPr>
            <w:fldChar w:fldCharType="separate"/>
          </w:r>
          <w:r>
            <w:rPr>
              <w:color w:val="auto"/>
            </w:rPr>
            <w:t>110</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_Toc32405 </w:instrText>
          </w:r>
          <w:r>
            <w:rPr>
              <w:color w:val="auto"/>
              <w:szCs w:val="21"/>
            </w:rPr>
            <w:fldChar w:fldCharType="separate"/>
          </w:r>
          <w:r>
            <w:rPr>
              <w:color w:val="auto"/>
            </w:rPr>
            <w:t>8.2.2环境监测计划</w:t>
          </w:r>
          <w:r>
            <w:rPr>
              <w:color w:val="auto"/>
            </w:rPr>
            <w:tab/>
          </w:r>
          <w:r>
            <w:rPr>
              <w:color w:val="auto"/>
            </w:rPr>
            <w:fldChar w:fldCharType="begin"/>
          </w:r>
          <w:r>
            <w:rPr>
              <w:color w:val="auto"/>
            </w:rPr>
            <w:instrText xml:space="preserve"> PAGEREF _Toc32405 \h </w:instrText>
          </w:r>
          <w:r>
            <w:rPr>
              <w:color w:val="auto"/>
            </w:rPr>
            <w:fldChar w:fldCharType="separate"/>
          </w:r>
          <w:r>
            <w:rPr>
              <w:color w:val="auto"/>
            </w:rPr>
            <w:t>110</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_Toc23529 </w:instrText>
          </w:r>
          <w:r>
            <w:rPr>
              <w:color w:val="auto"/>
              <w:szCs w:val="21"/>
            </w:rPr>
            <w:fldChar w:fldCharType="separate"/>
          </w:r>
          <w:r>
            <w:rPr>
              <w:color w:val="auto"/>
            </w:rPr>
            <w:t>8.3排污口规范化管理</w:t>
          </w:r>
          <w:r>
            <w:rPr>
              <w:color w:val="auto"/>
            </w:rPr>
            <w:tab/>
          </w:r>
          <w:r>
            <w:rPr>
              <w:color w:val="auto"/>
            </w:rPr>
            <w:fldChar w:fldCharType="begin"/>
          </w:r>
          <w:r>
            <w:rPr>
              <w:color w:val="auto"/>
            </w:rPr>
            <w:instrText xml:space="preserve"> PAGEREF _Toc23529 \h </w:instrText>
          </w:r>
          <w:r>
            <w:rPr>
              <w:color w:val="auto"/>
            </w:rPr>
            <w:fldChar w:fldCharType="separate"/>
          </w:r>
          <w:r>
            <w:rPr>
              <w:color w:val="auto"/>
            </w:rPr>
            <w:t>111</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_Toc7888 </w:instrText>
          </w:r>
          <w:r>
            <w:rPr>
              <w:color w:val="auto"/>
              <w:szCs w:val="21"/>
            </w:rPr>
            <w:fldChar w:fldCharType="separate"/>
          </w:r>
          <w:r>
            <w:rPr>
              <w:color w:val="auto"/>
            </w:rPr>
            <w:t>8.4环境管理制度</w:t>
          </w:r>
          <w:r>
            <w:rPr>
              <w:color w:val="auto"/>
            </w:rPr>
            <w:tab/>
          </w:r>
          <w:r>
            <w:rPr>
              <w:color w:val="auto"/>
            </w:rPr>
            <w:fldChar w:fldCharType="begin"/>
          </w:r>
          <w:r>
            <w:rPr>
              <w:color w:val="auto"/>
            </w:rPr>
            <w:instrText xml:space="preserve"> PAGEREF _Toc7888 \h </w:instrText>
          </w:r>
          <w:r>
            <w:rPr>
              <w:color w:val="auto"/>
            </w:rPr>
            <w:fldChar w:fldCharType="separate"/>
          </w:r>
          <w:r>
            <w:rPr>
              <w:color w:val="auto"/>
            </w:rPr>
            <w:t>112</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_Toc17829 </w:instrText>
          </w:r>
          <w:r>
            <w:rPr>
              <w:color w:val="auto"/>
              <w:szCs w:val="21"/>
            </w:rPr>
            <w:fldChar w:fldCharType="separate"/>
          </w:r>
          <w:r>
            <w:rPr>
              <w:color w:val="auto"/>
            </w:rPr>
            <w:t>8.5“三同时”竣工验收一览表</w:t>
          </w:r>
          <w:r>
            <w:rPr>
              <w:color w:val="auto"/>
            </w:rPr>
            <w:tab/>
          </w:r>
          <w:r>
            <w:rPr>
              <w:color w:val="auto"/>
            </w:rPr>
            <w:fldChar w:fldCharType="begin"/>
          </w:r>
          <w:r>
            <w:rPr>
              <w:color w:val="auto"/>
            </w:rPr>
            <w:instrText xml:space="preserve"> PAGEREF _Toc17829 \h </w:instrText>
          </w:r>
          <w:r>
            <w:rPr>
              <w:color w:val="auto"/>
            </w:rPr>
            <w:fldChar w:fldCharType="separate"/>
          </w:r>
          <w:r>
            <w:rPr>
              <w:color w:val="auto"/>
            </w:rPr>
            <w:t>113</w:t>
          </w:r>
          <w:r>
            <w:rPr>
              <w:color w:val="auto"/>
            </w:rPr>
            <w:fldChar w:fldCharType="end"/>
          </w:r>
          <w:r>
            <w:rPr>
              <w:color w:val="auto"/>
              <w:szCs w:val="21"/>
            </w:rPr>
            <w:fldChar w:fldCharType="end"/>
          </w:r>
        </w:p>
        <w:p>
          <w:pPr>
            <w:pStyle w:val="14"/>
            <w:tabs>
              <w:tab w:val="right" w:leader="dot" w:pos="8306"/>
            </w:tabs>
            <w:rPr>
              <w:color w:val="auto"/>
            </w:rPr>
          </w:pPr>
          <w:r>
            <w:rPr>
              <w:color w:val="auto"/>
              <w:szCs w:val="21"/>
            </w:rPr>
            <w:fldChar w:fldCharType="begin"/>
          </w:r>
          <w:r>
            <w:rPr>
              <w:color w:val="auto"/>
              <w:szCs w:val="21"/>
            </w:rPr>
            <w:instrText xml:space="preserve"> HYPERLINK \l _Toc16891 </w:instrText>
          </w:r>
          <w:r>
            <w:rPr>
              <w:color w:val="auto"/>
              <w:szCs w:val="21"/>
            </w:rPr>
            <w:fldChar w:fldCharType="separate"/>
          </w:r>
          <w:r>
            <w:rPr>
              <w:color w:val="auto"/>
            </w:rPr>
            <w:t>9环境影响评价结论</w:t>
          </w:r>
          <w:r>
            <w:rPr>
              <w:color w:val="auto"/>
            </w:rPr>
            <w:tab/>
          </w:r>
          <w:r>
            <w:rPr>
              <w:color w:val="auto"/>
            </w:rPr>
            <w:fldChar w:fldCharType="begin"/>
          </w:r>
          <w:r>
            <w:rPr>
              <w:color w:val="auto"/>
            </w:rPr>
            <w:instrText xml:space="preserve"> PAGEREF _Toc16891 \h </w:instrText>
          </w:r>
          <w:r>
            <w:rPr>
              <w:color w:val="auto"/>
            </w:rPr>
            <w:fldChar w:fldCharType="separate"/>
          </w:r>
          <w:r>
            <w:rPr>
              <w:color w:val="auto"/>
            </w:rPr>
            <w:t>115</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_Toc31787 </w:instrText>
          </w:r>
          <w:r>
            <w:rPr>
              <w:color w:val="auto"/>
              <w:szCs w:val="21"/>
            </w:rPr>
            <w:fldChar w:fldCharType="separate"/>
          </w:r>
          <w:r>
            <w:rPr>
              <w:color w:val="auto"/>
            </w:rPr>
            <w:t>9.1工程概况</w:t>
          </w:r>
          <w:r>
            <w:rPr>
              <w:color w:val="auto"/>
            </w:rPr>
            <w:tab/>
          </w:r>
          <w:r>
            <w:rPr>
              <w:color w:val="auto"/>
            </w:rPr>
            <w:fldChar w:fldCharType="begin"/>
          </w:r>
          <w:r>
            <w:rPr>
              <w:color w:val="auto"/>
            </w:rPr>
            <w:instrText xml:space="preserve"> PAGEREF _Toc31787 \h </w:instrText>
          </w:r>
          <w:r>
            <w:rPr>
              <w:color w:val="auto"/>
            </w:rPr>
            <w:fldChar w:fldCharType="separate"/>
          </w:r>
          <w:r>
            <w:rPr>
              <w:color w:val="auto"/>
            </w:rPr>
            <w:t>115</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_Toc31476 </w:instrText>
          </w:r>
          <w:r>
            <w:rPr>
              <w:color w:val="auto"/>
              <w:szCs w:val="21"/>
            </w:rPr>
            <w:fldChar w:fldCharType="separate"/>
          </w:r>
          <w:r>
            <w:rPr>
              <w:color w:val="auto"/>
            </w:rPr>
            <w:t>9.2环境质量现状评价结论</w:t>
          </w:r>
          <w:r>
            <w:rPr>
              <w:color w:val="auto"/>
            </w:rPr>
            <w:tab/>
          </w:r>
          <w:r>
            <w:rPr>
              <w:color w:val="auto"/>
            </w:rPr>
            <w:fldChar w:fldCharType="begin"/>
          </w:r>
          <w:r>
            <w:rPr>
              <w:color w:val="auto"/>
            </w:rPr>
            <w:instrText xml:space="preserve"> PAGEREF _Toc31476 \h </w:instrText>
          </w:r>
          <w:r>
            <w:rPr>
              <w:color w:val="auto"/>
            </w:rPr>
            <w:fldChar w:fldCharType="separate"/>
          </w:r>
          <w:r>
            <w:rPr>
              <w:color w:val="auto"/>
            </w:rPr>
            <w:t>115</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_Toc1469 </w:instrText>
          </w:r>
          <w:r>
            <w:rPr>
              <w:color w:val="auto"/>
              <w:szCs w:val="21"/>
            </w:rPr>
            <w:fldChar w:fldCharType="separate"/>
          </w:r>
          <w:r>
            <w:rPr>
              <w:bCs/>
              <w:color w:val="auto"/>
            </w:rPr>
            <w:t>9.3产业政策结论</w:t>
          </w:r>
          <w:r>
            <w:rPr>
              <w:color w:val="auto"/>
            </w:rPr>
            <w:tab/>
          </w:r>
          <w:r>
            <w:rPr>
              <w:color w:val="auto"/>
            </w:rPr>
            <w:fldChar w:fldCharType="begin"/>
          </w:r>
          <w:r>
            <w:rPr>
              <w:color w:val="auto"/>
            </w:rPr>
            <w:instrText xml:space="preserve"> PAGEREF _Toc1469 \h </w:instrText>
          </w:r>
          <w:r>
            <w:rPr>
              <w:color w:val="auto"/>
            </w:rPr>
            <w:fldChar w:fldCharType="separate"/>
          </w:r>
          <w:r>
            <w:rPr>
              <w:color w:val="auto"/>
            </w:rPr>
            <w:t>116</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_Toc25196 </w:instrText>
          </w:r>
          <w:r>
            <w:rPr>
              <w:color w:val="auto"/>
              <w:szCs w:val="21"/>
            </w:rPr>
            <w:fldChar w:fldCharType="separate"/>
          </w:r>
          <w:r>
            <w:rPr>
              <w:bCs/>
              <w:color w:val="auto"/>
            </w:rPr>
            <w:t>9.4环境影响分析</w:t>
          </w:r>
          <w:r>
            <w:rPr>
              <w:color w:val="auto"/>
            </w:rPr>
            <w:tab/>
          </w:r>
          <w:r>
            <w:rPr>
              <w:color w:val="auto"/>
            </w:rPr>
            <w:fldChar w:fldCharType="begin"/>
          </w:r>
          <w:r>
            <w:rPr>
              <w:color w:val="auto"/>
            </w:rPr>
            <w:instrText xml:space="preserve"> PAGEREF _Toc25196 \h </w:instrText>
          </w:r>
          <w:r>
            <w:rPr>
              <w:color w:val="auto"/>
            </w:rPr>
            <w:fldChar w:fldCharType="separate"/>
          </w:r>
          <w:r>
            <w:rPr>
              <w:color w:val="auto"/>
            </w:rPr>
            <w:t>116</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_Toc24047 </w:instrText>
          </w:r>
          <w:r>
            <w:rPr>
              <w:color w:val="auto"/>
              <w:szCs w:val="21"/>
            </w:rPr>
            <w:fldChar w:fldCharType="separate"/>
          </w:r>
          <w:r>
            <w:rPr>
              <w:color w:val="auto"/>
            </w:rPr>
            <w:t>9.4.1大气环境影响评价</w:t>
          </w:r>
          <w:r>
            <w:rPr>
              <w:color w:val="auto"/>
            </w:rPr>
            <w:tab/>
          </w:r>
          <w:r>
            <w:rPr>
              <w:color w:val="auto"/>
            </w:rPr>
            <w:fldChar w:fldCharType="begin"/>
          </w:r>
          <w:r>
            <w:rPr>
              <w:color w:val="auto"/>
            </w:rPr>
            <w:instrText xml:space="preserve"> PAGEREF _Toc24047 \h </w:instrText>
          </w:r>
          <w:r>
            <w:rPr>
              <w:color w:val="auto"/>
            </w:rPr>
            <w:fldChar w:fldCharType="separate"/>
          </w:r>
          <w:r>
            <w:rPr>
              <w:color w:val="auto"/>
            </w:rPr>
            <w:t>116</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_Toc23716 </w:instrText>
          </w:r>
          <w:r>
            <w:rPr>
              <w:color w:val="auto"/>
              <w:szCs w:val="21"/>
            </w:rPr>
            <w:fldChar w:fldCharType="separate"/>
          </w:r>
          <w:r>
            <w:rPr>
              <w:color w:val="auto"/>
            </w:rPr>
            <w:t>9.4.2水环境影响评价</w:t>
          </w:r>
          <w:r>
            <w:rPr>
              <w:color w:val="auto"/>
            </w:rPr>
            <w:tab/>
          </w:r>
          <w:r>
            <w:rPr>
              <w:color w:val="auto"/>
            </w:rPr>
            <w:fldChar w:fldCharType="begin"/>
          </w:r>
          <w:r>
            <w:rPr>
              <w:color w:val="auto"/>
            </w:rPr>
            <w:instrText xml:space="preserve"> PAGEREF _Toc23716 \h </w:instrText>
          </w:r>
          <w:r>
            <w:rPr>
              <w:color w:val="auto"/>
            </w:rPr>
            <w:fldChar w:fldCharType="separate"/>
          </w:r>
          <w:r>
            <w:rPr>
              <w:color w:val="auto"/>
            </w:rPr>
            <w:t>117</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_Toc23290 </w:instrText>
          </w:r>
          <w:r>
            <w:rPr>
              <w:color w:val="auto"/>
              <w:szCs w:val="21"/>
            </w:rPr>
            <w:fldChar w:fldCharType="separate"/>
          </w:r>
          <w:r>
            <w:rPr>
              <w:color w:val="auto"/>
            </w:rPr>
            <w:t>9.4.3声环境影响评价</w:t>
          </w:r>
          <w:r>
            <w:rPr>
              <w:color w:val="auto"/>
            </w:rPr>
            <w:tab/>
          </w:r>
          <w:r>
            <w:rPr>
              <w:color w:val="auto"/>
            </w:rPr>
            <w:fldChar w:fldCharType="begin"/>
          </w:r>
          <w:r>
            <w:rPr>
              <w:color w:val="auto"/>
            </w:rPr>
            <w:instrText xml:space="preserve"> PAGEREF _Toc23290 \h </w:instrText>
          </w:r>
          <w:r>
            <w:rPr>
              <w:color w:val="auto"/>
            </w:rPr>
            <w:fldChar w:fldCharType="separate"/>
          </w:r>
          <w:r>
            <w:rPr>
              <w:color w:val="auto"/>
            </w:rPr>
            <w:t>117</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_Toc17925 </w:instrText>
          </w:r>
          <w:r>
            <w:rPr>
              <w:color w:val="auto"/>
              <w:szCs w:val="21"/>
            </w:rPr>
            <w:fldChar w:fldCharType="separate"/>
          </w:r>
          <w:r>
            <w:rPr>
              <w:color w:val="auto"/>
            </w:rPr>
            <w:t>9.4.4固体废物影响评价</w:t>
          </w:r>
          <w:r>
            <w:rPr>
              <w:color w:val="auto"/>
            </w:rPr>
            <w:tab/>
          </w:r>
          <w:r>
            <w:rPr>
              <w:color w:val="auto"/>
            </w:rPr>
            <w:fldChar w:fldCharType="begin"/>
          </w:r>
          <w:r>
            <w:rPr>
              <w:color w:val="auto"/>
            </w:rPr>
            <w:instrText xml:space="preserve"> PAGEREF _Toc17925 \h </w:instrText>
          </w:r>
          <w:r>
            <w:rPr>
              <w:color w:val="auto"/>
            </w:rPr>
            <w:fldChar w:fldCharType="separate"/>
          </w:r>
          <w:r>
            <w:rPr>
              <w:color w:val="auto"/>
            </w:rPr>
            <w:t>117</w:t>
          </w:r>
          <w:r>
            <w:rPr>
              <w:color w:val="auto"/>
            </w:rPr>
            <w:fldChar w:fldCharType="end"/>
          </w:r>
          <w:r>
            <w:rPr>
              <w:color w:val="auto"/>
              <w:szCs w:val="21"/>
            </w:rPr>
            <w:fldChar w:fldCharType="end"/>
          </w:r>
        </w:p>
        <w:p>
          <w:pPr>
            <w:pStyle w:val="10"/>
            <w:tabs>
              <w:tab w:val="right" w:leader="dot" w:pos="8306"/>
            </w:tabs>
            <w:rPr>
              <w:color w:val="auto"/>
            </w:rPr>
          </w:pPr>
          <w:r>
            <w:rPr>
              <w:color w:val="auto"/>
              <w:szCs w:val="21"/>
            </w:rPr>
            <w:fldChar w:fldCharType="begin"/>
          </w:r>
          <w:r>
            <w:rPr>
              <w:color w:val="auto"/>
              <w:szCs w:val="21"/>
            </w:rPr>
            <w:instrText xml:space="preserve"> HYPERLINK \l _Toc4720 </w:instrText>
          </w:r>
          <w:r>
            <w:rPr>
              <w:color w:val="auto"/>
              <w:szCs w:val="21"/>
            </w:rPr>
            <w:fldChar w:fldCharType="separate"/>
          </w:r>
          <w:r>
            <w:rPr>
              <w:color w:val="auto"/>
            </w:rPr>
            <w:t>9.4.5环境风险评价</w:t>
          </w:r>
          <w:r>
            <w:rPr>
              <w:color w:val="auto"/>
            </w:rPr>
            <w:tab/>
          </w:r>
          <w:r>
            <w:rPr>
              <w:color w:val="auto"/>
            </w:rPr>
            <w:fldChar w:fldCharType="begin"/>
          </w:r>
          <w:r>
            <w:rPr>
              <w:color w:val="auto"/>
            </w:rPr>
            <w:instrText xml:space="preserve"> PAGEREF _Toc4720 \h </w:instrText>
          </w:r>
          <w:r>
            <w:rPr>
              <w:color w:val="auto"/>
            </w:rPr>
            <w:fldChar w:fldCharType="separate"/>
          </w:r>
          <w:r>
            <w:rPr>
              <w:color w:val="auto"/>
            </w:rPr>
            <w:t>117</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_Toc1403 </w:instrText>
          </w:r>
          <w:r>
            <w:rPr>
              <w:color w:val="auto"/>
              <w:szCs w:val="21"/>
            </w:rPr>
            <w:fldChar w:fldCharType="separate"/>
          </w:r>
          <w:r>
            <w:rPr>
              <w:color w:val="auto"/>
            </w:rPr>
            <w:t>9.5总量控制结论</w:t>
          </w:r>
          <w:r>
            <w:rPr>
              <w:color w:val="auto"/>
            </w:rPr>
            <w:tab/>
          </w:r>
          <w:r>
            <w:rPr>
              <w:color w:val="auto"/>
            </w:rPr>
            <w:fldChar w:fldCharType="begin"/>
          </w:r>
          <w:r>
            <w:rPr>
              <w:color w:val="auto"/>
            </w:rPr>
            <w:instrText xml:space="preserve"> PAGEREF _Toc1403 \h </w:instrText>
          </w:r>
          <w:r>
            <w:rPr>
              <w:color w:val="auto"/>
            </w:rPr>
            <w:fldChar w:fldCharType="separate"/>
          </w:r>
          <w:r>
            <w:rPr>
              <w:color w:val="auto"/>
            </w:rPr>
            <w:t>117</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_Toc24739 </w:instrText>
          </w:r>
          <w:r>
            <w:rPr>
              <w:color w:val="auto"/>
              <w:szCs w:val="21"/>
            </w:rPr>
            <w:fldChar w:fldCharType="separate"/>
          </w:r>
          <w:r>
            <w:rPr>
              <w:color w:val="auto"/>
            </w:rPr>
            <w:t>9.6环境经济损益分析</w:t>
          </w:r>
          <w:r>
            <w:rPr>
              <w:color w:val="auto"/>
            </w:rPr>
            <w:tab/>
          </w:r>
          <w:r>
            <w:rPr>
              <w:color w:val="auto"/>
            </w:rPr>
            <w:fldChar w:fldCharType="begin"/>
          </w:r>
          <w:r>
            <w:rPr>
              <w:color w:val="auto"/>
            </w:rPr>
            <w:instrText xml:space="preserve"> PAGEREF _Toc24739 \h </w:instrText>
          </w:r>
          <w:r>
            <w:rPr>
              <w:color w:val="auto"/>
            </w:rPr>
            <w:fldChar w:fldCharType="separate"/>
          </w:r>
          <w:r>
            <w:rPr>
              <w:color w:val="auto"/>
            </w:rPr>
            <w:t>118</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_Toc15044 </w:instrText>
          </w:r>
          <w:r>
            <w:rPr>
              <w:color w:val="auto"/>
              <w:szCs w:val="21"/>
            </w:rPr>
            <w:fldChar w:fldCharType="separate"/>
          </w:r>
          <w:r>
            <w:rPr>
              <w:color w:val="auto"/>
            </w:rPr>
            <w:t>9.7公众参与</w:t>
          </w:r>
          <w:r>
            <w:rPr>
              <w:color w:val="auto"/>
            </w:rPr>
            <w:tab/>
          </w:r>
          <w:r>
            <w:rPr>
              <w:color w:val="auto"/>
            </w:rPr>
            <w:fldChar w:fldCharType="begin"/>
          </w:r>
          <w:r>
            <w:rPr>
              <w:color w:val="auto"/>
            </w:rPr>
            <w:instrText xml:space="preserve"> PAGEREF _Toc15044 \h </w:instrText>
          </w:r>
          <w:r>
            <w:rPr>
              <w:color w:val="auto"/>
            </w:rPr>
            <w:fldChar w:fldCharType="separate"/>
          </w:r>
          <w:r>
            <w:rPr>
              <w:color w:val="auto"/>
            </w:rPr>
            <w:t>118</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_Toc4164 </w:instrText>
          </w:r>
          <w:r>
            <w:rPr>
              <w:color w:val="auto"/>
              <w:szCs w:val="21"/>
            </w:rPr>
            <w:fldChar w:fldCharType="separate"/>
          </w:r>
          <w:r>
            <w:rPr>
              <w:color w:val="auto"/>
            </w:rPr>
            <w:t>9.8综合评价结论</w:t>
          </w:r>
          <w:r>
            <w:rPr>
              <w:color w:val="auto"/>
            </w:rPr>
            <w:tab/>
          </w:r>
          <w:r>
            <w:rPr>
              <w:color w:val="auto"/>
            </w:rPr>
            <w:fldChar w:fldCharType="begin"/>
          </w:r>
          <w:r>
            <w:rPr>
              <w:color w:val="auto"/>
            </w:rPr>
            <w:instrText xml:space="preserve"> PAGEREF _Toc4164 \h </w:instrText>
          </w:r>
          <w:r>
            <w:rPr>
              <w:color w:val="auto"/>
            </w:rPr>
            <w:fldChar w:fldCharType="separate"/>
          </w:r>
          <w:r>
            <w:rPr>
              <w:color w:val="auto"/>
            </w:rPr>
            <w:t>118</w:t>
          </w:r>
          <w:r>
            <w:rPr>
              <w:color w:val="auto"/>
            </w:rPr>
            <w:fldChar w:fldCharType="end"/>
          </w:r>
          <w:r>
            <w:rPr>
              <w:color w:val="auto"/>
              <w:szCs w:val="21"/>
            </w:rPr>
            <w:fldChar w:fldCharType="end"/>
          </w:r>
        </w:p>
        <w:p>
          <w:pPr>
            <w:pStyle w:val="15"/>
            <w:tabs>
              <w:tab w:val="right" w:leader="dot" w:pos="8306"/>
            </w:tabs>
            <w:rPr>
              <w:color w:val="auto"/>
            </w:rPr>
          </w:pPr>
          <w:r>
            <w:rPr>
              <w:color w:val="auto"/>
              <w:szCs w:val="21"/>
            </w:rPr>
            <w:fldChar w:fldCharType="begin"/>
          </w:r>
          <w:r>
            <w:rPr>
              <w:color w:val="auto"/>
              <w:szCs w:val="21"/>
            </w:rPr>
            <w:instrText xml:space="preserve"> HYPERLINK \l _Toc12301 </w:instrText>
          </w:r>
          <w:r>
            <w:rPr>
              <w:color w:val="auto"/>
              <w:szCs w:val="21"/>
            </w:rPr>
            <w:fldChar w:fldCharType="separate"/>
          </w:r>
          <w:r>
            <w:rPr>
              <w:color w:val="auto"/>
            </w:rPr>
            <w:t>9.9建议和要求</w:t>
          </w:r>
          <w:r>
            <w:rPr>
              <w:color w:val="auto"/>
            </w:rPr>
            <w:tab/>
          </w:r>
          <w:r>
            <w:rPr>
              <w:color w:val="auto"/>
            </w:rPr>
            <w:fldChar w:fldCharType="begin"/>
          </w:r>
          <w:r>
            <w:rPr>
              <w:color w:val="auto"/>
            </w:rPr>
            <w:instrText xml:space="preserve"> PAGEREF _Toc12301 \h </w:instrText>
          </w:r>
          <w:r>
            <w:rPr>
              <w:color w:val="auto"/>
            </w:rPr>
            <w:fldChar w:fldCharType="separate"/>
          </w:r>
          <w:r>
            <w:rPr>
              <w:color w:val="auto"/>
            </w:rPr>
            <w:t>118</w:t>
          </w:r>
          <w:r>
            <w:rPr>
              <w:color w:val="auto"/>
            </w:rPr>
            <w:fldChar w:fldCharType="end"/>
          </w:r>
          <w:r>
            <w:rPr>
              <w:color w:val="auto"/>
              <w:szCs w:val="21"/>
            </w:rPr>
            <w:fldChar w:fldCharType="end"/>
          </w:r>
        </w:p>
        <w:p>
          <w:pPr>
            <w:keepNext w:val="0"/>
            <w:keepLines w:val="0"/>
            <w:pageBreakBefore w:val="0"/>
            <w:kinsoku/>
            <w:wordWrap/>
            <w:overflowPunct/>
            <w:topLinePunct w:val="0"/>
            <w:autoSpaceDE/>
            <w:autoSpaceDN/>
            <w:bidi w:val="0"/>
            <w:adjustRightInd/>
            <w:snapToGrid/>
            <w:spacing w:line="240" w:lineRule="auto"/>
            <w:textAlignment w:val="auto"/>
            <w:rPr>
              <w:color w:val="auto"/>
            </w:rPr>
          </w:pPr>
          <w:r>
            <w:rPr>
              <w:color w:val="auto"/>
              <w:szCs w:val="21"/>
            </w:rPr>
            <w:fldChar w:fldCharType="end"/>
          </w:r>
        </w:p>
      </w:sdtContent>
    </w:sdt>
    <w:p>
      <w:pPr>
        <w:pStyle w:val="4"/>
        <w:bidi w:val="0"/>
        <w:rPr>
          <w:rFonts w:hint="eastAsia"/>
          <w:color w:val="auto"/>
          <w:lang w:val="en-US" w:eastAsia="zh-CN"/>
        </w:rPr>
        <w:sectPr>
          <w:pgSz w:w="11906" w:h="16838"/>
          <w:pgMar w:top="1440" w:right="1800" w:bottom="1440" w:left="1800" w:header="1020" w:footer="992" w:gutter="0"/>
          <w:pgBorders>
            <w:top w:val="none" w:sz="0" w:space="0"/>
            <w:left w:val="none" w:sz="0" w:space="0"/>
            <w:bottom w:val="none" w:sz="0" w:space="0"/>
            <w:right w:val="none" w:sz="0" w:space="0"/>
          </w:pgBorders>
          <w:pgNumType w:fmt="decimal" w:start="71"/>
          <w:cols w:space="425" w:num="1"/>
          <w:docGrid w:type="lines" w:linePitch="312" w:charSpace="0"/>
        </w:sectPr>
      </w:pPr>
    </w:p>
    <w:p>
      <w:pPr>
        <w:pStyle w:val="4"/>
        <w:bidi w:val="0"/>
        <w:rPr>
          <w:rFonts w:hint="eastAsia"/>
          <w:color w:val="auto"/>
          <w:lang w:val="en-US" w:eastAsia="zh-CN"/>
        </w:rPr>
      </w:pPr>
      <w:bookmarkStart w:id="0" w:name="_Toc10787"/>
      <w:r>
        <w:rPr>
          <w:rFonts w:hint="eastAsia"/>
          <w:color w:val="auto"/>
          <w:lang w:val="en-US" w:eastAsia="zh-CN"/>
        </w:rPr>
        <w:t>1概述</w:t>
      </w:r>
      <w:bookmarkEnd w:id="0"/>
    </w:p>
    <w:p>
      <w:pPr>
        <w:pStyle w:val="5"/>
        <w:bidi w:val="0"/>
        <w:outlineLvl w:val="0"/>
        <w:rPr>
          <w:rFonts w:hint="default"/>
          <w:color w:val="auto"/>
          <w:lang w:val="en-US" w:eastAsia="zh-CN"/>
        </w:rPr>
      </w:pPr>
      <w:bookmarkStart w:id="1" w:name="_Toc2308"/>
      <w:r>
        <w:rPr>
          <w:rFonts w:hint="eastAsia"/>
          <w:color w:val="auto"/>
          <w:lang w:val="en-US" w:eastAsia="zh-CN"/>
        </w:rPr>
        <w:t>1.1项目特点</w:t>
      </w:r>
      <w:bookmarkEnd w:id="1"/>
    </w:p>
    <w:p>
      <w:pPr>
        <w:bidi w:val="0"/>
        <w:rPr>
          <w:color w:val="auto"/>
        </w:rPr>
      </w:pPr>
      <w:r>
        <w:rPr>
          <w:color w:val="auto"/>
          <w:lang w:val="en-US" w:eastAsia="zh-CN"/>
        </w:rPr>
        <w:t>第十四师皮山农场位于皮山县城东北</w:t>
      </w:r>
      <w:r>
        <w:rPr>
          <w:rFonts w:hint="default"/>
          <w:color w:val="auto"/>
          <w:lang w:val="en-US" w:eastAsia="zh-CN"/>
        </w:rPr>
        <w:t>20</w:t>
      </w:r>
      <w:r>
        <w:rPr>
          <w:color w:val="auto"/>
          <w:lang w:val="en-US" w:eastAsia="zh-CN"/>
        </w:rPr>
        <w:t>公里处，塔克拉玛干沙漠南缘，喀什昆仑山北麓，西距喀什</w:t>
      </w:r>
      <w:r>
        <w:rPr>
          <w:rFonts w:hint="default"/>
          <w:color w:val="auto"/>
          <w:lang w:val="en-US" w:eastAsia="zh-CN"/>
        </w:rPr>
        <w:t>330</w:t>
      </w:r>
      <w:r>
        <w:rPr>
          <w:color w:val="auto"/>
          <w:lang w:val="en-US" w:eastAsia="zh-CN"/>
        </w:rPr>
        <w:t>公里，东与皮山县木杏乡毗邻，南连尼向达尔乡和木奎拉乡，西与科克热铁毗邻。全场占地总面积</w:t>
      </w:r>
      <w:r>
        <w:rPr>
          <w:rFonts w:hint="default"/>
          <w:color w:val="auto"/>
          <w:lang w:val="en-US" w:eastAsia="zh-CN"/>
        </w:rPr>
        <w:t>51.74</w:t>
      </w:r>
      <w:r>
        <w:rPr>
          <w:color w:val="auto"/>
          <w:lang w:val="en-US" w:eastAsia="zh-CN"/>
        </w:rPr>
        <w:t>万亩，其中灌溉面积</w:t>
      </w:r>
      <w:r>
        <w:rPr>
          <w:rFonts w:hint="default"/>
          <w:color w:val="auto"/>
          <w:lang w:val="en-US" w:eastAsia="zh-CN"/>
        </w:rPr>
        <w:t>9</w:t>
      </w:r>
      <w:r>
        <w:rPr>
          <w:color w:val="auto"/>
          <w:lang w:val="en-US" w:eastAsia="zh-CN"/>
        </w:rPr>
        <w:t>万亩。全场所辖</w:t>
      </w:r>
      <w:r>
        <w:rPr>
          <w:rFonts w:hint="default"/>
          <w:color w:val="auto"/>
          <w:lang w:val="en-US" w:eastAsia="zh-CN"/>
        </w:rPr>
        <w:t>10</w:t>
      </w:r>
      <w:r>
        <w:rPr>
          <w:color w:val="auto"/>
          <w:lang w:val="en-US" w:eastAsia="zh-CN"/>
        </w:rPr>
        <w:t>个农业连队，</w:t>
      </w:r>
      <w:r>
        <w:rPr>
          <w:rFonts w:hint="default"/>
          <w:color w:val="auto"/>
          <w:lang w:val="en-US" w:eastAsia="zh-CN"/>
        </w:rPr>
        <w:t>18</w:t>
      </w:r>
      <w:r>
        <w:rPr>
          <w:color w:val="auto"/>
          <w:lang w:val="en-US" w:eastAsia="zh-CN"/>
        </w:rPr>
        <w:t>个直属工交建商服务单位。总人口</w:t>
      </w:r>
      <w:r>
        <w:rPr>
          <w:rFonts w:hint="default"/>
          <w:color w:val="auto"/>
          <w:lang w:val="en-US" w:eastAsia="zh-CN"/>
        </w:rPr>
        <w:t>25555</w:t>
      </w:r>
      <w:r>
        <w:rPr>
          <w:color w:val="auto"/>
          <w:lang w:val="en-US" w:eastAsia="zh-CN"/>
        </w:rPr>
        <w:t>人，其中维吾尔族</w:t>
      </w:r>
      <w:r>
        <w:rPr>
          <w:rFonts w:hint="default"/>
          <w:color w:val="auto"/>
          <w:lang w:val="en-US" w:eastAsia="zh-CN"/>
        </w:rPr>
        <w:t>24412</w:t>
      </w:r>
      <w:r>
        <w:rPr>
          <w:color w:val="auto"/>
          <w:lang w:val="en-US" w:eastAsia="zh-CN"/>
        </w:rPr>
        <w:t>人，占总人口的</w:t>
      </w:r>
      <w:r>
        <w:rPr>
          <w:rFonts w:hint="default"/>
          <w:color w:val="auto"/>
          <w:lang w:val="en-US" w:eastAsia="zh-CN"/>
        </w:rPr>
        <w:t>95.5%</w:t>
      </w:r>
      <w:r>
        <w:rPr>
          <w:color w:val="auto"/>
          <w:lang w:val="en-US" w:eastAsia="zh-CN"/>
        </w:rPr>
        <w:t>；皮山农场是一个典型的以维吾尔族为主体的边境少数民族团场、国家级特困团场</w:t>
      </w:r>
      <w:r>
        <w:rPr>
          <w:color w:val="auto"/>
        </w:rPr>
        <w:t>。项目区疾病预防控制技术相对落后，人才和投资的相对匮乏，从而造成常见急慢性传染病时有发生，地方病未得到有效控制，环境卫生、健康教育等工作相对落后，卫生防疫的现状与兵团肩负的屯垦戍边的特殊历史使命不符，与国家指定的一系列应对突发公共卫生事件的应急管理的具体要求不符。</w:t>
      </w:r>
    </w:p>
    <w:p>
      <w:pPr>
        <w:bidi w:val="0"/>
        <w:rPr>
          <w:color w:val="auto"/>
        </w:rPr>
      </w:pPr>
      <w:r>
        <w:rPr>
          <w:color w:val="auto"/>
        </w:rPr>
        <w:t>本项目的提出，是本着全面实施建设规划，加快疾病预防控制体系的建设，提高应对突发公共卫生事件的能力。是认真贯彻落实《中共中央、国务院卫生改革与发展的决定》及落实《传染病防治法》和《突发公共卫生事件应急条例》等文件精神，为方便职工群众，更好地服务于</w:t>
      </w:r>
      <w:r>
        <w:rPr>
          <w:rFonts w:hint="eastAsia"/>
          <w:color w:val="auto"/>
          <w:lang w:val="en-US" w:eastAsia="zh-CN"/>
        </w:rPr>
        <w:t>皮山农场</w:t>
      </w:r>
      <w:r>
        <w:rPr>
          <w:color w:val="auto"/>
        </w:rPr>
        <w:t>社会和经济建设，以人为本促进经济社会协调可持续全面发展，把国家对兵团职工群众的关怀落到实处，建设该项目在国家和兵、师的大力支持下，得以尽快实施。</w:t>
      </w:r>
    </w:p>
    <w:p>
      <w:pPr>
        <w:bidi w:val="0"/>
        <w:rPr>
          <w:color w:val="auto"/>
        </w:rPr>
      </w:pPr>
      <w:r>
        <w:rPr>
          <w:color w:val="auto"/>
          <w:lang w:val="en-US" w:eastAsia="zh-CN"/>
        </w:rPr>
        <w:t>本项目建设场址位于皮山农场镇区皮山医院院内：勤劳路以南，光荣路以东，</w:t>
      </w:r>
    </w:p>
    <w:p>
      <w:pPr>
        <w:bidi w:val="0"/>
        <w:ind w:left="0" w:leftChars="0" w:firstLine="0" w:firstLineChars="0"/>
        <w:rPr>
          <w:rFonts w:hint="default"/>
          <w:color w:val="auto"/>
          <w:lang w:val="en-US"/>
        </w:rPr>
      </w:pPr>
      <w:r>
        <w:rPr>
          <w:color w:val="auto"/>
          <w:lang w:val="en-US" w:eastAsia="zh-CN"/>
        </w:rPr>
        <w:t>报国路以北，忠义路以西。医院内的市政管网（线）已建至项目区，建筑给排水、供热、电力等均可就近接入，土地使用性质为医疗设施用地</w:t>
      </w:r>
      <w:r>
        <w:rPr>
          <w:rFonts w:hint="eastAsia"/>
          <w:color w:val="auto"/>
          <w:lang w:val="en-US" w:eastAsia="zh-CN"/>
        </w:rPr>
        <w:t>。</w:t>
      </w:r>
    </w:p>
    <w:p>
      <w:pPr>
        <w:bidi w:val="0"/>
        <w:rPr>
          <w:color w:val="auto"/>
        </w:rPr>
      </w:pPr>
      <w:r>
        <w:rPr>
          <w:color w:val="auto"/>
          <w:lang w:val="en-US" w:eastAsia="zh-CN"/>
        </w:rPr>
        <w:t>第十四师皮山农场疾控中心承担着皮山农场及其周边团场地方居民群众的传染病防治、地方病防治、慢性病防治，结核病、艾滋病、职业病、学生常见病防治与监测、免疫规划、健康教育与健康促进、妇幼保健、环境卫生监测、实验室常规检验及消毒质量监测、突发公共卫生事件的应急处置等业务工作。</w:t>
      </w:r>
    </w:p>
    <w:p>
      <w:pPr>
        <w:bidi w:val="0"/>
        <w:rPr>
          <w:color w:val="auto"/>
        </w:rPr>
      </w:pPr>
      <w:r>
        <w:rPr>
          <w:color w:val="auto"/>
        </w:rPr>
        <w:t>该项目建成后，</w:t>
      </w:r>
      <w:r>
        <w:rPr>
          <w:rFonts w:hint="eastAsia"/>
          <w:color w:val="auto"/>
          <w:lang w:val="en-US" w:eastAsia="zh-CN"/>
        </w:rPr>
        <w:t>皮山农场</w:t>
      </w:r>
      <w:r>
        <w:rPr>
          <w:color w:val="auto"/>
        </w:rPr>
        <w:t>将建立起较高水平的检测检验中心，成为全区卫生监督和疾病控制工作的重要基地，为</w:t>
      </w:r>
      <w:r>
        <w:rPr>
          <w:rFonts w:hint="eastAsia"/>
          <w:color w:val="auto"/>
          <w:lang w:val="en-US" w:eastAsia="zh-CN"/>
        </w:rPr>
        <w:t>皮山农场</w:t>
      </w:r>
      <w:r>
        <w:rPr>
          <w:color w:val="auto"/>
        </w:rPr>
        <w:t>的疾病预防控制事业的发展提供良好的发展环境，充分发挥疾病预防控制专业机构的技术和人才优势，提高卫生检验监测、疾病控制水平，更好地满足人民需求，推动社会发展，以承担</w:t>
      </w:r>
      <w:r>
        <w:rPr>
          <w:rFonts w:hint="eastAsia"/>
          <w:color w:val="auto"/>
          <w:lang w:val="en-US" w:eastAsia="zh-CN"/>
        </w:rPr>
        <w:t>皮山农场</w:t>
      </w:r>
      <w:r>
        <w:rPr>
          <w:color w:val="auto"/>
        </w:rPr>
        <w:t>疾病预防控制、卫生监督的检验检测工作</w:t>
      </w:r>
      <w:r>
        <w:rPr>
          <w:rFonts w:hint="eastAsia"/>
          <w:color w:val="auto"/>
          <w:lang w:eastAsia="zh-CN"/>
        </w:rPr>
        <w:t>。</w:t>
      </w:r>
      <w:r>
        <w:rPr>
          <w:color w:val="auto"/>
        </w:rPr>
        <w:t>增强对重大疫情、中毒等突发公共卫生事件调查处理能力和对生化恐怖事件的应对能力。</w:t>
      </w:r>
      <w:r>
        <w:rPr>
          <w:rFonts w:hint="eastAsia"/>
          <w:color w:val="auto"/>
          <w:lang w:val="en-US" w:eastAsia="zh-CN"/>
        </w:rPr>
        <w:t>皮山农场</w:t>
      </w:r>
      <w:r>
        <w:rPr>
          <w:color w:val="auto"/>
        </w:rPr>
        <w:t>疾病预防控制中心的建设有利于充分发挥该区域内的卫生专业技术和人才优势，提高疾病预防控制和卫生检验检测水平，更好的满足人民防病灭病的需求，推动社会发展。</w:t>
      </w:r>
    </w:p>
    <w:p>
      <w:pPr>
        <w:pStyle w:val="5"/>
        <w:bidi w:val="0"/>
        <w:outlineLvl w:val="0"/>
        <w:rPr>
          <w:rFonts w:hint="eastAsia"/>
          <w:color w:val="auto"/>
          <w:lang w:val="en-US" w:eastAsia="zh-CN"/>
        </w:rPr>
      </w:pPr>
      <w:bookmarkStart w:id="2" w:name="_Toc5524"/>
      <w:r>
        <w:rPr>
          <w:rFonts w:hint="eastAsia"/>
          <w:color w:val="auto"/>
          <w:lang w:val="en-US" w:eastAsia="zh-CN"/>
        </w:rPr>
        <w:t>1.2环境影响评价过程</w:t>
      </w:r>
      <w:bookmarkEnd w:id="2"/>
    </w:p>
    <w:p>
      <w:pPr>
        <w:bidi w:val="0"/>
        <w:rPr>
          <w:rFonts w:hint="eastAsia"/>
          <w:color w:val="auto"/>
          <w:lang w:val="en-US" w:eastAsia="zh-CN"/>
        </w:rPr>
      </w:pPr>
      <w:r>
        <w:rPr>
          <w:rFonts w:hint="eastAsia"/>
          <w:color w:val="auto"/>
          <w:lang w:val="en-US" w:eastAsia="zh-CN"/>
        </w:rPr>
        <w:t>根据《中华人民共和国环境影响评价法》、《建设项目环境保护管理条例》和《建设项目环境影响评价分类管理名录（</w:t>
      </w:r>
      <w:r>
        <w:rPr>
          <w:rFonts w:hint="default"/>
          <w:color w:val="auto"/>
          <w:lang w:val="en-US" w:eastAsia="zh-CN"/>
        </w:rPr>
        <w:t>2021</w:t>
      </w:r>
      <w:r>
        <w:rPr>
          <w:rFonts w:hint="eastAsia"/>
          <w:color w:val="auto"/>
          <w:lang w:val="en-US" w:eastAsia="zh-CN"/>
        </w:rPr>
        <w:t>版）》（生态环境部令第</w:t>
      </w:r>
      <w:r>
        <w:rPr>
          <w:rFonts w:hint="default"/>
          <w:color w:val="auto"/>
          <w:lang w:val="en-US" w:eastAsia="zh-CN"/>
        </w:rPr>
        <w:t>16</w:t>
      </w:r>
      <w:r>
        <w:rPr>
          <w:rFonts w:hint="eastAsia"/>
          <w:color w:val="auto"/>
          <w:lang w:val="en-US" w:eastAsia="zh-CN"/>
        </w:rPr>
        <w:t>号）等环境保护法律、法规、规章的规定，本项目应进行环境影响评价。经分析后确定本项目属“四十九、卫生；</w:t>
      </w:r>
      <w:r>
        <w:rPr>
          <w:rFonts w:hint="default"/>
          <w:color w:val="auto"/>
          <w:lang w:val="en-US" w:eastAsia="zh-CN"/>
        </w:rPr>
        <w:t>109</w:t>
      </w:r>
      <w:r>
        <w:rPr>
          <w:rFonts w:hint="eastAsia"/>
          <w:color w:val="auto"/>
          <w:lang w:val="en-US" w:eastAsia="zh-CN"/>
        </w:rPr>
        <w:t>、疾病预防控制中心”，本项目为新建项目（补做环评），应编制环境影响报告书。第十四师皮山农场疾病预防控制中心建设项目于</w:t>
      </w:r>
      <w:r>
        <w:rPr>
          <w:rFonts w:hint="default"/>
          <w:color w:val="auto"/>
          <w:lang w:val="en-US" w:eastAsia="zh-CN"/>
        </w:rPr>
        <w:t>202</w:t>
      </w:r>
      <w:r>
        <w:rPr>
          <w:rFonts w:hint="eastAsia"/>
          <w:color w:val="auto"/>
          <w:lang w:val="en-US" w:eastAsia="zh-CN"/>
        </w:rPr>
        <w:t>2年4月委托石河子市鑫海旺工程咨询有限公司对项目进行环境影响评价工作。</w:t>
      </w:r>
    </w:p>
    <w:p>
      <w:pPr>
        <w:bidi w:val="0"/>
        <w:rPr>
          <w:rFonts w:hint="eastAsia"/>
          <w:color w:val="auto"/>
          <w:lang w:val="en-US" w:eastAsia="zh-CN"/>
        </w:rPr>
      </w:pPr>
      <w:r>
        <w:rPr>
          <w:rFonts w:hint="eastAsia"/>
          <w:color w:val="auto"/>
          <w:lang w:val="en-US" w:eastAsia="zh-CN"/>
        </w:rPr>
        <w:t>接受委托后，立即对工程可行性研究报告等技术文件进行研究，进行初步工程分析，开展初步的环境状况调查和相关资料收集；在前期工作的基础上，进行环境影响因素识别与评价因子筛选，明确了评价重点与环境保护目标，确定工作等级、评价范围和评价标准，制定了详细的工作方案；根据工作方案，项目组深入项目所在地对项目周边评价范围内的环境敏感点、环境状况进行调查。随后，委托检测单位对项目评价范围内的环境质量现状进行了监测。根据调查、收集到的有关文件、资料，利用计算机模型、类比等手段，对各环境要素进行了预测、分析及评价；根据各要素预测成果，提出环保措施，得出了评价结论。建设单位据此开展了公众参与调查，在整合公众参与调查结果后，编制完成了《第十四师皮山农场疾病预防控制中心建设项目》。现报生态环境局审批后作为本项目建设期和运营期环境管理时的依据。</w:t>
      </w:r>
    </w:p>
    <w:p>
      <w:pPr>
        <w:pStyle w:val="5"/>
        <w:bidi w:val="0"/>
        <w:outlineLvl w:val="0"/>
        <w:rPr>
          <w:rFonts w:hint="eastAsia"/>
          <w:color w:val="auto"/>
          <w:lang w:val="en-US" w:eastAsia="zh-CN"/>
        </w:rPr>
      </w:pPr>
      <w:bookmarkStart w:id="3" w:name="_Toc16123"/>
      <w:r>
        <w:rPr>
          <w:rFonts w:hint="eastAsia"/>
          <w:color w:val="auto"/>
          <w:lang w:val="en-US" w:eastAsia="zh-CN"/>
        </w:rPr>
        <w:t>1.3分析判定情况</w:t>
      </w:r>
      <w:bookmarkEnd w:id="3"/>
    </w:p>
    <w:p>
      <w:pPr>
        <w:pStyle w:val="2"/>
        <w:keepNext w:val="0"/>
        <w:keepLines w:val="0"/>
        <w:pageBreakBefore w:val="0"/>
        <w:widowControl w:val="0"/>
        <w:kinsoku/>
        <w:wordWrap/>
        <w:overflowPunct/>
        <w:topLinePunct w:val="0"/>
        <w:autoSpaceDE w:val="0"/>
        <w:autoSpaceDN w:val="0"/>
        <w:bidi w:val="0"/>
        <w:adjustRightInd/>
        <w:snapToGrid/>
        <w:spacing w:before="7" w:line="360" w:lineRule="auto"/>
        <w:ind w:left="0" w:firstLine="480" w:firstLineChars="200"/>
        <w:textAlignment w:val="auto"/>
        <w:rPr>
          <w:rFonts w:hint="default" w:ascii="Times New Roman" w:hAnsi="Times New Roman" w:eastAsia="宋体" w:cs="Times New Roman"/>
          <w:color w:val="auto"/>
        </w:rPr>
      </w:pPr>
      <w:bookmarkStart w:id="4" w:name="_Toc28689"/>
      <w:r>
        <w:rPr>
          <w:rFonts w:hint="default" w:ascii="Times New Roman" w:hAnsi="Times New Roman" w:eastAsia="宋体" w:cs="Times New Roman"/>
          <w:color w:val="auto"/>
        </w:rPr>
        <w:t>本工程环境影响评价工作的指导思想是在充分调查和摸清本工程厂址地区环境特点和环境现状，深入分析本工程污染源状况的基础上，运用国家环境保护行业标准和《环境影响评价技术导则》中的有关模型，预测本工程所排污染物对周边区域环境质量的影响程度，分析建设项目污染物排放及影响是否符合当地环境功能及环境质量标准的要求。</w:t>
      </w:r>
    </w:p>
    <w:p>
      <w:pPr>
        <w:bidi w:val="0"/>
        <w:rPr>
          <w:rFonts w:hint="eastAsia" w:eastAsia="宋体"/>
          <w:color w:val="auto"/>
          <w:lang w:eastAsia="zh-CN"/>
        </w:rPr>
      </w:pPr>
      <w:r>
        <w:rPr>
          <w:color w:val="auto"/>
        </w:rPr>
        <w:t>根据中华人民共和国国家发展和改革委员会《产业结构调整指导目录》（2019年本）</w:t>
      </w:r>
      <w:r>
        <w:rPr>
          <w:rFonts w:hint="eastAsia"/>
          <w:color w:val="auto"/>
          <w:lang w:eastAsia="zh-CN"/>
        </w:rPr>
        <w:t>，</w:t>
      </w:r>
      <w:r>
        <w:rPr>
          <w:color w:val="auto"/>
        </w:rPr>
        <w:t>项目属于第一类鼓励类，第三十七款</w:t>
      </w:r>
      <w:r>
        <w:rPr>
          <w:rFonts w:hint="eastAsia"/>
          <w:color w:val="auto"/>
          <w:lang w:eastAsia="zh-CN"/>
        </w:rPr>
        <w:t>“</w:t>
      </w:r>
      <w:r>
        <w:rPr>
          <w:rFonts w:hint="eastAsia"/>
          <w:color w:val="auto"/>
          <w:lang w:val="en-US" w:eastAsia="zh-CN"/>
        </w:rPr>
        <w:t>卫生健康</w:t>
      </w:r>
      <w:r>
        <w:rPr>
          <w:rFonts w:hint="eastAsia"/>
          <w:color w:val="auto"/>
          <w:lang w:eastAsia="zh-CN"/>
        </w:rPr>
        <w:t>”</w:t>
      </w:r>
      <w:r>
        <w:rPr>
          <w:color w:val="auto"/>
        </w:rPr>
        <w:t>第1条中的</w:t>
      </w:r>
      <w:r>
        <w:rPr>
          <w:rFonts w:hint="eastAsia"/>
          <w:color w:val="auto"/>
          <w:lang w:eastAsia="zh-CN"/>
        </w:rPr>
        <w:t>“</w:t>
      </w:r>
      <w:r>
        <w:rPr>
          <w:color w:val="auto"/>
        </w:rPr>
        <w:t>预防保健、卫生应急、卫生监督服务设施建设</w:t>
      </w:r>
      <w:r>
        <w:rPr>
          <w:rFonts w:hint="eastAsia"/>
          <w:color w:val="auto"/>
          <w:lang w:eastAsia="zh-CN"/>
        </w:rPr>
        <w:t>”</w:t>
      </w:r>
      <w:r>
        <w:rPr>
          <w:color w:val="auto"/>
        </w:rPr>
        <w:t>项目，因此本项目符合国家产业政策。</w:t>
      </w:r>
    </w:p>
    <w:bookmarkEnd w:id="4"/>
    <w:p>
      <w:pPr>
        <w:pStyle w:val="5"/>
        <w:bidi w:val="0"/>
        <w:outlineLvl w:val="0"/>
        <w:rPr>
          <w:rFonts w:hint="eastAsia"/>
          <w:color w:val="auto"/>
          <w:lang w:val="en-US" w:eastAsia="zh-CN"/>
        </w:rPr>
      </w:pPr>
      <w:bookmarkStart w:id="5" w:name="_Toc13680"/>
      <w:r>
        <w:rPr>
          <w:rFonts w:hint="eastAsia"/>
          <w:color w:val="auto"/>
          <w:lang w:val="en-US" w:eastAsia="zh-CN"/>
        </w:rPr>
        <w:t>1.4项目关注的主要环境问题</w:t>
      </w:r>
      <w:bookmarkEnd w:id="5"/>
    </w:p>
    <w:p>
      <w:pPr>
        <w:bidi w:val="0"/>
        <w:rPr>
          <w:color w:val="auto"/>
        </w:rPr>
      </w:pPr>
      <w:r>
        <w:rPr>
          <w:rFonts w:hint="eastAsia"/>
          <w:color w:val="auto"/>
          <w:lang w:val="en-US" w:eastAsia="zh-CN"/>
        </w:rPr>
        <w:t>本次评价主要关注的环境问题是建设项目投入营运后主要污染物的产生、控制和环境风险。本项目关注的环境问题是：</w:t>
      </w:r>
    </w:p>
    <w:p>
      <w:pPr>
        <w:bidi w:val="0"/>
        <w:rPr>
          <w:rFonts w:hint="eastAsia"/>
          <w:color w:val="auto"/>
          <w:lang w:val="en-US" w:eastAsia="zh-CN"/>
        </w:rPr>
      </w:pPr>
      <w:r>
        <w:rPr>
          <w:rFonts w:hint="eastAsia"/>
          <w:color w:val="auto"/>
          <w:lang w:val="en-US" w:eastAsia="zh-CN"/>
        </w:rPr>
        <w:t>（1）建设项目是否满足国家产业政策及相关规定；</w:t>
      </w:r>
    </w:p>
    <w:p>
      <w:pPr>
        <w:bidi w:val="0"/>
        <w:rPr>
          <w:rFonts w:hint="eastAsia"/>
          <w:color w:val="auto"/>
          <w:lang w:val="en-US" w:eastAsia="zh-CN"/>
        </w:rPr>
      </w:pPr>
      <w:r>
        <w:rPr>
          <w:rFonts w:hint="eastAsia"/>
          <w:color w:val="auto"/>
          <w:lang w:val="en-US" w:eastAsia="zh-CN"/>
        </w:rPr>
        <w:t>（2）根据项目建设内容及建设规模，明确项目废水处理方式及最终去向；</w:t>
      </w:r>
    </w:p>
    <w:p>
      <w:pPr>
        <w:bidi w:val="0"/>
        <w:rPr>
          <w:rFonts w:hint="eastAsia"/>
          <w:color w:val="auto"/>
          <w:lang w:val="en-US" w:eastAsia="zh-CN"/>
        </w:rPr>
      </w:pPr>
      <w:r>
        <w:rPr>
          <w:rFonts w:hint="eastAsia"/>
          <w:color w:val="auto"/>
          <w:lang w:val="en-US" w:eastAsia="zh-CN"/>
        </w:rPr>
        <w:t>（3）明确项目产生的废气处理措施和固废处理措施；</w:t>
      </w:r>
    </w:p>
    <w:p>
      <w:pPr>
        <w:bidi w:val="0"/>
        <w:rPr>
          <w:rFonts w:hint="eastAsia"/>
          <w:color w:val="auto"/>
          <w:lang w:val="en-US" w:eastAsia="zh-CN"/>
        </w:rPr>
      </w:pPr>
      <w:r>
        <w:rPr>
          <w:rFonts w:hint="eastAsia"/>
          <w:color w:val="auto"/>
          <w:lang w:val="en-US" w:eastAsia="zh-CN"/>
        </w:rPr>
        <w:t>（4）项目建设运营期间产生的环境影响及主要污染物是否能够达标排放，</w:t>
      </w:r>
    </w:p>
    <w:p>
      <w:pPr>
        <w:bidi w:val="0"/>
        <w:rPr>
          <w:rFonts w:hint="eastAsia"/>
          <w:color w:val="auto"/>
          <w:lang w:val="en-US" w:eastAsia="zh-CN"/>
        </w:rPr>
      </w:pPr>
      <w:r>
        <w:rPr>
          <w:rFonts w:hint="eastAsia"/>
          <w:color w:val="auto"/>
          <w:lang w:val="en-US" w:eastAsia="zh-CN"/>
        </w:rPr>
        <w:t>采取的污染防治措施是否合理可行。</w:t>
      </w:r>
    </w:p>
    <w:p>
      <w:pPr>
        <w:bidi w:val="0"/>
        <w:rPr>
          <w:color w:val="auto"/>
        </w:rPr>
      </w:pPr>
      <w:r>
        <w:rPr>
          <w:rFonts w:hint="eastAsia"/>
          <w:color w:val="auto"/>
          <w:lang w:val="en-US" w:eastAsia="zh-CN"/>
        </w:rPr>
        <w:t>（5）环境风险防范措施和应急体系的建立。</w:t>
      </w:r>
    </w:p>
    <w:p>
      <w:pPr>
        <w:pStyle w:val="5"/>
        <w:bidi w:val="0"/>
        <w:outlineLvl w:val="0"/>
        <w:rPr>
          <w:color w:val="auto"/>
        </w:rPr>
      </w:pPr>
      <w:bookmarkStart w:id="6" w:name="_Toc6723"/>
      <w:r>
        <w:rPr>
          <w:rFonts w:hint="default"/>
          <w:color w:val="auto"/>
          <w:lang w:val="en-US" w:eastAsia="zh-CN"/>
        </w:rPr>
        <w:t>1.5</w:t>
      </w:r>
      <w:r>
        <w:rPr>
          <w:rFonts w:hint="eastAsia"/>
          <w:color w:val="auto"/>
          <w:lang w:val="en-US" w:eastAsia="zh-CN"/>
        </w:rPr>
        <w:t>环境影响评价的主要结论</w:t>
      </w:r>
      <w:bookmarkEnd w:id="6"/>
    </w:p>
    <w:p>
      <w:pPr>
        <w:bidi w:val="0"/>
        <w:rPr>
          <w:color w:val="auto"/>
        </w:rPr>
      </w:pPr>
      <w:r>
        <w:rPr>
          <w:rFonts w:hint="eastAsia"/>
          <w:color w:val="auto"/>
          <w:lang w:val="en-US" w:eastAsia="zh-CN"/>
        </w:rPr>
        <w:t>本项目属于《产业结构调整指导目录（</w:t>
      </w:r>
      <w:r>
        <w:rPr>
          <w:rFonts w:hint="default"/>
          <w:color w:val="auto"/>
          <w:lang w:val="en-US" w:eastAsia="zh-CN"/>
        </w:rPr>
        <w:t>2019</w:t>
      </w:r>
      <w:r>
        <w:rPr>
          <w:rFonts w:hint="eastAsia"/>
          <w:color w:val="auto"/>
          <w:lang w:val="en-US" w:eastAsia="zh-CN"/>
        </w:rPr>
        <w:t>年本）》鼓励类中的：“三十七、卫生健康；</w:t>
      </w:r>
      <w:r>
        <w:rPr>
          <w:rFonts w:hint="default"/>
          <w:color w:val="auto"/>
          <w:lang w:val="en-US" w:eastAsia="zh-CN"/>
        </w:rPr>
        <w:t>1</w:t>
      </w:r>
      <w:r>
        <w:rPr>
          <w:rFonts w:hint="eastAsia"/>
          <w:color w:val="auto"/>
          <w:lang w:val="en-US" w:eastAsia="zh-CN"/>
        </w:rPr>
        <w:t>、预防保健、卫生应急、卫生监督服务设施建设”，同时根据《关于对第十四师皮山农场疾病预防控制中心建设项目可行性研究报告的批复》（师发改发〔</w:t>
      </w:r>
      <w:r>
        <w:rPr>
          <w:rFonts w:hint="default"/>
          <w:color w:val="auto"/>
          <w:lang w:val="en-US" w:eastAsia="zh-CN"/>
        </w:rPr>
        <w:t>20</w:t>
      </w:r>
      <w:r>
        <w:rPr>
          <w:rFonts w:hint="eastAsia"/>
          <w:color w:val="auto"/>
          <w:lang w:val="en-US" w:eastAsia="zh-CN"/>
        </w:rPr>
        <w:t>18〕196号），本项目符合国家产业政策要求。</w:t>
      </w:r>
    </w:p>
    <w:p>
      <w:pPr>
        <w:bidi w:val="0"/>
        <w:rPr>
          <w:color w:val="auto"/>
        </w:rPr>
      </w:pPr>
      <w:r>
        <w:rPr>
          <w:rFonts w:hint="eastAsia"/>
          <w:color w:val="auto"/>
          <w:lang w:val="en-US" w:eastAsia="zh-CN"/>
        </w:rPr>
        <w:t>本项目的建设符合国家产业政策、选址基本合理、生产工艺满足清洁生产要求、污染物的防治措施在技术上和经济上可行，能实现达标排放和总量控制的要求。环境影响评价的结果表明，项目在正常生产和污染防治设施正常运行的情况下，项目的污染物排放对环境的影响较小，基本不改变当地环境质量现状和功能要求。</w:t>
      </w:r>
    </w:p>
    <w:p>
      <w:pPr>
        <w:bidi w:val="0"/>
        <w:rPr>
          <w:rFonts w:hint="default"/>
          <w:color w:val="auto"/>
          <w:lang w:val="en-US"/>
        </w:rPr>
      </w:pPr>
      <w:r>
        <w:rPr>
          <w:rFonts w:hint="eastAsia"/>
          <w:color w:val="auto"/>
          <w:lang w:val="en-US" w:eastAsia="zh-CN"/>
        </w:rPr>
        <w:t>本评价认为，项目在设计和运行时应严格执行安全生产的各项规章制度，根据生产的安全要求，制定事故应急预案，配套相应的安全防范措施，杜绝事故对环境产生的风险。项目建设过程中应严格认真执行环境保护“三同时”制度，切实落实本报告书各项污染防治措施和环境管理措施，确保各类污染物稳定达标排放和污染物排放总量控制。在此基础上，本项目的建设在环境保护方面是可行的。</w:t>
      </w:r>
    </w:p>
    <w:p>
      <w:pPr>
        <w:rPr>
          <w:rFonts w:hint="default"/>
          <w:color w:val="auto"/>
          <w:lang w:val="en-US" w:eastAsia="zh-CN"/>
        </w:rPr>
      </w:pPr>
      <w:r>
        <w:rPr>
          <w:rFonts w:hint="default"/>
          <w:color w:val="auto"/>
          <w:lang w:val="en-US" w:eastAsia="zh-CN"/>
        </w:rPr>
        <w:br w:type="page"/>
      </w:r>
    </w:p>
    <w:p>
      <w:pPr>
        <w:pStyle w:val="4"/>
        <w:bidi w:val="0"/>
        <w:rPr>
          <w:rFonts w:hint="eastAsia"/>
          <w:color w:val="auto"/>
          <w:lang w:val="en-US" w:eastAsia="zh-CN"/>
        </w:rPr>
      </w:pPr>
      <w:bookmarkStart w:id="7" w:name="_Toc29351"/>
      <w:r>
        <w:rPr>
          <w:rFonts w:hint="eastAsia"/>
          <w:color w:val="auto"/>
          <w:lang w:val="en-US" w:eastAsia="zh-CN"/>
        </w:rPr>
        <w:t>2总则</w:t>
      </w:r>
      <w:bookmarkEnd w:id="7"/>
    </w:p>
    <w:p>
      <w:pPr>
        <w:pStyle w:val="5"/>
        <w:bidi w:val="0"/>
        <w:outlineLvl w:val="0"/>
        <w:rPr>
          <w:rFonts w:hint="eastAsia"/>
          <w:color w:val="auto"/>
          <w:lang w:val="en-US" w:eastAsia="zh-CN"/>
        </w:rPr>
      </w:pPr>
      <w:bookmarkStart w:id="8" w:name="_Toc30356"/>
      <w:r>
        <w:rPr>
          <w:rFonts w:hint="eastAsia"/>
          <w:color w:val="auto"/>
          <w:lang w:val="en-US" w:eastAsia="zh-CN"/>
        </w:rPr>
        <w:t>2.1评价目的和原则</w:t>
      </w:r>
      <w:bookmarkEnd w:id="8"/>
    </w:p>
    <w:p>
      <w:pPr>
        <w:pStyle w:val="6"/>
        <w:bidi w:val="0"/>
        <w:outlineLvl w:val="1"/>
        <w:rPr>
          <w:rFonts w:hint="eastAsia"/>
          <w:color w:val="auto"/>
          <w:lang w:val="en-US" w:eastAsia="zh-CN"/>
        </w:rPr>
      </w:pPr>
      <w:bookmarkStart w:id="9" w:name="_Toc7790"/>
      <w:r>
        <w:rPr>
          <w:rFonts w:hint="eastAsia"/>
          <w:color w:val="auto"/>
          <w:lang w:val="en-US" w:eastAsia="zh-CN"/>
        </w:rPr>
        <w:t>2.1.1评价目的</w:t>
      </w:r>
      <w:bookmarkEnd w:id="9"/>
    </w:p>
    <w:p>
      <w:pPr>
        <w:bidi w:val="0"/>
        <w:rPr>
          <w:color w:val="auto"/>
        </w:rPr>
      </w:pPr>
      <w:r>
        <w:rPr>
          <w:rFonts w:hint="eastAsia"/>
          <w:color w:val="auto"/>
          <w:lang w:val="en-US" w:eastAsia="zh-CN"/>
        </w:rPr>
        <w:t>本次环评的目的在于通过对疾控中心区域环境质量现状的调查与监测，以及对运营期污染源分析，评价本项目对疾控中心和周围环境造成的影响程度和范围，了解项目区的环境质量现状，为本项目的环境影响评价提供背景资料，根据对当地环境质量可能发生的变化情况，提出切实可行的污染防治措施。通过环评主要解决如下问题：</w:t>
      </w:r>
    </w:p>
    <w:p>
      <w:pPr>
        <w:bidi w:val="0"/>
        <w:rPr>
          <w:color w:val="auto"/>
        </w:rPr>
      </w:pPr>
      <w:r>
        <w:rPr>
          <w:rFonts w:hint="eastAsia"/>
          <w:color w:val="auto"/>
          <w:lang w:val="en-US" w:eastAsia="zh-CN"/>
        </w:rPr>
        <w:t>（</w:t>
      </w:r>
      <w:r>
        <w:rPr>
          <w:rFonts w:hint="default"/>
          <w:color w:val="auto"/>
          <w:lang w:val="en-US" w:eastAsia="zh-CN"/>
        </w:rPr>
        <w:t>1</w:t>
      </w:r>
      <w:r>
        <w:rPr>
          <w:rFonts w:hint="eastAsia"/>
          <w:color w:val="auto"/>
          <w:lang w:val="en-US" w:eastAsia="zh-CN"/>
        </w:rPr>
        <w:t>）按照国家环境保护法及有关规定，从保护环境的目的出发，事实求是地论证本项目建设期和运营期间对周围环境的影响。</w:t>
      </w:r>
    </w:p>
    <w:p>
      <w:pPr>
        <w:bidi w:val="0"/>
        <w:rPr>
          <w:color w:val="auto"/>
        </w:rPr>
      </w:pPr>
      <w:r>
        <w:rPr>
          <w:rFonts w:hint="eastAsia"/>
          <w:color w:val="auto"/>
          <w:lang w:val="en-US" w:eastAsia="zh-CN"/>
        </w:rPr>
        <w:t>（</w:t>
      </w:r>
      <w:r>
        <w:rPr>
          <w:rFonts w:hint="default"/>
          <w:color w:val="auto"/>
          <w:lang w:val="en-US" w:eastAsia="zh-CN"/>
        </w:rPr>
        <w:t>2</w:t>
      </w:r>
      <w:r>
        <w:rPr>
          <w:rFonts w:hint="eastAsia"/>
          <w:color w:val="auto"/>
          <w:lang w:val="en-US" w:eastAsia="zh-CN"/>
        </w:rPr>
        <w:t>）在资料分析、现场踏勘及现状环境的监测基础上，客观地分析该项目污染源、污染物的产生及排放情况，根据所确定的环境保护目标和污染控制目标，结合项目采取的污染治理措施，针对项目存在的环境问题，提出环保措施，使本项目周围环境的不利影响降低到最低程度。</w:t>
      </w:r>
    </w:p>
    <w:p>
      <w:pPr>
        <w:bidi w:val="0"/>
        <w:rPr>
          <w:rFonts w:hint="eastAsia"/>
          <w:color w:val="auto"/>
          <w:lang w:val="en-US" w:eastAsia="zh-CN"/>
        </w:rPr>
      </w:pPr>
      <w:r>
        <w:rPr>
          <w:rFonts w:hint="eastAsia"/>
          <w:color w:val="auto"/>
          <w:lang w:val="en-US" w:eastAsia="zh-CN"/>
        </w:rPr>
        <w:t>（</w:t>
      </w:r>
      <w:r>
        <w:rPr>
          <w:rFonts w:hint="default"/>
          <w:color w:val="auto"/>
          <w:lang w:val="en-US" w:eastAsia="zh-CN"/>
        </w:rPr>
        <w:t>3</w:t>
      </w:r>
      <w:r>
        <w:rPr>
          <w:rFonts w:hint="eastAsia"/>
          <w:color w:val="auto"/>
          <w:lang w:val="en-US" w:eastAsia="zh-CN"/>
        </w:rPr>
        <w:t>）为疾控中心不断提高环境管理提供科学依据，为保护和改善项目所在区域的环境质量服务。</w:t>
      </w:r>
    </w:p>
    <w:p>
      <w:pPr>
        <w:pStyle w:val="6"/>
        <w:bidi w:val="0"/>
        <w:outlineLvl w:val="1"/>
        <w:rPr>
          <w:rFonts w:hint="eastAsia"/>
          <w:color w:val="auto"/>
          <w:lang w:val="en-US" w:eastAsia="zh-CN"/>
        </w:rPr>
      </w:pPr>
      <w:bookmarkStart w:id="10" w:name="_Toc15147"/>
      <w:r>
        <w:rPr>
          <w:rFonts w:hint="eastAsia"/>
          <w:color w:val="auto"/>
          <w:lang w:val="en-US" w:eastAsia="zh-CN"/>
        </w:rPr>
        <w:t>2.1.2评价原则分析</w:t>
      </w:r>
      <w:bookmarkEnd w:id="10"/>
    </w:p>
    <w:p>
      <w:pPr>
        <w:bidi w:val="0"/>
        <w:rPr>
          <w:color w:val="auto"/>
        </w:rPr>
      </w:pPr>
      <w:r>
        <w:rPr>
          <w:rFonts w:hint="eastAsia"/>
          <w:color w:val="auto"/>
          <w:lang w:val="en-US" w:eastAsia="zh-CN"/>
        </w:rPr>
        <w:t>突出环境影响评价的源头预防作用，坚持保护和改善环境质量：</w:t>
      </w:r>
    </w:p>
    <w:p>
      <w:pPr>
        <w:bidi w:val="0"/>
        <w:rPr>
          <w:color w:val="auto"/>
        </w:rPr>
      </w:pPr>
      <w:r>
        <w:rPr>
          <w:rFonts w:hint="eastAsia"/>
          <w:color w:val="auto"/>
          <w:lang w:val="en-US" w:eastAsia="zh-CN"/>
        </w:rPr>
        <w:t>（</w:t>
      </w:r>
      <w:r>
        <w:rPr>
          <w:rFonts w:hint="default"/>
          <w:color w:val="auto"/>
          <w:lang w:val="en-US" w:eastAsia="zh-CN"/>
        </w:rPr>
        <w:t>1</w:t>
      </w:r>
      <w:r>
        <w:rPr>
          <w:rFonts w:hint="eastAsia"/>
          <w:color w:val="auto"/>
          <w:lang w:val="en-US" w:eastAsia="zh-CN"/>
        </w:rPr>
        <w:t>）依法评价：贯彻执行我国环境保护相关法律法规、标准、政策和规划等，优化建设项目，服务环境管理；</w:t>
      </w:r>
    </w:p>
    <w:p>
      <w:pPr>
        <w:bidi w:val="0"/>
        <w:rPr>
          <w:color w:val="auto"/>
        </w:rPr>
      </w:pPr>
      <w:r>
        <w:rPr>
          <w:rFonts w:hint="eastAsia"/>
          <w:color w:val="auto"/>
          <w:lang w:val="en-US" w:eastAsia="zh-CN"/>
        </w:rPr>
        <w:t>（</w:t>
      </w:r>
      <w:r>
        <w:rPr>
          <w:rFonts w:hint="default"/>
          <w:color w:val="auto"/>
          <w:lang w:val="en-US" w:eastAsia="zh-CN"/>
        </w:rPr>
        <w:t>2</w:t>
      </w:r>
      <w:r>
        <w:rPr>
          <w:rFonts w:hint="eastAsia"/>
          <w:color w:val="auto"/>
          <w:lang w:val="en-US" w:eastAsia="zh-CN"/>
        </w:rPr>
        <w:t>）科学评价：规范环境影响评价法，科学地分析项目建设对环境质量的影响。</w:t>
      </w:r>
    </w:p>
    <w:p>
      <w:pPr>
        <w:bidi w:val="0"/>
        <w:rPr>
          <w:rFonts w:hint="default"/>
          <w:color w:val="auto"/>
          <w:lang w:val="en-US" w:eastAsia="zh-CN"/>
        </w:rPr>
      </w:pPr>
      <w:r>
        <w:rPr>
          <w:rFonts w:hint="eastAsia"/>
          <w:color w:val="auto"/>
          <w:lang w:val="en-US" w:eastAsia="zh-CN"/>
        </w:rPr>
        <w:t>（3）突出重点：根据建设项目的工程内容及其特点，明确与环境要素间的作用效应关系，对建设项目主要环境影响予以重点分析和评价。</w:t>
      </w:r>
    </w:p>
    <w:p>
      <w:pPr>
        <w:pStyle w:val="5"/>
        <w:bidi w:val="0"/>
        <w:outlineLvl w:val="0"/>
        <w:rPr>
          <w:rFonts w:hint="default"/>
          <w:color w:val="auto"/>
          <w:lang w:val="en-US" w:eastAsia="zh-CN"/>
        </w:rPr>
      </w:pPr>
      <w:bookmarkStart w:id="11" w:name="_Toc23173"/>
      <w:r>
        <w:rPr>
          <w:rFonts w:hint="eastAsia"/>
          <w:color w:val="auto"/>
          <w:lang w:val="en-US" w:eastAsia="zh-CN"/>
        </w:rPr>
        <w:t>2.2评价工作程序</w:t>
      </w:r>
      <w:bookmarkEnd w:id="11"/>
    </w:p>
    <w:p>
      <w:pPr>
        <w:bidi w:val="0"/>
        <w:rPr>
          <w:color w:val="auto"/>
        </w:rPr>
      </w:pPr>
      <w:r>
        <w:rPr>
          <w:rFonts w:hint="eastAsia"/>
          <w:color w:val="auto"/>
          <w:lang w:val="en-US" w:eastAsia="zh-CN"/>
        </w:rPr>
        <w:t>环境影响评价工作一般分为三个阶段，即调查分析和工作方案制定阶段，分析论证和预测评价阶段，环境影响报告书（表）编制阶段。环境影响评价工作程序见图</w:t>
      </w:r>
      <w:r>
        <w:rPr>
          <w:rFonts w:hint="default"/>
          <w:color w:val="auto"/>
          <w:lang w:val="en-US" w:eastAsia="zh-CN"/>
        </w:rPr>
        <w:t>2-1</w:t>
      </w:r>
      <w:r>
        <w:rPr>
          <w:rFonts w:hint="eastAsia"/>
          <w:color w:val="auto"/>
          <w:lang w:val="en-US" w:eastAsia="zh-CN"/>
        </w:rPr>
        <w:t>。</w:t>
      </w:r>
    </w:p>
    <w:p>
      <w:pPr>
        <w:bidi w:val="0"/>
        <w:rPr>
          <w:rFonts w:hint="eastAsia"/>
          <w:color w:val="auto"/>
          <w:lang w:val="en-US" w:eastAsia="zh-CN"/>
        </w:rPr>
      </w:pPr>
    </w:p>
    <w:p>
      <w:pPr>
        <w:pStyle w:val="2"/>
        <w:rPr>
          <w:color w:val="auto"/>
        </w:rPr>
      </w:pPr>
      <w:r>
        <w:rPr>
          <w:color w:val="auto"/>
        </w:rPr>
        <w:drawing>
          <wp:inline distT="0" distB="0" distL="114300" distR="114300">
            <wp:extent cx="5268595" cy="5957570"/>
            <wp:effectExtent l="0" t="0" r="8255"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68595" cy="5957570"/>
                    </a:xfrm>
                    <a:prstGeom prst="rect">
                      <a:avLst/>
                    </a:prstGeom>
                    <a:noFill/>
                    <a:ln>
                      <a:noFill/>
                    </a:ln>
                  </pic:spPr>
                </pic:pic>
              </a:graphicData>
            </a:graphic>
          </wp:inline>
        </w:drawing>
      </w:r>
    </w:p>
    <w:p>
      <w:pPr>
        <w:bidi w:val="0"/>
        <w:jc w:val="center"/>
        <w:rPr>
          <w:rFonts w:hint="eastAsia"/>
          <w:b/>
          <w:bCs/>
          <w:color w:val="auto"/>
          <w:sz w:val="21"/>
          <w:szCs w:val="21"/>
          <w:lang w:val="en-US" w:eastAsia="zh-CN"/>
        </w:rPr>
      </w:pPr>
      <w:r>
        <w:rPr>
          <w:rFonts w:hint="eastAsia"/>
          <w:b/>
          <w:bCs/>
          <w:color w:val="auto"/>
          <w:sz w:val="21"/>
          <w:szCs w:val="21"/>
          <w:lang w:val="en-US" w:eastAsia="zh-CN"/>
        </w:rPr>
        <w:t>图2-1本项目环境影响评价工作程序图</w:t>
      </w:r>
    </w:p>
    <w:p>
      <w:pPr>
        <w:pStyle w:val="5"/>
        <w:bidi w:val="0"/>
        <w:outlineLvl w:val="0"/>
        <w:rPr>
          <w:rFonts w:hint="eastAsia"/>
          <w:color w:val="auto"/>
          <w:lang w:val="en-US" w:eastAsia="zh-CN"/>
        </w:rPr>
      </w:pPr>
      <w:bookmarkStart w:id="12" w:name="_Toc17521"/>
      <w:r>
        <w:rPr>
          <w:rFonts w:hint="eastAsia"/>
          <w:color w:val="auto"/>
          <w:lang w:val="en-US" w:eastAsia="zh-CN"/>
        </w:rPr>
        <w:t>2.3编制依据</w:t>
      </w:r>
      <w:bookmarkEnd w:id="12"/>
    </w:p>
    <w:p>
      <w:pPr>
        <w:pStyle w:val="6"/>
        <w:bidi w:val="0"/>
        <w:outlineLvl w:val="1"/>
        <w:rPr>
          <w:color w:val="auto"/>
        </w:rPr>
      </w:pPr>
      <w:bookmarkStart w:id="13" w:name="_Toc29876"/>
      <w:r>
        <w:rPr>
          <w:rFonts w:hint="eastAsia"/>
          <w:color w:val="auto"/>
          <w:lang w:val="en-US" w:eastAsia="zh-CN"/>
        </w:rPr>
        <w:t>2.3.1环境保护法律、法规及有关规定</w:t>
      </w:r>
      <w:bookmarkEnd w:id="13"/>
    </w:p>
    <w:p>
      <w:pPr>
        <w:bidi w:val="0"/>
        <w:rPr>
          <w:color w:val="auto"/>
        </w:rPr>
      </w:pPr>
      <w:r>
        <w:rPr>
          <w:color w:val="auto"/>
        </w:rPr>
        <w:t>（1）《中华人民共和国环境保护法》（主席令第9号，2015年1月1日）；</w:t>
      </w:r>
    </w:p>
    <w:p>
      <w:pPr>
        <w:bidi w:val="0"/>
        <w:rPr>
          <w:color w:val="auto"/>
        </w:rPr>
      </w:pPr>
      <w:r>
        <w:rPr>
          <w:color w:val="auto"/>
        </w:rPr>
        <w:t>（2）《中华人民共和国环境影响评价法》（2018年12月29日修订）；</w:t>
      </w:r>
    </w:p>
    <w:p>
      <w:pPr>
        <w:bidi w:val="0"/>
        <w:rPr>
          <w:color w:val="auto"/>
        </w:rPr>
      </w:pPr>
      <w:r>
        <w:rPr>
          <w:color w:val="auto"/>
        </w:rPr>
        <w:t>（3）</w:t>
      </w:r>
      <w:r>
        <w:rPr>
          <w:color w:val="auto"/>
        </w:rPr>
        <w:t>《中华人民共和国环境噪声污染防治法》（</w:t>
      </w:r>
      <w:r>
        <w:rPr>
          <w:rFonts w:hint="eastAsia"/>
          <w:color w:val="auto"/>
          <w:lang w:val="en-US" w:eastAsia="zh-CN"/>
        </w:rPr>
        <w:t>2022</w:t>
      </w:r>
      <w:r>
        <w:rPr>
          <w:color w:val="auto"/>
        </w:rPr>
        <w:t>年</w:t>
      </w:r>
      <w:r>
        <w:rPr>
          <w:rFonts w:hint="eastAsia"/>
          <w:color w:val="auto"/>
          <w:lang w:val="en-US" w:eastAsia="zh-CN"/>
        </w:rPr>
        <w:t>6</w:t>
      </w:r>
      <w:r>
        <w:rPr>
          <w:color w:val="auto"/>
        </w:rPr>
        <w:t>月</w:t>
      </w:r>
      <w:r>
        <w:rPr>
          <w:rFonts w:hint="eastAsia"/>
          <w:color w:val="auto"/>
          <w:lang w:val="en-US" w:eastAsia="zh-CN"/>
        </w:rPr>
        <w:t>5</w:t>
      </w:r>
      <w:r>
        <w:rPr>
          <w:color w:val="auto"/>
        </w:rPr>
        <w:t>日）</w:t>
      </w:r>
      <w:r>
        <w:rPr>
          <w:color w:val="auto"/>
        </w:rPr>
        <w:t>；</w:t>
      </w:r>
    </w:p>
    <w:p>
      <w:pPr>
        <w:bidi w:val="0"/>
        <w:rPr>
          <w:color w:val="auto"/>
        </w:rPr>
      </w:pPr>
      <w:r>
        <w:rPr>
          <w:color w:val="auto"/>
        </w:rPr>
        <w:t>（4）《中华人民共和国水污染防治法》（2018年1月1日）；</w:t>
      </w:r>
    </w:p>
    <w:p>
      <w:pPr>
        <w:bidi w:val="0"/>
        <w:rPr>
          <w:color w:val="auto"/>
        </w:rPr>
      </w:pPr>
      <w:r>
        <w:rPr>
          <w:color w:val="auto"/>
        </w:rPr>
        <w:t>（5）《中华人民共和国固体废物污染环境防治法》（2020年9月1日）；</w:t>
      </w:r>
    </w:p>
    <w:p>
      <w:pPr>
        <w:bidi w:val="0"/>
        <w:rPr>
          <w:rFonts w:hint="eastAsia" w:eastAsia="宋体"/>
          <w:color w:val="auto"/>
          <w:lang w:eastAsia="zh-CN"/>
        </w:rPr>
      </w:pPr>
      <w:r>
        <w:rPr>
          <w:color w:val="auto"/>
        </w:rPr>
        <w:t>（6）《中华人民共和国大气污染防治法》（2018年10月26日）</w:t>
      </w:r>
      <w:r>
        <w:rPr>
          <w:rFonts w:hint="eastAsia"/>
          <w:color w:val="auto"/>
          <w:lang w:eastAsia="zh-CN"/>
        </w:rPr>
        <w:t>；</w:t>
      </w:r>
    </w:p>
    <w:p>
      <w:pPr>
        <w:bidi w:val="0"/>
        <w:rPr>
          <w:color w:val="auto"/>
        </w:rPr>
      </w:pPr>
      <w:r>
        <w:rPr>
          <w:color w:val="auto"/>
        </w:rPr>
        <w:t>（7）《中华人民共和国土壤污染防治法》（2019年1月1日）；</w:t>
      </w:r>
    </w:p>
    <w:p>
      <w:pPr>
        <w:bidi w:val="0"/>
        <w:rPr>
          <w:color w:val="auto"/>
        </w:rPr>
      </w:pPr>
      <w:r>
        <w:rPr>
          <w:color w:val="auto"/>
        </w:rPr>
        <w:t>（8）《中华人民共和国水法》（2016年7月2日）；</w:t>
      </w:r>
    </w:p>
    <w:p>
      <w:pPr>
        <w:bidi w:val="0"/>
        <w:rPr>
          <w:color w:val="auto"/>
        </w:rPr>
      </w:pPr>
      <w:r>
        <w:rPr>
          <w:color w:val="auto"/>
        </w:rPr>
        <w:t>（9）《中华人民共和国清洁生产促进法》（2012年修正，2012年7月1日）；</w:t>
      </w:r>
    </w:p>
    <w:p>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1</w:t>
      </w:r>
      <w:r>
        <w:rPr>
          <w:rFonts w:hint="eastAsia" w:cs="Times New Roman"/>
          <w:color w:val="auto"/>
          <w:kern w:val="0"/>
          <w:sz w:val="24"/>
          <w:szCs w:val="24"/>
          <w:lang w:val="en-US" w:eastAsia="zh-CN" w:bidi="ar"/>
        </w:rPr>
        <w:t>0</w:t>
      </w:r>
      <w:r>
        <w:rPr>
          <w:rFonts w:hint="eastAsia" w:ascii="宋体" w:hAnsi="宋体" w:eastAsia="宋体" w:cs="宋体"/>
          <w:color w:val="auto"/>
          <w:kern w:val="0"/>
          <w:sz w:val="24"/>
          <w:szCs w:val="24"/>
          <w:lang w:val="en-US" w:eastAsia="zh-CN" w:bidi="ar"/>
        </w:rPr>
        <w:t>）《中华人民共和国传染病防治法》，</w:t>
      </w:r>
      <w:r>
        <w:rPr>
          <w:rFonts w:hint="default" w:ascii="Times New Roman" w:hAnsi="Times New Roman" w:eastAsia="宋体" w:cs="Times New Roman"/>
          <w:color w:val="auto"/>
          <w:kern w:val="0"/>
          <w:sz w:val="24"/>
          <w:szCs w:val="24"/>
          <w:lang w:val="en-US" w:eastAsia="zh-CN" w:bidi="ar"/>
        </w:rPr>
        <w:t>2013</w:t>
      </w:r>
      <w:r>
        <w:rPr>
          <w:rFonts w:hint="eastAsia" w:ascii="宋体" w:hAnsi="宋体" w:eastAsia="宋体" w:cs="宋体"/>
          <w:color w:val="auto"/>
          <w:kern w:val="0"/>
          <w:sz w:val="24"/>
          <w:szCs w:val="24"/>
          <w:lang w:val="en-US" w:eastAsia="zh-CN" w:bidi="ar"/>
        </w:rPr>
        <w:t>年</w:t>
      </w:r>
      <w:r>
        <w:rPr>
          <w:rFonts w:hint="default" w:ascii="Times New Roman" w:hAnsi="Times New Roman" w:eastAsia="宋体" w:cs="Times New Roman"/>
          <w:color w:val="auto"/>
          <w:kern w:val="0"/>
          <w:sz w:val="24"/>
          <w:szCs w:val="24"/>
          <w:lang w:val="en-US" w:eastAsia="zh-CN" w:bidi="ar"/>
        </w:rPr>
        <w:t>6</w:t>
      </w:r>
      <w:r>
        <w:rPr>
          <w:rFonts w:hint="eastAsia" w:ascii="宋体" w:hAnsi="宋体" w:eastAsia="宋体" w:cs="宋体"/>
          <w:color w:val="auto"/>
          <w:kern w:val="0"/>
          <w:sz w:val="24"/>
          <w:szCs w:val="24"/>
          <w:lang w:val="en-US" w:eastAsia="zh-CN" w:bidi="ar"/>
        </w:rPr>
        <w:t>月</w:t>
      </w:r>
      <w:r>
        <w:rPr>
          <w:rFonts w:hint="default" w:ascii="Times New Roman" w:hAnsi="Times New Roman" w:eastAsia="宋体" w:cs="Times New Roman"/>
          <w:color w:val="auto"/>
          <w:kern w:val="0"/>
          <w:sz w:val="24"/>
          <w:szCs w:val="24"/>
          <w:lang w:val="en-US" w:eastAsia="zh-CN" w:bidi="ar"/>
        </w:rPr>
        <w:t>29</w:t>
      </w:r>
      <w:r>
        <w:rPr>
          <w:rFonts w:hint="eastAsia" w:ascii="宋体" w:hAnsi="宋体" w:eastAsia="宋体" w:cs="宋体"/>
          <w:color w:val="auto"/>
          <w:kern w:val="0"/>
          <w:sz w:val="24"/>
          <w:szCs w:val="24"/>
          <w:lang w:val="en-US" w:eastAsia="zh-CN" w:bidi="ar"/>
        </w:rPr>
        <w:t>日修正</w:t>
      </w:r>
      <w:r>
        <w:rPr>
          <w:rFonts w:hint="eastAsia" w:ascii="宋体" w:hAnsi="宋体" w:cs="宋体"/>
          <w:color w:val="auto"/>
          <w:kern w:val="0"/>
          <w:sz w:val="24"/>
          <w:szCs w:val="24"/>
          <w:lang w:val="en-US" w:eastAsia="zh-CN" w:bidi="ar"/>
        </w:rPr>
        <w:t>；</w:t>
      </w:r>
    </w:p>
    <w:p>
      <w:pPr>
        <w:bidi w:val="0"/>
        <w:rPr>
          <w:color w:val="auto"/>
        </w:rPr>
      </w:pPr>
      <w:r>
        <w:rPr>
          <w:rFonts w:hint="eastAsia"/>
          <w:color w:val="auto"/>
          <w:lang w:val="en-US" w:eastAsia="zh-CN"/>
        </w:rPr>
        <w:t>（</w:t>
      </w:r>
      <w:r>
        <w:rPr>
          <w:rFonts w:hint="default"/>
          <w:color w:val="auto"/>
          <w:lang w:val="en-US" w:eastAsia="zh-CN"/>
        </w:rPr>
        <w:t>1</w:t>
      </w:r>
      <w:r>
        <w:rPr>
          <w:rFonts w:hint="eastAsia"/>
          <w:color w:val="auto"/>
          <w:lang w:val="en-US" w:eastAsia="zh-CN"/>
        </w:rPr>
        <w:t>1）《中华人民共和国水土保持法》，</w:t>
      </w:r>
      <w:r>
        <w:rPr>
          <w:rFonts w:hint="default"/>
          <w:color w:val="auto"/>
          <w:lang w:val="en-US" w:eastAsia="zh-CN"/>
        </w:rPr>
        <w:t>2010</w:t>
      </w:r>
      <w:r>
        <w:rPr>
          <w:rFonts w:hint="eastAsia"/>
          <w:color w:val="auto"/>
          <w:lang w:val="en-US" w:eastAsia="zh-CN"/>
        </w:rPr>
        <w:t>年</w:t>
      </w:r>
      <w:r>
        <w:rPr>
          <w:rFonts w:hint="default"/>
          <w:color w:val="auto"/>
          <w:lang w:val="en-US" w:eastAsia="zh-CN"/>
        </w:rPr>
        <w:t>12</w:t>
      </w:r>
      <w:r>
        <w:rPr>
          <w:rFonts w:hint="eastAsia"/>
          <w:color w:val="auto"/>
          <w:lang w:val="en-US" w:eastAsia="zh-CN"/>
        </w:rPr>
        <w:t>月</w:t>
      </w:r>
      <w:r>
        <w:rPr>
          <w:rFonts w:hint="default"/>
          <w:color w:val="auto"/>
          <w:lang w:val="en-US" w:eastAsia="zh-CN"/>
        </w:rPr>
        <w:t>25</w:t>
      </w:r>
      <w:r>
        <w:rPr>
          <w:rFonts w:hint="eastAsia"/>
          <w:color w:val="auto"/>
          <w:lang w:val="en-US" w:eastAsia="zh-CN"/>
        </w:rPr>
        <w:t>日修订，</w:t>
      </w:r>
      <w:r>
        <w:rPr>
          <w:rFonts w:hint="default"/>
          <w:color w:val="auto"/>
          <w:lang w:val="en-US" w:eastAsia="zh-CN"/>
        </w:rPr>
        <w:t>2011</w:t>
      </w:r>
      <w:r>
        <w:rPr>
          <w:rFonts w:hint="eastAsia"/>
          <w:color w:val="auto"/>
          <w:lang w:val="en-US" w:eastAsia="zh-CN"/>
        </w:rPr>
        <w:t>年</w:t>
      </w:r>
      <w:r>
        <w:rPr>
          <w:rFonts w:hint="default"/>
          <w:color w:val="auto"/>
          <w:lang w:val="en-US" w:eastAsia="zh-CN"/>
        </w:rPr>
        <w:t>3</w:t>
      </w:r>
      <w:r>
        <w:rPr>
          <w:rFonts w:hint="eastAsia"/>
          <w:color w:val="auto"/>
          <w:lang w:val="en-US" w:eastAsia="zh-CN"/>
        </w:rPr>
        <w:t>月</w:t>
      </w:r>
      <w:r>
        <w:rPr>
          <w:rFonts w:hint="default"/>
          <w:color w:val="auto"/>
          <w:lang w:val="en-US" w:eastAsia="zh-CN"/>
        </w:rPr>
        <w:t>1</w:t>
      </w:r>
      <w:r>
        <w:rPr>
          <w:rFonts w:hint="eastAsia"/>
          <w:color w:val="auto"/>
          <w:lang w:val="en-US" w:eastAsia="zh-CN"/>
        </w:rPr>
        <w:t>日起施行；</w:t>
      </w:r>
    </w:p>
    <w:p>
      <w:pPr>
        <w:bidi w:val="0"/>
        <w:rPr>
          <w:color w:val="auto"/>
        </w:rPr>
      </w:pPr>
      <w:r>
        <w:rPr>
          <w:color w:val="auto"/>
        </w:rPr>
        <w:t>（1</w:t>
      </w:r>
      <w:r>
        <w:rPr>
          <w:rFonts w:hint="eastAsia"/>
          <w:color w:val="auto"/>
          <w:lang w:val="en-US" w:eastAsia="zh-CN"/>
        </w:rPr>
        <w:t>2</w:t>
      </w:r>
      <w:r>
        <w:rPr>
          <w:color w:val="auto"/>
        </w:rPr>
        <w:t>）《国务院关于环境保护若干问题的决定》（1996年8月3日）；</w:t>
      </w:r>
    </w:p>
    <w:p>
      <w:pPr>
        <w:bidi w:val="0"/>
        <w:rPr>
          <w:color w:val="auto"/>
        </w:rPr>
      </w:pPr>
      <w:r>
        <w:rPr>
          <w:color w:val="auto"/>
        </w:rPr>
        <w:t>（1</w:t>
      </w:r>
      <w:r>
        <w:rPr>
          <w:rFonts w:hint="eastAsia"/>
          <w:color w:val="auto"/>
          <w:lang w:val="en-US" w:eastAsia="zh-CN"/>
        </w:rPr>
        <w:t>3</w:t>
      </w:r>
      <w:r>
        <w:rPr>
          <w:color w:val="auto"/>
        </w:rPr>
        <w:t>）</w:t>
      </w:r>
      <w:r>
        <w:rPr>
          <w:rFonts w:hint="eastAsia"/>
          <w:color w:val="auto"/>
          <w:lang w:eastAsia="zh-CN"/>
        </w:rPr>
        <w:t>《</w:t>
      </w:r>
      <w:r>
        <w:rPr>
          <w:color w:val="auto"/>
        </w:rPr>
        <w:t>建设项目环境保护管理条例》（国务院第682号令，2017年10月1日）；</w:t>
      </w:r>
    </w:p>
    <w:p>
      <w:pPr>
        <w:bidi w:val="0"/>
        <w:rPr>
          <w:color w:val="auto"/>
        </w:rPr>
      </w:pPr>
      <w:r>
        <w:rPr>
          <w:color w:val="auto"/>
        </w:rPr>
        <w:t>（1</w:t>
      </w:r>
      <w:r>
        <w:rPr>
          <w:rFonts w:hint="eastAsia"/>
          <w:color w:val="auto"/>
          <w:lang w:val="en-US" w:eastAsia="zh-CN"/>
        </w:rPr>
        <w:t>4</w:t>
      </w:r>
      <w:r>
        <w:rPr>
          <w:color w:val="auto"/>
        </w:rPr>
        <w:t>）《国务院关于落实科学发展观加强环境保护的决定》（国发〔2005〕39号）；</w:t>
      </w:r>
    </w:p>
    <w:p>
      <w:pPr>
        <w:bidi w:val="0"/>
        <w:rPr>
          <w:color w:val="auto"/>
        </w:rPr>
      </w:pPr>
      <w:r>
        <w:rPr>
          <w:color w:val="auto"/>
        </w:rPr>
        <w:t>（1</w:t>
      </w:r>
      <w:r>
        <w:rPr>
          <w:rFonts w:hint="eastAsia"/>
          <w:color w:val="auto"/>
          <w:lang w:val="en-US" w:eastAsia="zh-CN"/>
        </w:rPr>
        <w:t>5</w:t>
      </w:r>
      <w:r>
        <w:rPr>
          <w:color w:val="auto"/>
        </w:rPr>
        <w:t>）《国务院关于印发水污染防治行动计划的通知》（国发</w:t>
      </w:r>
      <w:r>
        <w:rPr>
          <w:rFonts w:hint="eastAsia"/>
          <w:color w:val="auto"/>
          <w:lang w:eastAsia="zh-CN"/>
        </w:rPr>
        <w:t>〔</w:t>
      </w:r>
      <w:r>
        <w:rPr>
          <w:color w:val="auto"/>
        </w:rPr>
        <w:t>2015</w:t>
      </w:r>
      <w:r>
        <w:rPr>
          <w:rFonts w:hint="eastAsia"/>
          <w:color w:val="auto"/>
          <w:lang w:eastAsia="zh-CN"/>
        </w:rPr>
        <w:t>〕</w:t>
      </w:r>
      <w:r>
        <w:rPr>
          <w:color w:val="auto"/>
        </w:rPr>
        <w:t>17号）；</w:t>
      </w:r>
    </w:p>
    <w:p>
      <w:pPr>
        <w:bidi w:val="0"/>
        <w:rPr>
          <w:color w:val="auto"/>
        </w:rPr>
      </w:pPr>
      <w:r>
        <w:rPr>
          <w:color w:val="auto"/>
        </w:rPr>
        <w:t>（1</w:t>
      </w:r>
      <w:r>
        <w:rPr>
          <w:rFonts w:hint="eastAsia"/>
          <w:color w:val="auto"/>
          <w:lang w:val="en-US" w:eastAsia="zh-CN"/>
        </w:rPr>
        <w:t>6</w:t>
      </w:r>
      <w:r>
        <w:rPr>
          <w:color w:val="auto"/>
        </w:rPr>
        <w:t>）《国务院关于印发大气污染防治行动计划的通知》（国发</w:t>
      </w:r>
      <w:r>
        <w:rPr>
          <w:rFonts w:hint="eastAsia"/>
          <w:color w:val="auto"/>
          <w:lang w:eastAsia="zh-CN"/>
        </w:rPr>
        <w:t>〔</w:t>
      </w:r>
      <w:r>
        <w:rPr>
          <w:color w:val="auto"/>
        </w:rPr>
        <w:t>2013</w:t>
      </w:r>
      <w:r>
        <w:rPr>
          <w:rFonts w:hint="eastAsia"/>
          <w:color w:val="auto"/>
          <w:lang w:eastAsia="zh-CN"/>
        </w:rPr>
        <w:t>〕</w:t>
      </w:r>
      <w:r>
        <w:rPr>
          <w:color w:val="auto"/>
        </w:rPr>
        <w:t>37号）；</w:t>
      </w:r>
    </w:p>
    <w:p>
      <w:pPr>
        <w:bidi w:val="0"/>
        <w:rPr>
          <w:color w:val="auto"/>
        </w:rPr>
      </w:pPr>
      <w:r>
        <w:rPr>
          <w:color w:val="auto"/>
        </w:rPr>
        <w:t>（1</w:t>
      </w:r>
      <w:r>
        <w:rPr>
          <w:rFonts w:hint="eastAsia"/>
          <w:color w:val="auto"/>
          <w:lang w:val="en-US" w:eastAsia="zh-CN"/>
        </w:rPr>
        <w:t>7</w:t>
      </w:r>
      <w:r>
        <w:rPr>
          <w:color w:val="auto"/>
        </w:rPr>
        <w:t>）《国务院关于印发土壤污染防治行动计划》（国发〔2015</w:t>
      </w:r>
      <w:r>
        <w:rPr>
          <w:rFonts w:hint="eastAsia"/>
          <w:color w:val="auto"/>
          <w:lang w:eastAsia="zh-CN"/>
        </w:rPr>
        <w:t>〕</w:t>
      </w:r>
      <w:r>
        <w:rPr>
          <w:color w:val="auto"/>
        </w:rPr>
        <w:t>17号）；</w:t>
      </w:r>
    </w:p>
    <w:p>
      <w:pPr>
        <w:bidi w:val="0"/>
        <w:rPr>
          <w:rFonts w:hint="eastAsia" w:eastAsia="宋体"/>
          <w:color w:val="auto"/>
          <w:lang w:eastAsia="zh-CN"/>
        </w:rPr>
      </w:pPr>
      <w:r>
        <w:rPr>
          <w:color w:val="auto"/>
        </w:rPr>
        <w:t>（1</w:t>
      </w:r>
      <w:r>
        <w:rPr>
          <w:rFonts w:hint="eastAsia"/>
          <w:color w:val="auto"/>
          <w:lang w:val="en-US" w:eastAsia="zh-CN"/>
        </w:rPr>
        <w:t>8</w:t>
      </w:r>
      <w:r>
        <w:rPr>
          <w:color w:val="auto"/>
        </w:rPr>
        <w:t>）《建设项目环境影响评价分类管理名录》（2021年版）</w:t>
      </w:r>
      <w:r>
        <w:rPr>
          <w:rFonts w:hint="eastAsia"/>
          <w:color w:val="auto"/>
          <w:lang w:eastAsia="zh-CN"/>
        </w:rPr>
        <w:t>；</w:t>
      </w:r>
    </w:p>
    <w:p>
      <w:pPr>
        <w:bidi w:val="0"/>
        <w:rPr>
          <w:color w:val="auto"/>
        </w:rPr>
      </w:pPr>
      <w:r>
        <w:rPr>
          <w:color w:val="auto"/>
        </w:rPr>
        <w:t>（1</w:t>
      </w:r>
      <w:r>
        <w:rPr>
          <w:rFonts w:hint="eastAsia"/>
          <w:color w:val="auto"/>
          <w:lang w:val="en-US" w:eastAsia="zh-CN"/>
        </w:rPr>
        <w:t>9</w:t>
      </w:r>
      <w:r>
        <w:rPr>
          <w:color w:val="auto"/>
        </w:rPr>
        <w:t>）《产业结构调整指导目录》（2019年本）；</w:t>
      </w:r>
    </w:p>
    <w:p>
      <w:pPr>
        <w:bidi w:val="0"/>
        <w:rPr>
          <w:color w:val="auto"/>
        </w:rPr>
      </w:pPr>
      <w:r>
        <w:rPr>
          <w:color w:val="auto"/>
        </w:rPr>
        <w:t>（</w:t>
      </w:r>
      <w:r>
        <w:rPr>
          <w:rFonts w:hint="eastAsia"/>
          <w:color w:val="auto"/>
          <w:lang w:val="en-US" w:eastAsia="zh-CN"/>
        </w:rPr>
        <w:t>20</w:t>
      </w:r>
      <w:r>
        <w:rPr>
          <w:color w:val="auto"/>
        </w:rPr>
        <w:t>）《关于切实加强风险防范严格环境影响评价管理的通知》（环发</w:t>
      </w:r>
      <w:r>
        <w:rPr>
          <w:rFonts w:hint="eastAsia"/>
          <w:color w:val="auto"/>
          <w:lang w:val="en-US" w:eastAsia="zh-CN"/>
        </w:rPr>
        <w:t>〔</w:t>
      </w:r>
      <w:r>
        <w:rPr>
          <w:rFonts w:hint="default"/>
          <w:color w:val="auto"/>
          <w:lang w:val="en-US" w:eastAsia="zh-CN"/>
        </w:rPr>
        <w:t>20</w:t>
      </w:r>
      <w:r>
        <w:rPr>
          <w:rFonts w:hint="eastAsia"/>
          <w:color w:val="auto"/>
          <w:lang w:val="en-US" w:eastAsia="zh-CN"/>
        </w:rPr>
        <w:t>12〕</w:t>
      </w:r>
      <w:r>
        <w:rPr>
          <w:color w:val="auto"/>
        </w:rPr>
        <w:t>98号）；</w:t>
      </w:r>
    </w:p>
    <w:p>
      <w:pPr>
        <w:bidi w:val="0"/>
        <w:rPr>
          <w:color w:val="auto"/>
        </w:rPr>
      </w:pPr>
      <w:r>
        <w:rPr>
          <w:color w:val="auto"/>
        </w:rPr>
        <w:t>（</w:t>
      </w:r>
      <w:r>
        <w:rPr>
          <w:rFonts w:hint="eastAsia"/>
          <w:color w:val="auto"/>
          <w:lang w:val="en-US" w:eastAsia="zh-CN"/>
        </w:rPr>
        <w:t>21</w:t>
      </w:r>
      <w:r>
        <w:rPr>
          <w:color w:val="auto"/>
        </w:rPr>
        <w:t>）《关于进一步加强环境影响评价管理防范环境风险的通知》（环发</w:t>
      </w:r>
      <w:r>
        <w:rPr>
          <w:rFonts w:hint="eastAsia"/>
          <w:color w:val="auto"/>
          <w:lang w:val="en-US" w:eastAsia="zh-CN"/>
        </w:rPr>
        <w:t>〔</w:t>
      </w:r>
      <w:r>
        <w:rPr>
          <w:rFonts w:hint="default"/>
          <w:color w:val="auto"/>
          <w:lang w:val="en-US" w:eastAsia="zh-CN"/>
        </w:rPr>
        <w:t>20</w:t>
      </w:r>
      <w:r>
        <w:rPr>
          <w:rFonts w:hint="eastAsia"/>
          <w:color w:val="auto"/>
          <w:lang w:val="en-US" w:eastAsia="zh-CN"/>
        </w:rPr>
        <w:t>12〕</w:t>
      </w:r>
      <w:r>
        <w:rPr>
          <w:color w:val="auto"/>
        </w:rPr>
        <w:t>77号）；</w:t>
      </w:r>
    </w:p>
    <w:p>
      <w:pPr>
        <w:keepNext w:val="0"/>
        <w:keepLines w:val="0"/>
        <w:widowControl/>
        <w:suppressLineNumbers w:val="0"/>
        <w:jc w:val="left"/>
        <w:rPr>
          <w:color w:val="auto"/>
        </w:rPr>
      </w:pPr>
      <w:r>
        <w:rPr>
          <w:color w:val="auto"/>
        </w:rPr>
        <w:t>（2</w:t>
      </w:r>
      <w:r>
        <w:rPr>
          <w:rFonts w:hint="eastAsia"/>
          <w:color w:val="auto"/>
          <w:lang w:val="en-US" w:eastAsia="zh-CN"/>
        </w:rPr>
        <w:t>2</w:t>
      </w:r>
      <w:r>
        <w:rPr>
          <w:color w:val="auto"/>
        </w:rPr>
        <w:t>）《环境影响评价公众参与办法》（生态环境部部令第4号）</w:t>
      </w:r>
      <w:r>
        <w:rPr>
          <w:rFonts w:hint="default" w:ascii="Times New Roman" w:hAnsi="Times New Roman" w:eastAsia="宋体" w:cs="Times New Roman"/>
          <w:color w:val="auto"/>
          <w:kern w:val="0"/>
          <w:sz w:val="24"/>
          <w:szCs w:val="24"/>
          <w:lang w:val="en-US" w:eastAsia="zh-CN" w:bidi="ar"/>
        </w:rPr>
        <w:t>2019</w:t>
      </w:r>
      <w:r>
        <w:rPr>
          <w:rFonts w:hint="eastAsia" w:ascii="宋体" w:hAnsi="宋体" w:eastAsia="宋体" w:cs="宋体"/>
          <w:color w:val="auto"/>
          <w:kern w:val="0"/>
          <w:sz w:val="24"/>
          <w:szCs w:val="24"/>
          <w:lang w:val="en-US" w:eastAsia="zh-CN" w:bidi="ar"/>
        </w:rPr>
        <w:t>年</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月</w:t>
      </w: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日起施行；</w:t>
      </w:r>
    </w:p>
    <w:p>
      <w:pPr>
        <w:bidi w:val="0"/>
        <w:rPr>
          <w:color w:val="auto"/>
        </w:rPr>
      </w:pPr>
      <w:r>
        <w:rPr>
          <w:color w:val="auto"/>
        </w:rPr>
        <w:t>（2</w:t>
      </w:r>
      <w:r>
        <w:rPr>
          <w:rFonts w:hint="eastAsia"/>
          <w:color w:val="auto"/>
          <w:lang w:val="en-US" w:eastAsia="zh-CN"/>
        </w:rPr>
        <w:t>3</w:t>
      </w:r>
      <w:r>
        <w:rPr>
          <w:color w:val="auto"/>
        </w:rPr>
        <w:t>）《国家危险废物名录（2021）》2021年1月1日）；</w:t>
      </w:r>
    </w:p>
    <w:p>
      <w:pPr>
        <w:bidi w:val="0"/>
        <w:rPr>
          <w:color w:val="auto"/>
        </w:rPr>
      </w:pPr>
      <w:r>
        <w:rPr>
          <w:color w:val="auto"/>
        </w:rPr>
        <w:t>（2</w:t>
      </w:r>
      <w:r>
        <w:rPr>
          <w:rFonts w:hint="eastAsia"/>
          <w:color w:val="auto"/>
          <w:lang w:val="en-US" w:eastAsia="zh-CN"/>
        </w:rPr>
        <w:t>4</w:t>
      </w:r>
      <w:r>
        <w:rPr>
          <w:color w:val="auto"/>
        </w:rPr>
        <w:t>）</w:t>
      </w:r>
      <w:r>
        <w:rPr>
          <w:rFonts w:hint="eastAsia"/>
          <w:color w:val="auto"/>
          <w:lang w:val="en-US" w:eastAsia="zh-CN"/>
        </w:rPr>
        <w:t>《危险废物污染防治技术政策》，环发</w:t>
      </w:r>
      <w:r>
        <w:rPr>
          <w:rFonts w:hint="default"/>
          <w:color w:val="auto"/>
          <w:lang w:val="en-US" w:eastAsia="zh-CN"/>
        </w:rPr>
        <w:t xml:space="preserve">[2011]199 </w:t>
      </w:r>
      <w:r>
        <w:rPr>
          <w:rFonts w:hint="eastAsia"/>
          <w:color w:val="auto"/>
          <w:lang w:val="en-US" w:eastAsia="zh-CN"/>
        </w:rPr>
        <w:t>号</w:t>
      </w:r>
      <w:r>
        <w:rPr>
          <w:color w:val="auto"/>
        </w:rPr>
        <w:t>；</w:t>
      </w:r>
    </w:p>
    <w:p>
      <w:pPr>
        <w:bidi w:val="0"/>
        <w:rPr>
          <w:color w:val="auto"/>
        </w:rPr>
      </w:pPr>
      <w:r>
        <w:rPr>
          <w:color w:val="auto"/>
        </w:rPr>
        <w:t>（2</w:t>
      </w:r>
      <w:r>
        <w:rPr>
          <w:rFonts w:hint="eastAsia"/>
          <w:color w:val="auto"/>
          <w:lang w:val="en-US" w:eastAsia="zh-CN"/>
        </w:rPr>
        <w:t>5</w:t>
      </w:r>
      <w:r>
        <w:rPr>
          <w:color w:val="auto"/>
        </w:rPr>
        <w:t>）《危险废物转移联单管理办法》</w:t>
      </w:r>
      <w:r>
        <w:rPr>
          <w:rFonts w:hint="eastAsia"/>
          <w:color w:val="auto"/>
          <w:lang w:eastAsia="zh-CN"/>
        </w:rPr>
        <w:t>（</w:t>
      </w:r>
      <w:r>
        <w:rPr>
          <w:color w:val="auto"/>
        </w:rPr>
        <w:t>原国家环境保护总局令第5号，1999年10月1日</w:t>
      </w:r>
      <w:r>
        <w:rPr>
          <w:rFonts w:hint="eastAsia"/>
          <w:color w:val="auto"/>
          <w:lang w:eastAsia="zh-CN"/>
        </w:rPr>
        <w:t>）</w:t>
      </w:r>
      <w:r>
        <w:rPr>
          <w:color w:val="auto"/>
        </w:rPr>
        <w:t>；</w:t>
      </w:r>
    </w:p>
    <w:p>
      <w:pPr>
        <w:bidi w:val="0"/>
        <w:rPr>
          <w:color w:val="auto"/>
        </w:rPr>
      </w:pPr>
      <w:r>
        <w:rPr>
          <w:color w:val="auto"/>
        </w:rPr>
        <w:t>（2</w:t>
      </w:r>
      <w:r>
        <w:rPr>
          <w:rFonts w:hint="eastAsia"/>
          <w:color w:val="auto"/>
          <w:lang w:val="en-US" w:eastAsia="zh-CN"/>
        </w:rPr>
        <w:t>6</w:t>
      </w:r>
      <w:r>
        <w:rPr>
          <w:color w:val="auto"/>
        </w:rPr>
        <w:t>）《危险化学品安全管理条例》（国务院2011年第591号令）；</w:t>
      </w:r>
    </w:p>
    <w:p>
      <w:pPr>
        <w:bidi w:val="0"/>
        <w:rPr>
          <w:color w:val="auto"/>
        </w:rPr>
      </w:pPr>
      <w:r>
        <w:rPr>
          <w:color w:val="auto"/>
        </w:rPr>
        <w:t>（2</w:t>
      </w:r>
      <w:r>
        <w:rPr>
          <w:rFonts w:hint="eastAsia"/>
          <w:color w:val="auto"/>
          <w:lang w:val="en-US" w:eastAsia="zh-CN"/>
        </w:rPr>
        <w:t>7</w:t>
      </w:r>
      <w:r>
        <w:rPr>
          <w:color w:val="auto"/>
        </w:rPr>
        <w:t>）《废弃危险化学品污染环境防治办法》（2005年10月）；</w:t>
      </w:r>
    </w:p>
    <w:p>
      <w:pPr>
        <w:bidi w:val="0"/>
        <w:rPr>
          <w:color w:val="auto"/>
        </w:rPr>
      </w:pPr>
      <w:r>
        <w:rPr>
          <w:color w:val="auto"/>
        </w:rPr>
        <w:t>（2</w:t>
      </w:r>
      <w:r>
        <w:rPr>
          <w:rFonts w:hint="eastAsia"/>
          <w:color w:val="auto"/>
          <w:lang w:val="en-US" w:eastAsia="zh-CN"/>
        </w:rPr>
        <w:t>8</w:t>
      </w:r>
      <w:r>
        <w:rPr>
          <w:color w:val="auto"/>
        </w:rPr>
        <w:t>）《医疗卫生机构医疗废物管理办法》（中华人民共和国卫生部令，第36号）；</w:t>
      </w:r>
    </w:p>
    <w:p>
      <w:pPr>
        <w:bidi w:val="0"/>
        <w:rPr>
          <w:color w:val="auto"/>
        </w:rPr>
      </w:pPr>
      <w:r>
        <w:rPr>
          <w:color w:val="auto"/>
        </w:rPr>
        <w:t>（</w:t>
      </w:r>
      <w:r>
        <w:rPr>
          <w:rFonts w:hint="eastAsia"/>
          <w:color w:val="auto"/>
          <w:lang w:val="en-US" w:eastAsia="zh-CN"/>
        </w:rPr>
        <w:t>29</w:t>
      </w:r>
      <w:r>
        <w:rPr>
          <w:color w:val="auto"/>
        </w:rPr>
        <w:t>）《医疗废物管理条例》（国务院令第380号，2003.6）；</w:t>
      </w:r>
    </w:p>
    <w:p>
      <w:pPr>
        <w:bidi w:val="0"/>
        <w:rPr>
          <w:color w:val="auto"/>
        </w:rPr>
      </w:pPr>
      <w:r>
        <w:rPr>
          <w:color w:val="auto"/>
        </w:rPr>
        <w:t>（</w:t>
      </w:r>
      <w:r>
        <w:rPr>
          <w:rFonts w:hint="eastAsia"/>
          <w:color w:val="auto"/>
          <w:lang w:val="en-US" w:eastAsia="zh-CN"/>
        </w:rPr>
        <w:t>30</w:t>
      </w:r>
      <w:r>
        <w:rPr>
          <w:color w:val="auto"/>
        </w:rPr>
        <w:t>）《医疗废物分类目录》（卫生部和国家环境保护总局，2003.10）；</w:t>
      </w:r>
    </w:p>
    <w:p>
      <w:pPr>
        <w:bidi w:val="0"/>
        <w:rPr>
          <w:color w:val="auto"/>
        </w:rPr>
      </w:pPr>
      <w:r>
        <w:rPr>
          <w:color w:val="auto"/>
        </w:rPr>
        <w:t>（</w:t>
      </w:r>
      <w:r>
        <w:rPr>
          <w:rFonts w:hint="eastAsia"/>
          <w:color w:val="auto"/>
          <w:lang w:val="en-US" w:eastAsia="zh-CN"/>
        </w:rPr>
        <w:t>31</w:t>
      </w:r>
      <w:r>
        <w:rPr>
          <w:color w:val="auto"/>
        </w:rPr>
        <w:t>）《关于进一步加强危险废物和医疗废物监管工作的意见》（环发</w:t>
      </w:r>
      <w:r>
        <w:rPr>
          <w:rFonts w:hint="eastAsia"/>
          <w:color w:val="auto"/>
          <w:lang w:val="en-US" w:eastAsia="zh-CN"/>
        </w:rPr>
        <w:t>〔</w:t>
      </w:r>
      <w:r>
        <w:rPr>
          <w:rFonts w:hint="default"/>
          <w:color w:val="auto"/>
          <w:lang w:val="en-US" w:eastAsia="zh-CN"/>
        </w:rPr>
        <w:t>20</w:t>
      </w:r>
      <w:r>
        <w:rPr>
          <w:rFonts w:hint="eastAsia"/>
          <w:color w:val="auto"/>
          <w:lang w:val="en-US" w:eastAsia="zh-CN"/>
        </w:rPr>
        <w:t>11〕</w:t>
      </w:r>
      <w:r>
        <w:rPr>
          <w:color w:val="auto"/>
        </w:rPr>
        <w:t>19号）；</w:t>
      </w:r>
    </w:p>
    <w:p>
      <w:pPr>
        <w:bidi w:val="0"/>
        <w:rPr>
          <w:color w:val="auto"/>
        </w:rPr>
      </w:pPr>
      <w:r>
        <w:rPr>
          <w:color w:val="auto"/>
        </w:rPr>
        <w:t>（3</w:t>
      </w:r>
      <w:r>
        <w:rPr>
          <w:rFonts w:hint="eastAsia"/>
          <w:color w:val="auto"/>
          <w:lang w:val="en-US" w:eastAsia="zh-CN"/>
        </w:rPr>
        <w:t>2</w:t>
      </w:r>
      <w:r>
        <w:rPr>
          <w:color w:val="auto"/>
        </w:rPr>
        <w:t>）《医疗废物集中处置技术规范（试行）》（环发</w:t>
      </w:r>
      <w:r>
        <w:rPr>
          <w:rFonts w:hint="eastAsia"/>
          <w:color w:val="auto"/>
          <w:lang w:val="en-US" w:eastAsia="zh-CN"/>
        </w:rPr>
        <w:t>〔</w:t>
      </w:r>
      <w:r>
        <w:rPr>
          <w:rFonts w:hint="default"/>
          <w:color w:val="auto"/>
          <w:lang w:val="en-US" w:eastAsia="zh-CN"/>
        </w:rPr>
        <w:t>2003</w:t>
      </w:r>
      <w:r>
        <w:rPr>
          <w:rFonts w:hint="eastAsia"/>
          <w:color w:val="auto"/>
          <w:lang w:val="en-US" w:eastAsia="zh-CN"/>
        </w:rPr>
        <w:t>〕</w:t>
      </w:r>
      <w:r>
        <w:rPr>
          <w:color w:val="auto"/>
        </w:rPr>
        <w:t>206号）；</w:t>
      </w:r>
    </w:p>
    <w:p>
      <w:pPr>
        <w:bidi w:val="0"/>
        <w:rPr>
          <w:color w:val="auto"/>
        </w:rPr>
      </w:pPr>
      <w:r>
        <w:rPr>
          <w:color w:val="auto"/>
        </w:rPr>
        <w:t>（3</w:t>
      </w:r>
      <w:r>
        <w:rPr>
          <w:rFonts w:hint="eastAsia"/>
          <w:color w:val="auto"/>
          <w:lang w:val="en-US" w:eastAsia="zh-CN"/>
        </w:rPr>
        <w:t>3</w:t>
      </w:r>
      <w:r>
        <w:rPr>
          <w:color w:val="auto"/>
        </w:rPr>
        <w:t>）《中共中央国务院关于全面加强生态环境保护坚决打好污染防治攻坚战的意见》；</w:t>
      </w:r>
    </w:p>
    <w:p>
      <w:pPr>
        <w:bidi w:val="0"/>
        <w:rPr>
          <w:color w:val="auto"/>
        </w:rPr>
      </w:pPr>
      <w:r>
        <w:rPr>
          <w:color w:val="auto"/>
        </w:rPr>
        <w:t>（3</w:t>
      </w:r>
      <w:r>
        <w:rPr>
          <w:rFonts w:hint="eastAsia"/>
          <w:color w:val="auto"/>
          <w:lang w:val="en-US" w:eastAsia="zh-CN"/>
        </w:rPr>
        <w:t>4</w:t>
      </w:r>
      <w:r>
        <w:rPr>
          <w:color w:val="auto"/>
        </w:rPr>
        <w:t>）《关于以改善环境质量为核心加强环境评价管理的通知》（环环评</w:t>
      </w:r>
      <w:r>
        <w:rPr>
          <w:rFonts w:hint="eastAsia"/>
          <w:color w:val="auto"/>
          <w:lang w:val="en-US" w:eastAsia="zh-CN"/>
        </w:rPr>
        <w:t>〔</w:t>
      </w:r>
      <w:r>
        <w:rPr>
          <w:rFonts w:hint="default"/>
          <w:color w:val="auto"/>
          <w:lang w:val="en-US" w:eastAsia="zh-CN"/>
        </w:rPr>
        <w:t>20</w:t>
      </w:r>
      <w:r>
        <w:rPr>
          <w:rFonts w:hint="eastAsia"/>
          <w:color w:val="auto"/>
          <w:lang w:val="en-US" w:eastAsia="zh-CN"/>
        </w:rPr>
        <w:t>16〕</w:t>
      </w:r>
      <w:r>
        <w:rPr>
          <w:color w:val="auto"/>
        </w:rPr>
        <w:t>150号）；</w:t>
      </w:r>
    </w:p>
    <w:p>
      <w:pPr>
        <w:bidi w:val="0"/>
        <w:rPr>
          <w:color w:val="auto"/>
        </w:rPr>
      </w:pPr>
      <w:r>
        <w:rPr>
          <w:color w:val="auto"/>
        </w:rPr>
        <w:t>（3</w:t>
      </w:r>
      <w:r>
        <w:rPr>
          <w:rFonts w:hint="eastAsia"/>
          <w:color w:val="auto"/>
          <w:lang w:val="en-US" w:eastAsia="zh-CN"/>
        </w:rPr>
        <w:t>5</w:t>
      </w:r>
      <w:r>
        <w:rPr>
          <w:color w:val="auto"/>
        </w:rPr>
        <w:t>）《关于发布</w:t>
      </w:r>
      <w:r>
        <w:rPr>
          <w:rFonts w:hint="eastAsia"/>
          <w:color w:val="auto"/>
          <w:lang w:eastAsia="zh-CN"/>
        </w:rPr>
        <w:t>“</w:t>
      </w:r>
      <w:r>
        <w:rPr>
          <w:color w:val="auto"/>
        </w:rPr>
        <w:t>医疗废物专用包装物、容器标准和警示标识规定</w:t>
      </w:r>
      <w:r>
        <w:rPr>
          <w:rFonts w:hint="eastAsia"/>
          <w:color w:val="auto"/>
          <w:lang w:eastAsia="zh-CN"/>
        </w:rPr>
        <w:t>”</w:t>
      </w:r>
      <w:r>
        <w:rPr>
          <w:color w:val="auto"/>
        </w:rPr>
        <w:t>的通知》（环发</w:t>
      </w:r>
      <w:r>
        <w:rPr>
          <w:rFonts w:hint="eastAsia"/>
          <w:color w:val="auto"/>
          <w:lang w:val="en-US" w:eastAsia="zh-CN"/>
        </w:rPr>
        <w:t>〔</w:t>
      </w:r>
      <w:r>
        <w:rPr>
          <w:rFonts w:hint="default"/>
          <w:color w:val="auto"/>
          <w:lang w:val="en-US" w:eastAsia="zh-CN"/>
        </w:rPr>
        <w:t>2003</w:t>
      </w:r>
      <w:r>
        <w:rPr>
          <w:rFonts w:hint="eastAsia"/>
          <w:color w:val="auto"/>
          <w:lang w:val="en-US" w:eastAsia="zh-CN"/>
        </w:rPr>
        <w:t>〕</w:t>
      </w:r>
      <w:r>
        <w:rPr>
          <w:color w:val="auto"/>
        </w:rPr>
        <w:t>118号）；</w:t>
      </w:r>
    </w:p>
    <w:p>
      <w:pPr>
        <w:bidi w:val="0"/>
        <w:rPr>
          <w:color w:val="auto"/>
        </w:rPr>
      </w:pPr>
      <w:r>
        <w:rPr>
          <w:color w:val="auto"/>
        </w:rPr>
        <w:t>（3</w:t>
      </w:r>
      <w:r>
        <w:rPr>
          <w:rFonts w:hint="eastAsia"/>
          <w:color w:val="auto"/>
          <w:lang w:val="en-US" w:eastAsia="zh-CN"/>
        </w:rPr>
        <w:t>6</w:t>
      </w:r>
      <w:r>
        <w:rPr>
          <w:color w:val="auto"/>
        </w:rPr>
        <w:t>）《自治区打赢蓝天保卫战三年行动计划（2018-2020年）》（自治区人民政府新政发</w:t>
      </w:r>
      <w:r>
        <w:rPr>
          <w:rFonts w:hint="eastAsia"/>
          <w:color w:val="auto"/>
          <w:lang w:val="en-US" w:eastAsia="zh-CN"/>
        </w:rPr>
        <w:t>〔</w:t>
      </w:r>
      <w:r>
        <w:rPr>
          <w:rFonts w:hint="default"/>
          <w:color w:val="auto"/>
          <w:lang w:val="en-US" w:eastAsia="zh-CN"/>
        </w:rPr>
        <w:t>20</w:t>
      </w:r>
      <w:r>
        <w:rPr>
          <w:rFonts w:hint="eastAsia"/>
          <w:color w:val="auto"/>
          <w:lang w:val="en-US" w:eastAsia="zh-CN"/>
        </w:rPr>
        <w:t>18〕</w:t>
      </w:r>
      <w:r>
        <w:rPr>
          <w:color w:val="auto"/>
        </w:rPr>
        <w:t>66号）；</w:t>
      </w:r>
    </w:p>
    <w:p>
      <w:pPr>
        <w:bidi w:val="0"/>
        <w:rPr>
          <w:color w:val="auto"/>
        </w:rPr>
      </w:pPr>
      <w:r>
        <w:rPr>
          <w:color w:val="auto"/>
        </w:rPr>
        <w:t>（3</w:t>
      </w:r>
      <w:r>
        <w:rPr>
          <w:rFonts w:hint="eastAsia"/>
          <w:color w:val="auto"/>
          <w:lang w:val="en-US" w:eastAsia="zh-CN"/>
        </w:rPr>
        <w:t>7</w:t>
      </w:r>
      <w:r>
        <w:rPr>
          <w:color w:val="auto"/>
        </w:rPr>
        <w:t>）《危险化学品重大危险源辨识》（GB18218-2018）（市场监管总局标准委2018年第15号）；</w:t>
      </w:r>
    </w:p>
    <w:p>
      <w:pPr>
        <w:bidi w:val="0"/>
        <w:rPr>
          <w:color w:val="auto"/>
        </w:rPr>
      </w:pPr>
      <w:r>
        <w:rPr>
          <w:color w:val="auto"/>
        </w:rPr>
        <w:t>（3</w:t>
      </w:r>
      <w:r>
        <w:rPr>
          <w:rFonts w:hint="eastAsia"/>
          <w:color w:val="auto"/>
          <w:lang w:val="en-US" w:eastAsia="zh-CN"/>
        </w:rPr>
        <w:t>8</w:t>
      </w:r>
      <w:r>
        <w:rPr>
          <w:color w:val="auto"/>
        </w:rPr>
        <w:t>）《蓝天保卫战三年行动计划》（2018年6月27日）；</w:t>
      </w:r>
    </w:p>
    <w:p>
      <w:pPr>
        <w:bidi w:val="0"/>
        <w:rPr>
          <w:rFonts w:hint="eastAsia"/>
          <w:color w:val="auto"/>
          <w:lang w:eastAsia="zh-CN"/>
        </w:rPr>
      </w:pPr>
      <w:r>
        <w:rPr>
          <w:color w:val="auto"/>
        </w:rPr>
        <w:t>（</w:t>
      </w:r>
      <w:r>
        <w:rPr>
          <w:rFonts w:hint="eastAsia"/>
          <w:color w:val="auto"/>
          <w:lang w:val="en-US" w:eastAsia="zh-CN"/>
        </w:rPr>
        <w:t>39</w:t>
      </w:r>
      <w:r>
        <w:rPr>
          <w:color w:val="auto"/>
        </w:rPr>
        <w:t>）《中共中央国务院关于全面加强生态环境保护坚决打好污染防治攻坚战的意见》（2018年6月16日）</w:t>
      </w:r>
      <w:r>
        <w:rPr>
          <w:rFonts w:hint="eastAsia"/>
          <w:color w:val="auto"/>
          <w:lang w:eastAsia="zh-CN"/>
        </w:rPr>
        <w:t>；</w:t>
      </w:r>
    </w:p>
    <w:p>
      <w:pPr>
        <w:bidi w:val="0"/>
        <w:rPr>
          <w:color w:val="auto"/>
        </w:rPr>
      </w:pPr>
      <w:r>
        <w:rPr>
          <w:color w:val="auto"/>
        </w:rPr>
        <w:t>（</w:t>
      </w:r>
      <w:r>
        <w:rPr>
          <w:rFonts w:hint="eastAsia"/>
          <w:color w:val="auto"/>
          <w:lang w:val="en-US" w:eastAsia="zh-CN"/>
        </w:rPr>
        <w:t>40</w:t>
      </w:r>
      <w:r>
        <w:rPr>
          <w:color w:val="auto"/>
        </w:rPr>
        <w:t>）《关于做好新型冠状病毒感染肺炎疫情防控期间有关建设项目环境影响评价应急服务保障的通知（环办环评函〔2020〕56号）》（2020年2月6日）。</w:t>
      </w:r>
    </w:p>
    <w:p>
      <w:pPr>
        <w:pStyle w:val="6"/>
        <w:bidi w:val="0"/>
        <w:outlineLvl w:val="1"/>
        <w:rPr>
          <w:rFonts w:hint="eastAsia"/>
          <w:color w:val="auto"/>
          <w:lang w:val="en-US" w:eastAsia="zh-CN"/>
        </w:rPr>
      </w:pPr>
      <w:bookmarkStart w:id="14" w:name="_Toc2055"/>
      <w:r>
        <w:rPr>
          <w:rFonts w:hint="eastAsia"/>
          <w:color w:val="auto"/>
          <w:lang w:val="en-US" w:eastAsia="zh-CN"/>
        </w:rPr>
        <w:t>2.3.2环评导则及有关技术条件</w:t>
      </w:r>
      <w:bookmarkEnd w:id="14"/>
    </w:p>
    <w:p>
      <w:pPr>
        <w:bidi w:val="0"/>
        <w:rPr>
          <w:color w:val="auto"/>
        </w:rPr>
      </w:pPr>
      <w:r>
        <w:rPr>
          <w:rFonts w:hint="eastAsia"/>
          <w:color w:val="auto"/>
          <w:lang w:val="en-US" w:eastAsia="zh-CN"/>
        </w:rPr>
        <w:t>（</w:t>
      </w:r>
      <w:r>
        <w:rPr>
          <w:rFonts w:hint="default"/>
          <w:color w:val="auto"/>
          <w:lang w:val="en-US" w:eastAsia="zh-CN"/>
        </w:rPr>
        <w:t>1</w:t>
      </w:r>
      <w:r>
        <w:rPr>
          <w:rFonts w:hint="eastAsia"/>
          <w:color w:val="auto"/>
          <w:lang w:val="en-US" w:eastAsia="zh-CN"/>
        </w:rPr>
        <w:t>）《建设项目环境影响评价技术导则总纲》（</w:t>
      </w:r>
      <w:r>
        <w:rPr>
          <w:rFonts w:hint="default"/>
          <w:color w:val="auto"/>
          <w:lang w:val="en-US" w:eastAsia="zh-CN"/>
        </w:rPr>
        <w:t>HJ2.1-2016</w:t>
      </w:r>
      <w:r>
        <w:rPr>
          <w:rFonts w:hint="eastAsia"/>
          <w:color w:val="auto"/>
          <w:lang w:val="en-US" w:eastAsia="zh-CN"/>
        </w:rPr>
        <w:t>）；</w:t>
      </w:r>
    </w:p>
    <w:p>
      <w:pPr>
        <w:bidi w:val="0"/>
        <w:rPr>
          <w:color w:val="auto"/>
        </w:rPr>
      </w:pPr>
      <w:r>
        <w:rPr>
          <w:rFonts w:hint="eastAsia"/>
          <w:color w:val="auto"/>
          <w:lang w:val="en-US" w:eastAsia="zh-CN"/>
        </w:rPr>
        <w:t>（</w:t>
      </w:r>
      <w:r>
        <w:rPr>
          <w:rFonts w:hint="default"/>
          <w:color w:val="auto"/>
          <w:lang w:val="en-US" w:eastAsia="zh-CN"/>
        </w:rPr>
        <w:t>2</w:t>
      </w:r>
      <w:r>
        <w:rPr>
          <w:rFonts w:hint="eastAsia"/>
          <w:color w:val="auto"/>
          <w:lang w:val="en-US" w:eastAsia="zh-CN"/>
        </w:rPr>
        <w:t>）《环境影响评价技术导则大气环境》（</w:t>
      </w:r>
      <w:r>
        <w:rPr>
          <w:rFonts w:hint="default"/>
          <w:color w:val="auto"/>
          <w:lang w:val="en-US" w:eastAsia="zh-CN"/>
        </w:rPr>
        <w:t>HJ2.2-2018</w:t>
      </w:r>
      <w:r>
        <w:rPr>
          <w:rFonts w:hint="eastAsia"/>
          <w:color w:val="auto"/>
          <w:lang w:val="en-US" w:eastAsia="zh-CN"/>
        </w:rPr>
        <w:t>）；</w:t>
      </w:r>
    </w:p>
    <w:p>
      <w:pPr>
        <w:bidi w:val="0"/>
        <w:rPr>
          <w:color w:val="auto"/>
        </w:rPr>
      </w:pPr>
      <w:r>
        <w:rPr>
          <w:rFonts w:hint="eastAsia"/>
          <w:color w:val="auto"/>
          <w:lang w:val="en-US" w:eastAsia="zh-CN"/>
        </w:rPr>
        <w:t>（</w:t>
      </w:r>
      <w:r>
        <w:rPr>
          <w:rFonts w:hint="default"/>
          <w:color w:val="auto"/>
          <w:lang w:val="en-US" w:eastAsia="zh-CN"/>
        </w:rPr>
        <w:t>3</w:t>
      </w:r>
      <w:r>
        <w:rPr>
          <w:rFonts w:hint="eastAsia"/>
          <w:color w:val="auto"/>
          <w:lang w:val="en-US" w:eastAsia="zh-CN"/>
        </w:rPr>
        <w:t>）《环境影响评价技术导则地表水环境》（</w:t>
      </w:r>
      <w:r>
        <w:rPr>
          <w:rFonts w:hint="default"/>
          <w:color w:val="auto"/>
          <w:lang w:val="en-US" w:eastAsia="zh-CN"/>
        </w:rPr>
        <w:t>HJ2.3-2018</w:t>
      </w:r>
      <w:r>
        <w:rPr>
          <w:rFonts w:hint="eastAsia"/>
          <w:color w:val="auto"/>
          <w:lang w:val="en-US" w:eastAsia="zh-CN"/>
        </w:rPr>
        <w:t>）；</w:t>
      </w:r>
    </w:p>
    <w:p>
      <w:pPr>
        <w:bidi w:val="0"/>
        <w:rPr>
          <w:color w:val="auto"/>
        </w:rPr>
      </w:pPr>
      <w:r>
        <w:rPr>
          <w:rFonts w:hint="eastAsia"/>
          <w:color w:val="auto"/>
          <w:lang w:val="en-US" w:eastAsia="zh-CN"/>
        </w:rPr>
        <w:t>（</w:t>
      </w:r>
      <w:r>
        <w:rPr>
          <w:rFonts w:hint="default"/>
          <w:color w:val="auto"/>
          <w:lang w:val="en-US" w:eastAsia="zh-CN"/>
        </w:rPr>
        <w:t>4</w:t>
      </w:r>
      <w:r>
        <w:rPr>
          <w:rFonts w:hint="eastAsia"/>
          <w:color w:val="auto"/>
          <w:lang w:val="en-US" w:eastAsia="zh-CN"/>
        </w:rPr>
        <w:t>）《环境影响评价技术导则声环境》（HJ 2.4-2021）；</w:t>
      </w:r>
    </w:p>
    <w:p>
      <w:pPr>
        <w:bidi w:val="0"/>
        <w:rPr>
          <w:color w:val="auto"/>
        </w:rPr>
      </w:pPr>
      <w:r>
        <w:rPr>
          <w:rFonts w:hint="eastAsia"/>
          <w:color w:val="auto"/>
          <w:lang w:val="en-US" w:eastAsia="zh-CN"/>
        </w:rPr>
        <w:t>（</w:t>
      </w:r>
      <w:r>
        <w:rPr>
          <w:rFonts w:hint="default"/>
          <w:color w:val="auto"/>
          <w:lang w:val="en-US" w:eastAsia="zh-CN"/>
        </w:rPr>
        <w:t>5</w:t>
      </w:r>
      <w:r>
        <w:rPr>
          <w:rFonts w:hint="eastAsia"/>
          <w:color w:val="auto"/>
          <w:lang w:val="en-US" w:eastAsia="zh-CN"/>
        </w:rPr>
        <w:t>）《环境影响评价技术导则 生态影响》（HJ 19—2022）；</w:t>
      </w:r>
    </w:p>
    <w:p>
      <w:pPr>
        <w:bidi w:val="0"/>
        <w:rPr>
          <w:color w:val="auto"/>
        </w:rPr>
      </w:pPr>
      <w:r>
        <w:rPr>
          <w:rFonts w:hint="eastAsia"/>
          <w:color w:val="auto"/>
          <w:lang w:val="en-US" w:eastAsia="zh-CN"/>
        </w:rPr>
        <w:t>（</w:t>
      </w:r>
      <w:r>
        <w:rPr>
          <w:rFonts w:hint="default"/>
          <w:color w:val="auto"/>
          <w:lang w:val="en-US" w:eastAsia="zh-CN"/>
        </w:rPr>
        <w:t>6</w:t>
      </w:r>
      <w:r>
        <w:rPr>
          <w:rFonts w:hint="eastAsia"/>
          <w:color w:val="auto"/>
          <w:lang w:val="en-US" w:eastAsia="zh-CN"/>
        </w:rPr>
        <w:t>）《环境影响评价技术导则地下水环境》（</w:t>
      </w:r>
      <w:r>
        <w:rPr>
          <w:rFonts w:hint="default"/>
          <w:color w:val="auto"/>
          <w:lang w:val="en-US" w:eastAsia="zh-CN"/>
        </w:rPr>
        <w:t>HJ610-2016</w:t>
      </w:r>
      <w:r>
        <w:rPr>
          <w:rFonts w:hint="eastAsia"/>
          <w:color w:val="auto"/>
          <w:lang w:val="en-US" w:eastAsia="zh-CN"/>
        </w:rPr>
        <w:t>）；</w:t>
      </w:r>
    </w:p>
    <w:p>
      <w:pPr>
        <w:bidi w:val="0"/>
        <w:rPr>
          <w:color w:val="auto"/>
        </w:rPr>
      </w:pPr>
      <w:r>
        <w:rPr>
          <w:rFonts w:hint="eastAsia"/>
          <w:color w:val="auto"/>
          <w:lang w:val="en-US" w:eastAsia="zh-CN"/>
        </w:rPr>
        <w:t>（</w:t>
      </w:r>
      <w:r>
        <w:rPr>
          <w:rFonts w:hint="default"/>
          <w:color w:val="auto"/>
          <w:lang w:val="en-US" w:eastAsia="zh-CN"/>
        </w:rPr>
        <w:t>7</w:t>
      </w:r>
      <w:r>
        <w:rPr>
          <w:rFonts w:hint="eastAsia"/>
          <w:color w:val="auto"/>
          <w:lang w:val="en-US" w:eastAsia="zh-CN"/>
        </w:rPr>
        <w:t>）《环境影响评价技术导则土壤环境（试行）》（</w:t>
      </w:r>
      <w:r>
        <w:rPr>
          <w:rFonts w:hint="default"/>
          <w:color w:val="auto"/>
          <w:lang w:val="en-US" w:eastAsia="zh-CN"/>
        </w:rPr>
        <w:t>HJ964-2018</w:t>
      </w:r>
      <w:r>
        <w:rPr>
          <w:rFonts w:hint="eastAsia"/>
          <w:color w:val="auto"/>
          <w:lang w:val="en-US" w:eastAsia="zh-CN"/>
        </w:rPr>
        <w:t>）</w:t>
      </w:r>
    </w:p>
    <w:p>
      <w:pPr>
        <w:bidi w:val="0"/>
        <w:rPr>
          <w:color w:val="auto"/>
        </w:rPr>
      </w:pPr>
      <w:r>
        <w:rPr>
          <w:rFonts w:hint="eastAsia"/>
          <w:color w:val="auto"/>
          <w:lang w:val="en-US" w:eastAsia="zh-CN"/>
        </w:rPr>
        <w:t>（</w:t>
      </w:r>
      <w:r>
        <w:rPr>
          <w:rFonts w:hint="default"/>
          <w:color w:val="auto"/>
          <w:lang w:val="en-US" w:eastAsia="zh-CN"/>
        </w:rPr>
        <w:t>8</w:t>
      </w:r>
      <w:r>
        <w:rPr>
          <w:rFonts w:hint="eastAsia"/>
          <w:color w:val="auto"/>
          <w:lang w:val="en-US" w:eastAsia="zh-CN"/>
        </w:rPr>
        <w:t>）《建设项目环境风险评价技术导则》（</w:t>
      </w:r>
      <w:r>
        <w:rPr>
          <w:rFonts w:hint="default"/>
          <w:color w:val="auto"/>
          <w:lang w:val="en-US" w:eastAsia="zh-CN"/>
        </w:rPr>
        <w:t>HJ169-2018</w:t>
      </w:r>
      <w:r>
        <w:rPr>
          <w:rFonts w:hint="eastAsia"/>
          <w:color w:val="auto"/>
          <w:lang w:val="en-US" w:eastAsia="zh-CN"/>
        </w:rPr>
        <w:t>）；</w:t>
      </w:r>
    </w:p>
    <w:p>
      <w:pPr>
        <w:bidi w:val="0"/>
        <w:rPr>
          <w:color w:val="auto"/>
        </w:rPr>
      </w:pPr>
      <w:r>
        <w:rPr>
          <w:rFonts w:hint="eastAsia"/>
          <w:color w:val="auto"/>
          <w:lang w:val="en-US" w:eastAsia="zh-CN"/>
        </w:rPr>
        <w:t>（9）《医疗废物集中处置技术规范》（环发〔</w:t>
      </w:r>
      <w:r>
        <w:rPr>
          <w:rFonts w:hint="default"/>
          <w:color w:val="auto"/>
          <w:lang w:val="en-US" w:eastAsia="zh-CN"/>
        </w:rPr>
        <w:t>2003</w:t>
      </w:r>
      <w:r>
        <w:rPr>
          <w:rFonts w:hint="eastAsia"/>
          <w:color w:val="auto"/>
          <w:lang w:val="en-US" w:eastAsia="zh-CN"/>
        </w:rPr>
        <w:t>〕</w:t>
      </w:r>
      <w:r>
        <w:rPr>
          <w:rFonts w:hint="default"/>
          <w:color w:val="auto"/>
          <w:lang w:val="en-US" w:eastAsia="zh-CN"/>
        </w:rPr>
        <w:t>206</w:t>
      </w:r>
      <w:r>
        <w:rPr>
          <w:rFonts w:hint="eastAsia"/>
          <w:color w:val="auto"/>
          <w:lang w:val="en-US" w:eastAsia="zh-CN"/>
        </w:rPr>
        <w:t>号）；</w:t>
      </w:r>
    </w:p>
    <w:p>
      <w:pPr>
        <w:bidi w:val="0"/>
        <w:rPr>
          <w:color w:val="auto"/>
        </w:rPr>
      </w:pPr>
      <w:r>
        <w:rPr>
          <w:rFonts w:hint="eastAsia"/>
          <w:color w:val="auto"/>
          <w:lang w:val="en-US" w:eastAsia="zh-CN"/>
        </w:rPr>
        <w:t>（10）《医疗废物分类目录》（</w:t>
      </w:r>
      <w:r>
        <w:rPr>
          <w:rFonts w:hint="default"/>
          <w:color w:val="auto"/>
          <w:lang w:val="en-US" w:eastAsia="zh-CN"/>
        </w:rPr>
        <w:t>2003</w:t>
      </w:r>
      <w:r>
        <w:rPr>
          <w:rFonts w:hint="eastAsia"/>
          <w:color w:val="auto"/>
          <w:lang w:val="en-US" w:eastAsia="zh-CN"/>
        </w:rPr>
        <w:t>年</w:t>
      </w:r>
      <w:r>
        <w:rPr>
          <w:rFonts w:hint="default"/>
          <w:color w:val="auto"/>
          <w:lang w:val="en-US" w:eastAsia="zh-CN"/>
        </w:rPr>
        <w:t>10</w:t>
      </w:r>
      <w:r>
        <w:rPr>
          <w:rFonts w:hint="eastAsia"/>
          <w:color w:val="auto"/>
          <w:lang w:val="en-US" w:eastAsia="zh-CN"/>
        </w:rPr>
        <w:t>月</w:t>
      </w:r>
      <w:r>
        <w:rPr>
          <w:rFonts w:hint="default"/>
          <w:color w:val="auto"/>
          <w:lang w:val="en-US" w:eastAsia="zh-CN"/>
        </w:rPr>
        <w:t>10</w:t>
      </w:r>
      <w:r>
        <w:rPr>
          <w:rFonts w:hint="eastAsia"/>
          <w:color w:val="auto"/>
          <w:lang w:val="en-US" w:eastAsia="zh-CN"/>
        </w:rPr>
        <w:t>日发布）；</w:t>
      </w:r>
    </w:p>
    <w:p>
      <w:pPr>
        <w:bidi w:val="0"/>
        <w:rPr>
          <w:color w:val="auto"/>
        </w:rPr>
      </w:pPr>
      <w:r>
        <w:rPr>
          <w:rFonts w:hint="eastAsia"/>
          <w:color w:val="auto"/>
          <w:lang w:val="en-US" w:eastAsia="zh-CN"/>
        </w:rPr>
        <w:t>（11）《生物安全实验室建筑技术规范》（</w:t>
      </w:r>
      <w:r>
        <w:rPr>
          <w:rFonts w:hint="default"/>
          <w:color w:val="auto"/>
          <w:lang w:val="en-US" w:eastAsia="zh-CN"/>
        </w:rPr>
        <w:t>GB50346-2011</w:t>
      </w:r>
      <w:r>
        <w:rPr>
          <w:rFonts w:hint="eastAsia"/>
          <w:color w:val="auto"/>
          <w:lang w:val="en-US" w:eastAsia="zh-CN"/>
        </w:rPr>
        <w:t>）；</w:t>
      </w:r>
    </w:p>
    <w:p>
      <w:pPr>
        <w:bidi w:val="0"/>
        <w:rPr>
          <w:color w:val="auto"/>
        </w:rPr>
      </w:pPr>
      <w:r>
        <w:rPr>
          <w:rFonts w:hint="eastAsia"/>
          <w:color w:val="auto"/>
          <w:lang w:val="en-US" w:eastAsia="zh-CN"/>
        </w:rPr>
        <w:t>（</w:t>
      </w:r>
      <w:r>
        <w:rPr>
          <w:rFonts w:hint="default"/>
          <w:color w:val="auto"/>
          <w:lang w:val="en-US" w:eastAsia="zh-CN"/>
        </w:rPr>
        <w:t>1</w:t>
      </w:r>
      <w:r>
        <w:rPr>
          <w:rFonts w:hint="eastAsia"/>
          <w:color w:val="auto"/>
          <w:lang w:val="en-US" w:eastAsia="zh-CN"/>
        </w:rPr>
        <w:t>2）《危险废物贮存污染控制标准》（</w:t>
      </w:r>
      <w:r>
        <w:rPr>
          <w:rFonts w:hint="default"/>
          <w:color w:val="auto"/>
          <w:lang w:val="en-US" w:eastAsia="zh-CN"/>
        </w:rPr>
        <w:t>GB18597-2001</w:t>
      </w:r>
      <w:r>
        <w:rPr>
          <w:rFonts w:hint="eastAsia"/>
          <w:color w:val="auto"/>
          <w:lang w:val="en-US" w:eastAsia="zh-CN"/>
        </w:rPr>
        <w:t>）（</w:t>
      </w:r>
      <w:r>
        <w:rPr>
          <w:rFonts w:hint="default"/>
          <w:color w:val="auto"/>
          <w:lang w:val="en-US" w:eastAsia="zh-CN"/>
        </w:rPr>
        <w:t>2013</w:t>
      </w:r>
      <w:r>
        <w:rPr>
          <w:rFonts w:hint="eastAsia"/>
          <w:color w:val="auto"/>
          <w:lang w:val="en-US" w:eastAsia="zh-CN"/>
        </w:rPr>
        <w:t>年修改）；</w:t>
      </w:r>
    </w:p>
    <w:p>
      <w:pPr>
        <w:bidi w:val="0"/>
        <w:rPr>
          <w:color w:val="auto"/>
        </w:rPr>
      </w:pPr>
      <w:r>
        <w:rPr>
          <w:rFonts w:hint="eastAsia"/>
          <w:color w:val="auto"/>
          <w:lang w:val="en-US" w:eastAsia="zh-CN"/>
        </w:rPr>
        <w:t>（</w:t>
      </w:r>
      <w:r>
        <w:rPr>
          <w:rFonts w:hint="default"/>
          <w:color w:val="auto"/>
          <w:lang w:val="en-US" w:eastAsia="zh-CN"/>
        </w:rPr>
        <w:t>1</w:t>
      </w:r>
      <w:r>
        <w:rPr>
          <w:rFonts w:hint="eastAsia"/>
          <w:color w:val="auto"/>
          <w:lang w:val="en-US" w:eastAsia="zh-CN"/>
        </w:rPr>
        <w:t>3）《医院污水处理工程技术规范》（</w:t>
      </w:r>
      <w:r>
        <w:rPr>
          <w:rFonts w:hint="default"/>
          <w:color w:val="auto"/>
          <w:lang w:val="en-US" w:eastAsia="zh-CN"/>
        </w:rPr>
        <w:t>HJ2029-2013</w:t>
      </w:r>
      <w:r>
        <w:rPr>
          <w:rFonts w:hint="eastAsia"/>
          <w:color w:val="auto"/>
          <w:lang w:val="en-US" w:eastAsia="zh-CN"/>
        </w:rPr>
        <w:t>）；</w:t>
      </w:r>
    </w:p>
    <w:p>
      <w:pPr>
        <w:bidi w:val="0"/>
        <w:rPr>
          <w:color w:val="auto"/>
        </w:rPr>
      </w:pPr>
      <w:r>
        <w:rPr>
          <w:rFonts w:hint="eastAsia"/>
          <w:color w:val="auto"/>
          <w:lang w:val="en-US" w:eastAsia="zh-CN"/>
        </w:rPr>
        <w:t>（</w:t>
      </w:r>
      <w:r>
        <w:rPr>
          <w:rFonts w:hint="default"/>
          <w:color w:val="auto"/>
          <w:lang w:val="en-US" w:eastAsia="zh-CN"/>
        </w:rPr>
        <w:t>1</w:t>
      </w:r>
      <w:r>
        <w:rPr>
          <w:rFonts w:hint="eastAsia"/>
          <w:color w:val="auto"/>
          <w:lang w:val="en-US" w:eastAsia="zh-CN"/>
        </w:rPr>
        <w:t>4）《医院污水处理技术指南》（环发〔</w:t>
      </w:r>
      <w:r>
        <w:rPr>
          <w:rFonts w:hint="default"/>
          <w:color w:val="auto"/>
          <w:lang w:val="en-US" w:eastAsia="zh-CN"/>
        </w:rPr>
        <w:t>2003</w:t>
      </w:r>
      <w:r>
        <w:rPr>
          <w:rFonts w:hint="eastAsia"/>
          <w:color w:val="auto"/>
          <w:lang w:val="en-US" w:eastAsia="zh-CN"/>
        </w:rPr>
        <w:t>〕</w:t>
      </w:r>
      <w:r>
        <w:rPr>
          <w:rFonts w:hint="default"/>
          <w:color w:val="auto"/>
          <w:lang w:val="en-US" w:eastAsia="zh-CN"/>
        </w:rPr>
        <w:t>197</w:t>
      </w:r>
      <w:r>
        <w:rPr>
          <w:rFonts w:hint="eastAsia"/>
          <w:color w:val="auto"/>
          <w:lang w:val="en-US" w:eastAsia="zh-CN"/>
        </w:rPr>
        <w:t>号）；</w:t>
      </w:r>
    </w:p>
    <w:p>
      <w:pPr>
        <w:bidi w:val="0"/>
        <w:rPr>
          <w:color w:val="auto"/>
        </w:rPr>
      </w:pPr>
      <w:r>
        <w:rPr>
          <w:rFonts w:hint="eastAsia"/>
          <w:color w:val="auto"/>
          <w:lang w:val="en-US" w:eastAsia="zh-CN"/>
        </w:rPr>
        <w:t>（</w:t>
      </w:r>
      <w:r>
        <w:rPr>
          <w:rFonts w:hint="default"/>
          <w:color w:val="auto"/>
          <w:lang w:val="en-US" w:eastAsia="zh-CN"/>
        </w:rPr>
        <w:t>1</w:t>
      </w:r>
      <w:r>
        <w:rPr>
          <w:rFonts w:hint="eastAsia"/>
          <w:color w:val="auto"/>
          <w:lang w:val="en-US" w:eastAsia="zh-CN"/>
        </w:rPr>
        <w:t>5）《排污单位自行监测技术指南总则》（</w:t>
      </w:r>
      <w:r>
        <w:rPr>
          <w:rFonts w:hint="default"/>
          <w:color w:val="auto"/>
          <w:lang w:val="en-US" w:eastAsia="zh-CN"/>
        </w:rPr>
        <w:t>HJ819-2017</w:t>
      </w:r>
      <w:r>
        <w:rPr>
          <w:rFonts w:hint="eastAsia"/>
          <w:color w:val="auto"/>
          <w:lang w:val="en-US" w:eastAsia="zh-CN"/>
        </w:rPr>
        <w:t>）；</w:t>
      </w:r>
    </w:p>
    <w:p>
      <w:pPr>
        <w:bidi w:val="0"/>
        <w:rPr>
          <w:color w:val="auto"/>
        </w:rPr>
      </w:pPr>
      <w:r>
        <w:rPr>
          <w:rFonts w:hint="eastAsia"/>
          <w:color w:val="auto"/>
          <w:lang w:val="en-US" w:eastAsia="zh-CN"/>
        </w:rPr>
        <w:t>（</w:t>
      </w:r>
      <w:r>
        <w:rPr>
          <w:rFonts w:hint="default"/>
          <w:color w:val="auto"/>
          <w:lang w:val="en-US" w:eastAsia="zh-CN"/>
        </w:rPr>
        <w:t>1</w:t>
      </w:r>
      <w:r>
        <w:rPr>
          <w:rFonts w:hint="eastAsia"/>
          <w:color w:val="auto"/>
          <w:lang w:val="en-US" w:eastAsia="zh-CN"/>
        </w:rPr>
        <w:t>6）《建设项目竣工环境保护验收技术规范医疗机构》（</w:t>
      </w:r>
      <w:r>
        <w:rPr>
          <w:rFonts w:hint="default"/>
          <w:color w:val="auto"/>
          <w:lang w:val="en-US" w:eastAsia="zh-CN"/>
        </w:rPr>
        <w:t>HJ794-2016</w:t>
      </w:r>
      <w:r>
        <w:rPr>
          <w:rFonts w:hint="eastAsia"/>
          <w:color w:val="auto"/>
          <w:lang w:val="en-US" w:eastAsia="zh-CN"/>
        </w:rPr>
        <w:t>）。</w:t>
      </w:r>
    </w:p>
    <w:p>
      <w:pPr>
        <w:pStyle w:val="6"/>
        <w:bidi w:val="0"/>
        <w:outlineLvl w:val="1"/>
        <w:rPr>
          <w:rFonts w:hint="eastAsia"/>
          <w:color w:val="auto"/>
          <w:lang w:val="en-US" w:eastAsia="zh-CN"/>
        </w:rPr>
      </w:pPr>
      <w:bookmarkStart w:id="15" w:name="_Toc22307"/>
      <w:r>
        <w:rPr>
          <w:rFonts w:hint="eastAsia"/>
          <w:color w:val="auto"/>
          <w:lang w:val="en-US" w:eastAsia="zh-CN"/>
        </w:rPr>
        <w:t>2.3.3建设项目有关资料</w:t>
      </w:r>
      <w:bookmarkEnd w:id="15"/>
    </w:p>
    <w:p>
      <w:pPr>
        <w:bidi w:val="0"/>
        <w:rPr>
          <w:color w:val="auto"/>
          <w:highlight w:val="none"/>
        </w:rPr>
      </w:pPr>
      <w:r>
        <w:rPr>
          <w:color w:val="auto"/>
          <w:highlight w:val="none"/>
        </w:rPr>
        <w:t>（1）《新疆生产建设兵团十四师“十三五”规划划及2020年长远规划》；</w:t>
      </w:r>
    </w:p>
    <w:p>
      <w:pPr>
        <w:bidi w:val="0"/>
        <w:rPr>
          <w:color w:val="auto"/>
        </w:rPr>
      </w:pPr>
      <w:r>
        <w:rPr>
          <w:rFonts w:hint="eastAsia"/>
          <w:color w:val="auto"/>
          <w:lang w:val="en-US" w:eastAsia="zh-CN"/>
        </w:rPr>
        <w:t>（2）第十四师皮山农场疾病预防控制中心建设项目的委托书，</w:t>
      </w:r>
      <w:r>
        <w:rPr>
          <w:rFonts w:hint="default"/>
          <w:color w:val="auto"/>
          <w:lang w:val="en-US" w:eastAsia="zh-CN"/>
        </w:rPr>
        <w:t>2021.</w:t>
      </w:r>
      <w:r>
        <w:rPr>
          <w:rFonts w:hint="eastAsia"/>
          <w:color w:val="auto"/>
          <w:lang w:val="en-US" w:eastAsia="zh-CN"/>
        </w:rPr>
        <w:t>12；</w:t>
      </w:r>
    </w:p>
    <w:p>
      <w:pPr>
        <w:bidi w:val="0"/>
        <w:rPr>
          <w:color w:val="auto"/>
        </w:rPr>
      </w:pPr>
      <w:r>
        <w:rPr>
          <w:rFonts w:hint="eastAsia"/>
          <w:color w:val="auto"/>
          <w:lang w:val="en-US" w:eastAsia="zh-CN"/>
        </w:rPr>
        <w:t>（3）《第十四师皮山农场疾病预防控制中心建设项目可行性研究报告》（石河子博力工程管理有限公司），2018.9；</w:t>
      </w:r>
    </w:p>
    <w:p>
      <w:pPr>
        <w:bidi w:val="0"/>
        <w:rPr>
          <w:color w:val="auto"/>
        </w:rPr>
      </w:pPr>
      <w:r>
        <w:rPr>
          <w:rFonts w:hint="eastAsia"/>
          <w:color w:val="auto"/>
          <w:lang w:val="en-US" w:eastAsia="zh-CN"/>
        </w:rPr>
        <w:t>（4）《关于第十四师皮山农场疾病预防控制中心建设项目可行性研究报告的批复》（十四师发改委，师发改发</w:t>
      </w:r>
      <w:r>
        <w:rPr>
          <w:rFonts w:hint="eastAsia" w:ascii="宋体" w:hAnsi="宋体" w:eastAsia="宋体" w:cs="宋体"/>
          <w:color w:val="auto"/>
          <w:lang w:val="en-US" w:eastAsia="zh-CN"/>
        </w:rPr>
        <w:t>〔</w:t>
      </w:r>
      <w:r>
        <w:rPr>
          <w:rFonts w:hint="eastAsia"/>
          <w:color w:val="auto"/>
          <w:lang w:val="en-US" w:eastAsia="zh-CN"/>
        </w:rPr>
        <w:t>2018</w:t>
      </w:r>
      <w:r>
        <w:rPr>
          <w:rFonts w:hint="eastAsia" w:ascii="宋体" w:hAnsi="宋体" w:eastAsia="宋体" w:cs="宋体"/>
          <w:color w:val="auto"/>
          <w:lang w:val="en-US" w:eastAsia="zh-CN"/>
        </w:rPr>
        <w:t>〕</w:t>
      </w:r>
      <w:r>
        <w:rPr>
          <w:rFonts w:hint="eastAsia"/>
          <w:color w:val="auto"/>
          <w:lang w:val="en-US" w:eastAsia="zh-CN"/>
        </w:rPr>
        <w:t>196号）；</w:t>
      </w:r>
    </w:p>
    <w:p>
      <w:pPr>
        <w:bidi w:val="0"/>
        <w:rPr>
          <w:rFonts w:hint="eastAsia"/>
          <w:color w:val="auto"/>
          <w:lang w:val="en-US" w:eastAsia="zh-CN"/>
        </w:rPr>
      </w:pPr>
      <w:r>
        <w:rPr>
          <w:rFonts w:hint="eastAsia"/>
          <w:color w:val="auto"/>
          <w:lang w:val="en-US" w:eastAsia="zh-CN"/>
        </w:rPr>
        <w:t>（5）环境质量现状监测报告。</w:t>
      </w:r>
    </w:p>
    <w:p>
      <w:pPr>
        <w:bidi w:val="0"/>
        <w:rPr>
          <w:color w:val="auto"/>
        </w:rPr>
      </w:pPr>
      <w:r>
        <w:rPr>
          <w:rFonts w:hint="eastAsia"/>
          <w:color w:val="auto"/>
          <w:lang w:val="en-US" w:eastAsia="zh-CN"/>
        </w:rPr>
        <w:t>（6）建设单位提供的其它相关技术资料。</w:t>
      </w:r>
    </w:p>
    <w:p>
      <w:pPr>
        <w:pStyle w:val="5"/>
        <w:bidi w:val="0"/>
        <w:outlineLvl w:val="0"/>
        <w:rPr>
          <w:color w:val="auto"/>
        </w:rPr>
      </w:pPr>
      <w:bookmarkStart w:id="16" w:name="_Toc11845"/>
      <w:r>
        <w:rPr>
          <w:rFonts w:hint="default"/>
          <w:color w:val="auto"/>
          <w:lang w:val="en-US" w:eastAsia="zh-CN"/>
        </w:rPr>
        <w:t>2.4</w:t>
      </w:r>
      <w:r>
        <w:rPr>
          <w:rFonts w:hint="eastAsia"/>
          <w:color w:val="auto"/>
          <w:lang w:val="en-US" w:eastAsia="zh-CN"/>
        </w:rPr>
        <w:t>环境影响因素识别与评价因子筛选</w:t>
      </w:r>
      <w:bookmarkEnd w:id="16"/>
    </w:p>
    <w:p>
      <w:pPr>
        <w:pStyle w:val="6"/>
        <w:bidi w:val="0"/>
        <w:outlineLvl w:val="1"/>
        <w:rPr>
          <w:rFonts w:hint="eastAsia"/>
          <w:color w:val="auto"/>
          <w:lang w:val="en-US" w:eastAsia="zh-CN"/>
        </w:rPr>
      </w:pPr>
      <w:bookmarkStart w:id="17" w:name="_Toc31860"/>
      <w:r>
        <w:rPr>
          <w:rFonts w:hint="eastAsia"/>
          <w:color w:val="auto"/>
          <w:lang w:val="en-US" w:eastAsia="zh-CN"/>
        </w:rPr>
        <w:t>2.4.1环境影响因素识别</w:t>
      </w:r>
      <w:bookmarkEnd w:id="17"/>
    </w:p>
    <w:p>
      <w:pPr>
        <w:bidi w:val="0"/>
        <w:rPr>
          <w:color w:val="auto"/>
        </w:rPr>
      </w:pPr>
      <w:r>
        <w:rPr>
          <w:color w:val="auto"/>
        </w:rPr>
        <w:t>根据项目的生产规模、工艺特点、项目周围的自然环境和社会环境特征，识别项目的环境影响因素，具体见表2.</w:t>
      </w:r>
      <w:r>
        <w:rPr>
          <w:rFonts w:hint="eastAsia"/>
          <w:color w:val="auto"/>
          <w:lang w:val="en-US" w:eastAsia="zh-CN"/>
        </w:rPr>
        <w:t>4</w:t>
      </w:r>
      <w:r>
        <w:rPr>
          <w:color w:val="auto"/>
        </w:rPr>
        <w:t>-1。</w:t>
      </w:r>
    </w:p>
    <w:p>
      <w:pPr>
        <w:pStyle w:val="22"/>
        <w:bidi w:val="0"/>
        <w:rPr>
          <w:b/>
          <w:bCs/>
          <w:color w:val="auto"/>
        </w:rPr>
      </w:pPr>
      <w:r>
        <w:rPr>
          <w:b/>
          <w:bCs/>
          <w:color w:val="auto"/>
        </w:rPr>
        <w:t>表2.</w:t>
      </w:r>
      <w:r>
        <w:rPr>
          <w:rFonts w:hint="eastAsia"/>
          <w:b/>
          <w:bCs/>
          <w:color w:val="auto"/>
          <w:lang w:val="en-US" w:eastAsia="zh-CN"/>
        </w:rPr>
        <w:t>4</w:t>
      </w:r>
      <w:r>
        <w:rPr>
          <w:b/>
          <w:bCs/>
          <w:color w:val="auto"/>
        </w:rPr>
        <w:t>-1项目环境影响识别</w:t>
      </w:r>
    </w:p>
    <w:tbl>
      <w:tblPr>
        <w:tblStyle w:val="23"/>
        <w:tblW w:w="84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075"/>
        <w:gridCol w:w="2386"/>
        <w:gridCol w:w="1913"/>
        <w:gridCol w:w="21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9" w:hRule="atLeast"/>
          <w:jc w:val="center"/>
        </w:trPr>
        <w:tc>
          <w:tcPr>
            <w:tcW w:w="4461" w:type="dxa"/>
            <w:gridSpan w:val="2"/>
            <w:tcBorders>
              <w:tl2br w:val="single" w:color="000000"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center"/>
              <w:rPr>
                <w:rFonts w:hint="default" w:eastAsia="宋体"/>
                <w:b/>
                <w:bCs/>
                <w:color w:val="auto"/>
                <w:sz w:val="21"/>
                <w:szCs w:val="21"/>
                <w:lang w:val="en-US" w:eastAsia="zh-CN"/>
              </w:rPr>
            </w:pPr>
            <w:r>
              <w:rPr>
                <w:rFonts w:hint="eastAsia"/>
                <w:b/>
                <w:bCs/>
                <w:color w:val="auto"/>
                <w:sz w:val="21"/>
                <w:szCs w:val="21"/>
                <w:lang w:val="en-US" w:eastAsia="zh-CN"/>
              </w:rPr>
              <w:t>环境要素影响分析</w:t>
            </w:r>
          </w:p>
        </w:tc>
        <w:tc>
          <w:tcPr>
            <w:tcW w:w="19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宋体" w:hAnsi="宋体" w:eastAsia="宋体" w:cs="宋体"/>
                <w:b/>
                <w:bCs/>
                <w:color w:val="auto"/>
                <w:sz w:val="21"/>
                <w:szCs w:val="21"/>
              </w:rPr>
            </w:pPr>
            <w:r>
              <w:rPr>
                <w:rFonts w:ascii="宋体" w:hAnsi="宋体" w:eastAsia="宋体" w:cs="宋体"/>
                <w:b/>
                <w:bCs/>
                <w:color w:val="auto"/>
                <w:spacing w:val="-2"/>
                <w:sz w:val="21"/>
                <w:szCs w:val="21"/>
              </w:rPr>
              <w:t>有利影响</w:t>
            </w:r>
          </w:p>
        </w:tc>
        <w:tc>
          <w:tcPr>
            <w:tcW w:w="2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宋体" w:hAnsi="宋体" w:eastAsia="宋体" w:cs="宋体"/>
                <w:b/>
                <w:bCs/>
                <w:color w:val="auto"/>
                <w:sz w:val="21"/>
                <w:szCs w:val="21"/>
              </w:rPr>
            </w:pPr>
            <w:r>
              <w:rPr>
                <w:rFonts w:ascii="宋体" w:hAnsi="宋体" w:eastAsia="宋体" w:cs="宋体"/>
                <w:b/>
                <w:bCs/>
                <w:color w:val="auto"/>
                <w:spacing w:val="-3"/>
                <w:sz w:val="21"/>
                <w:szCs w:val="21"/>
              </w:rPr>
              <w:t>不利影响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jc w:val="center"/>
        </w:trPr>
        <w:tc>
          <w:tcPr>
            <w:tcW w:w="207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宋体" w:hAnsi="宋体" w:eastAsia="宋体" w:cs="宋体"/>
                <w:color w:val="auto"/>
                <w:sz w:val="21"/>
                <w:szCs w:val="21"/>
              </w:rPr>
            </w:pPr>
            <w:r>
              <w:rPr>
                <w:rFonts w:ascii="宋体" w:hAnsi="宋体" w:eastAsia="宋体" w:cs="宋体"/>
                <w:color w:val="auto"/>
                <w:spacing w:val="-10"/>
                <w:sz w:val="21"/>
                <w:szCs w:val="21"/>
              </w:rPr>
              <w:t>自然环境</w:t>
            </w:r>
          </w:p>
        </w:tc>
        <w:tc>
          <w:tcPr>
            <w:tcW w:w="23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宋体" w:hAnsi="宋体" w:eastAsia="宋体" w:cs="宋体"/>
                <w:color w:val="auto"/>
                <w:sz w:val="21"/>
                <w:szCs w:val="21"/>
              </w:rPr>
            </w:pPr>
            <w:r>
              <w:rPr>
                <w:rFonts w:ascii="宋体" w:hAnsi="宋体" w:eastAsia="宋体" w:cs="宋体"/>
                <w:color w:val="auto"/>
                <w:spacing w:val="-4"/>
                <w:sz w:val="21"/>
                <w:szCs w:val="21"/>
              </w:rPr>
              <w:t>空气环境</w:t>
            </w:r>
          </w:p>
        </w:tc>
        <w:tc>
          <w:tcPr>
            <w:tcW w:w="19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w:t>
            </w:r>
          </w:p>
        </w:tc>
        <w:tc>
          <w:tcPr>
            <w:tcW w:w="2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4"/>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20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微软雅黑"/>
                <w:color w:val="auto"/>
                <w:sz w:val="21"/>
                <w:szCs w:val="21"/>
              </w:rPr>
            </w:pPr>
          </w:p>
        </w:tc>
        <w:tc>
          <w:tcPr>
            <w:tcW w:w="23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宋体" w:hAnsi="宋体" w:eastAsia="宋体" w:cs="宋体"/>
                <w:color w:val="auto"/>
                <w:sz w:val="21"/>
                <w:szCs w:val="21"/>
              </w:rPr>
            </w:pPr>
            <w:r>
              <w:rPr>
                <w:rFonts w:ascii="宋体" w:hAnsi="宋体" w:eastAsia="宋体" w:cs="宋体"/>
                <w:color w:val="auto"/>
                <w:spacing w:val="-2"/>
                <w:sz w:val="21"/>
                <w:szCs w:val="21"/>
              </w:rPr>
              <w:t>地表水环境</w:t>
            </w:r>
          </w:p>
        </w:tc>
        <w:tc>
          <w:tcPr>
            <w:tcW w:w="19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w:t>
            </w:r>
          </w:p>
        </w:tc>
        <w:tc>
          <w:tcPr>
            <w:tcW w:w="2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auto"/>
                <w:sz w:val="21"/>
                <w:szCs w:val="21"/>
                <w:lang w:val="en-US" w:eastAsia="zh-CN"/>
              </w:rPr>
            </w:pPr>
            <w:r>
              <w:rPr>
                <w:rFonts w:ascii="Times New Roman" w:hAnsi="Times New Roman" w:eastAsia="Times New Roman" w:cs="Times New Roman"/>
                <w:color w:val="auto"/>
                <w:spacing w:val="-4"/>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jc w:val="center"/>
        </w:trPr>
        <w:tc>
          <w:tcPr>
            <w:tcW w:w="20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微软雅黑"/>
                <w:color w:val="auto"/>
                <w:sz w:val="21"/>
                <w:szCs w:val="21"/>
              </w:rPr>
            </w:pPr>
          </w:p>
        </w:tc>
        <w:tc>
          <w:tcPr>
            <w:tcW w:w="23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宋体" w:hAnsi="宋体" w:eastAsia="宋体" w:cs="宋体"/>
                <w:color w:val="auto"/>
                <w:sz w:val="21"/>
                <w:szCs w:val="21"/>
              </w:rPr>
            </w:pPr>
            <w:r>
              <w:rPr>
                <w:rFonts w:ascii="宋体" w:hAnsi="宋体" w:eastAsia="宋体" w:cs="宋体"/>
                <w:color w:val="auto"/>
                <w:spacing w:val="-4"/>
                <w:sz w:val="21"/>
                <w:szCs w:val="21"/>
              </w:rPr>
              <w:t>声环境</w:t>
            </w:r>
          </w:p>
        </w:tc>
        <w:tc>
          <w:tcPr>
            <w:tcW w:w="19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w:t>
            </w:r>
          </w:p>
        </w:tc>
        <w:tc>
          <w:tcPr>
            <w:tcW w:w="2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4"/>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jc w:val="center"/>
        </w:trPr>
        <w:tc>
          <w:tcPr>
            <w:tcW w:w="20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微软雅黑"/>
                <w:color w:val="auto"/>
                <w:sz w:val="21"/>
                <w:szCs w:val="21"/>
              </w:rPr>
            </w:pPr>
          </w:p>
        </w:tc>
        <w:tc>
          <w:tcPr>
            <w:tcW w:w="23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宋体" w:hAnsi="宋体" w:eastAsia="宋体" w:cs="宋体"/>
                <w:color w:val="auto"/>
                <w:sz w:val="21"/>
                <w:szCs w:val="21"/>
              </w:rPr>
            </w:pPr>
            <w:r>
              <w:rPr>
                <w:rFonts w:ascii="宋体" w:hAnsi="宋体" w:eastAsia="宋体" w:cs="宋体"/>
                <w:color w:val="auto"/>
                <w:spacing w:val="-6"/>
                <w:sz w:val="21"/>
                <w:szCs w:val="21"/>
              </w:rPr>
              <w:t>固体废物</w:t>
            </w:r>
          </w:p>
        </w:tc>
        <w:tc>
          <w:tcPr>
            <w:tcW w:w="19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w:t>
            </w:r>
          </w:p>
        </w:tc>
        <w:tc>
          <w:tcPr>
            <w:tcW w:w="2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4"/>
                <w:sz w:val="21"/>
                <w:szCs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jc w:val="center"/>
        </w:trPr>
        <w:tc>
          <w:tcPr>
            <w:tcW w:w="2075"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宋体" w:hAnsi="宋体" w:eastAsia="宋体" w:cs="宋体"/>
                <w:color w:val="auto"/>
                <w:sz w:val="21"/>
                <w:szCs w:val="21"/>
              </w:rPr>
            </w:pPr>
            <w:r>
              <w:rPr>
                <w:rFonts w:ascii="宋体" w:hAnsi="宋体" w:eastAsia="宋体" w:cs="宋体"/>
                <w:color w:val="auto"/>
                <w:spacing w:val="-3"/>
                <w:sz w:val="21"/>
                <w:szCs w:val="21"/>
              </w:rPr>
              <w:t>社会环境</w:t>
            </w:r>
          </w:p>
        </w:tc>
        <w:tc>
          <w:tcPr>
            <w:tcW w:w="23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宋体" w:hAnsi="宋体" w:eastAsia="宋体" w:cs="宋体"/>
                <w:color w:val="auto"/>
                <w:sz w:val="21"/>
                <w:szCs w:val="21"/>
              </w:rPr>
            </w:pPr>
            <w:r>
              <w:rPr>
                <w:rFonts w:ascii="宋体" w:hAnsi="宋体" w:eastAsia="宋体" w:cs="宋体"/>
                <w:color w:val="auto"/>
                <w:spacing w:val="-3"/>
                <w:sz w:val="21"/>
                <w:szCs w:val="21"/>
              </w:rPr>
              <w:t>社会经济</w:t>
            </w:r>
          </w:p>
        </w:tc>
        <w:tc>
          <w:tcPr>
            <w:tcW w:w="19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+1</w:t>
            </w:r>
          </w:p>
        </w:tc>
        <w:tc>
          <w:tcPr>
            <w:tcW w:w="2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2075"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微软雅黑"/>
                <w:color w:val="auto"/>
                <w:sz w:val="21"/>
                <w:szCs w:val="21"/>
              </w:rPr>
            </w:pPr>
          </w:p>
        </w:tc>
        <w:tc>
          <w:tcPr>
            <w:tcW w:w="238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宋体" w:hAnsi="宋体" w:eastAsia="宋体" w:cs="宋体"/>
                <w:color w:val="auto"/>
                <w:sz w:val="21"/>
                <w:szCs w:val="21"/>
              </w:rPr>
            </w:pPr>
            <w:r>
              <w:rPr>
                <w:rFonts w:ascii="宋体" w:hAnsi="宋体" w:eastAsia="宋体" w:cs="宋体"/>
                <w:color w:val="auto"/>
                <w:spacing w:val="-2"/>
                <w:sz w:val="21"/>
                <w:szCs w:val="21"/>
              </w:rPr>
              <w:t>社会服务功能</w:t>
            </w:r>
          </w:p>
        </w:tc>
        <w:tc>
          <w:tcPr>
            <w:tcW w:w="191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2"/>
                <w:sz w:val="21"/>
                <w:szCs w:val="21"/>
              </w:rPr>
              <w:t>+2</w:t>
            </w:r>
          </w:p>
        </w:tc>
        <w:tc>
          <w:tcPr>
            <w:tcW w:w="212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
                <w:sz w:val="21"/>
                <w:szCs w:val="21"/>
              </w:rPr>
              <w:t>——</w:t>
            </w:r>
          </w:p>
        </w:tc>
      </w:tr>
    </w:tbl>
    <w:p>
      <w:pPr>
        <w:keepNext w:val="0"/>
        <w:keepLines w:val="0"/>
        <w:widowControl/>
        <w:suppressLineNumbers w:val="0"/>
        <w:jc w:val="left"/>
        <w:rPr>
          <w:rFonts w:hint="eastAsia" w:eastAsia="宋体"/>
          <w:color w:val="auto"/>
          <w:sz w:val="21"/>
          <w:szCs w:val="21"/>
          <w:lang w:eastAsia="zh-CN"/>
        </w:rPr>
      </w:pPr>
      <w:r>
        <w:rPr>
          <w:color w:val="auto"/>
          <w:sz w:val="21"/>
          <w:szCs w:val="21"/>
        </w:rPr>
        <w:t>注：“1”表示轻度影响，“2”表示中度影响，“3”表示重度影响；“+”表示有利影响，“-”表示不利影响</w:t>
      </w:r>
      <w:r>
        <w:rPr>
          <w:rFonts w:hint="eastAsia"/>
          <w:color w:val="auto"/>
          <w:sz w:val="21"/>
          <w:szCs w:val="21"/>
          <w:lang w:eastAsia="zh-CN"/>
        </w:rPr>
        <w:t>。</w:t>
      </w:r>
    </w:p>
    <w:p>
      <w:pPr>
        <w:bidi w:val="0"/>
        <w:rPr>
          <w:color w:val="auto"/>
        </w:rPr>
      </w:pPr>
      <w:r>
        <w:rPr>
          <w:rFonts w:hint="eastAsia"/>
          <w:color w:val="auto"/>
          <w:lang w:val="en-US" w:eastAsia="zh-CN"/>
        </w:rPr>
        <w:t>由表</w:t>
      </w:r>
      <w:r>
        <w:rPr>
          <w:rFonts w:hint="default"/>
          <w:color w:val="auto"/>
          <w:lang w:val="en-US" w:eastAsia="zh-CN"/>
        </w:rPr>
        <w:t>2.</w:t>
      </w:r>
      <w:r>
        <w:rPr>
          <w:rFonts w:hint="eastAsia"/>
          <w:color w:val="auto"/>
          <w:lang w:val="en-US" w:eastAsia="zh-CN"/>
        </w:rPr>
        <w:t>4</w:t>
      </w:r>
      <w:r>
        <w:rPr>
          <w:rFonts w:hint="default"/>
          <w:color w:val="auto"/>
          <w:lang w:val="en-US" w:eastAsia="zh-CN"/>
        </w:rPr>
        <w:t>-1</w:t>
      </w:r>
      <w:r>
        <w:rPr>
          <w:rFonts w:hint="eastAsia"/>
          <w:color w:val="auto"/>
          <w:lang w:val="en-US" w:eastAsia="zh-CN"/>
        </w:rPr>
        <w:t>可知：</w:t>
      </w:r>
    </w:p>
    <w:p>
      <w:pPr>
        <w:bidi w:val="0"/>
        <w:rPr>
          <w:color w:val="auto"/>
        </w:rPr>
      </w:pPr>
      <w:r>
        <w:rPr>
          <w:rFonts w:hint="eastAsia"/>
          <w:color w:val="auto"/>
          <w:lang w:val="en-US" w:eastAsia="zh-CN"/>
        </w:rPr>
        <w:t>项目运营过程中的主要污染因素包括：废气、废水、噪声、固体废物等。具体如下：</w:t>
      </w:r>
    </w:p>
    <w:p>
      <w:pPr>
        <w:bidi w:val="0"/>
        <w:rPr>
          <w:color w:val="auto"/>
        </w:rPr>
      </w:pPr>
      <w:r>
        <w:rPr>
          <w:rFonts w:hint="eastAsia"/>
          <w:color w:val="auto"/>
          <w:lang w:val="en-US" w:eastAsia="zh-CN"/>
        </w:rPr>
        <w:t>（1）废气</w:t>
      </w:r>
    </w:p>
    <w:p>
      <w:pPr>
        <w:bidi w:val="0"/>
        <w:rPr>
          <w:color w:val="auto"/>
        </w:rPr>
      </w:pPr>
      <w:r>
        <w:rPr>
          <w:rFonts w:hint="eastAsia"/>
          <w:color w:val="auto"/>
          <w:lang w:val="en-US" w:eastAsia="zh-CN"/>
        </w:rPr>
        <w:t>主要是污水处理站产生的恶臭气体、实验室检验废气。</w:t>
      </w:r>
    </w:p>
    <w:p>
      <w:pPr>
        <w:bidi w:val="0"/>
        <w:rPr>
          <w:color w:val="auto"/>
        </w:rPr>
      </w:pPr>
      <w:r>
        <w:rPr>
          <w:rFonts w:hint="eastAsia"/>
          <w:color w:val="auto"/>
          <w:lang w:val="en-US" w:eastAsia="zh-CN"/>
        </w:rPr>
        <w:t>（2）废水</w:t>
      </w:r>
    </w:p>
    <w:p>
      <w:pPr>
        <w:bidi w:val="0"/>
        <w:rPr>
          <w:color w:val="auto"/>
        </w:rPr>
      </w:pPr>
      <w:r>
        <w:rPr>
          <w:rFonts w:hint="eastAsia"/>
          <w:color w:val="auto"/>
          <w:lang w:val="en-US" w:eastAsia="zh-CN"/>
        </w:rPr>
        <w:t>主要是实验室废水、生活污水等。</w:t>
      </w:r>
    </w:p>
    <w:p>
      <w:pPr>
        <w:bidi w:val="0"/>
        <w:rPr>
          <w:color w:val="auto"/>
        </w:rPr>
      </w:pPr>
      <w:r>
        <w:rPr>
          <w:rFonts w:hint="eastAsia"/>
          <w:color w:val="auto"/>
          <w:lang w:val="en-US" w:eastAsia="zh-CN"/>
        </w:rPr>
        <w:t>（3）噪声</w:t>
      </w:r>
    </w:p>
    <w:p>
      <w:pPr>
        <w:bidi w:val="0"/>
        <w:rPr>
          <w:color w:val="auto"/>
        </w:rPr>
      </w:pPr>
      <w:r>
        <w:rPr>
          <w:rFonts w:hint="eastAsia"/>
          <w:color w:val="auto"/>
          <w:lang w:val="en-US" w:eastAsia="zh-CN"/>
        </w:rPr>
        <w:t>主要是污水处理站、空调外机以及社会活动噪声等。</w:t>
      </w:r>
    </w:p>
    <w:p>
      <w:pPr>
        <w:bidi w:val="0"/>
        <w:rPr>
          <w:color w:val="auto"/>
        </w:rPr>
      </w:pPr>
      <w:r>
        <w:rPr>
          <w:rFonts w:hint="eastAsia"/>
          <w:color w:val="auto"/>
          <w:lang w:val="en-US" w:eastAsia="zh-CN"/>
        </w:rPr>
        <w:t>（4）固体废物</w:t>
      </w:r>
    </w:p>
    <w:p>
      <w:pPr>
        <w:bidi w:val="0"/>
        <w:rPr>
          <w:color w:val="auto"/>
        </w:rPr>
      </w:pPr>
      <w:r>
        <w:rPr>
          <w:rFonts w:hint="eastAsia"/>
          <w:color w:val="auto"/>
          <w:lang w:val="en-US" w:eastAsia="zh-CN"/>
        </w:rPr>
        <w:t>项目固体废物主要为一般固废、危险废物和生活垃圾。</w:t>
      </w:r>
    </w:p>
    <w:p>
      <w:pPr>
        <w:pStyle w:val="6"/>
        <w:bidi w:val="0"/>
        <w:outlineLvl w:val="1"/>
        <w:rPr>
          <w:rFonts w:hint="eastAsia"/>
          <w:color w:val="auto"/>
          <w:lang w:val="en-US" w:eastAsia="zh-CN"/>
        </w:rPr>
      </w:pPr>
      <w:bookmarkStart w:id="18" w:name="_Toc29780"/>
      <w:r>
        <w:rPr>
          <w:rFonts w:hint="eastAsia"/>
          <w:color w:val="auto"/>
          <w:lang w:val="en-US" w:eastAsia="zh-CN"/>
        </w:rPr>
        <w:t>2.4.2主要评价因子筛选</w:t>
      </w:r>
      <w:bookmarkEnd w:id="18"/>
    </w:p>
    <w:p>
      <w:pPr>
        <w:bidi w:val="0"/>
        <w:rPr>
          <w:color w:val="auto"/>
        </w:rPr>
      </w:pPr>
      <w:r>
        <w:rPr>
          <w:color w:val="auto"/>
        </w:rPr>
        <w:t>通过对本项目实施过程及实施后产生的环境污染因素及污染因子进行分析，筛选确定环境影响评价因子。</w:t>
      </w:r>
    </w:p>
    <w:p>
      <w:pPr>
        <w:bidi w:val="0"/>
        <w:rPr>
          <w:color w:val="auto"/>
        </w:rPr>
      </w:pPr>
      <w:r>
        <w:rPr>
          <w:color w:val="auto"/>
        </w:rPr>
        <w:t>①大气环境</w:t>
      </w:r>
    </w:p>
    <w:p>
      <w:pPr>
        <w:bidi w:val="0"/>
        <w:rPr>
          <w:color w:val="auto"/>
        </w:rPr>
      </w:pPr>
      <w:r>
        <w:rPr>
          <w:color w:val="auto"/>
        </w:rPr>
        <w:t>现状评价因子：CO、PM</w:t>
      </w:r>
      <w:r>
        <w:rPr>
          <w:color w:val="auto"/>
          <w:vertAlign w:val="subscript"/>
        </w:rPr>
        <w:t>10</w:t>
      </w:r>
      <w:r>
        <w:rPr>
          <w:color w:val="auto"/>
        </w:rPr>
        <w:t>、PM</w:t>
      </w:r>
      <w:r>
        <w:rPr>
          <w:color w:val="auto"/>
          <w:vertAlign w:val="subscript"/>
        </w:rPr>
        <w:t>2.5</w:t>
      </w:r>
      <w:r>
        <w:rPr>
          <w:color w:val="auto"/>
        </w:rPr>
        <w:t>、SO</w:t>
      </w:r>
      <w:r>
        <w:rPr>
          <w:color w:val="auto"/>
          <w:vertAlign w:val="subscript"/>
        </w:rPr>
        <w:t>2</w:t>
      </w:r>
      <w:r>
        <w:rPr>
          <w:color w:val="auto"/>
        </w:rPr>
        <w:t>、NO</w:t>
      </w:r>
      <w:r>
        <w:rPr>
          <w:color w:val="auto"/>
          <w:vertAlign w:val="subscript"/>
        </w:rPr>
        <w:t>2</w:t>
      </w:r>
      <w:r>
        <w:rPr>
          <w:color w:val="auto"/>
        </w:rPr>
        <w:t>、O</w:t>
      </w:r>
      <w:r>
        <w:rPr>
          <w:color w:val="auto"/>
          <w:vertAlign w:val="subscript"/>
        </w:rPr>
        <w:t>3</w:t>
      </w:r>
      <w:r>
        <w:rPr>
          <w:color w:val="auto"/>
        </w:rPr>
        <w:t>、H</w:t>
      </w:r>
      <w:r>
        <w:rPr>
          <w:color w:val="auto"/>
          <w:vertAlign w:val="subscript"/>
        </w:rPr>
        <w:t>2</w:t>
      </w:r>
      <w:r>
        <w:rPr>
          <w:color w:val="auto"/>
        </w:rPr>
        <w:t>S、NH</w:t>
      </w:r>
      <w:r>
        <w:rPr>
          <w:color w:val="auto"/>
          <w:vertAlign w:val="subscript"/>
        </w:rPr>
        <w:t>3</w:t>
      </w:r>
      <w:r>
        <w:rPr>
          <w:color w:val="auto"/>
        </w:rPr>
        <w:t>；</w:t>
      </w:r>
    </w:p>
    <w:p>
      <w:pPr>
        <w:bidi w:val="0"/>
        <w:rPr>
          <w:color w:val="auto"/>
        </w:rPr>
      </w:pPr>
      <w:r>
        <w:rPr>
          <w:color w:val="auto"/>
        </w:rPr>
        <w:t>预测评价因子：H</w:t>
      </w:r>
      <w:r>
        <w:rPr>
          <w:color w:val="auto"/>
          <w:vertAlign w:val="subscript"/>
        </w:rPr>
        <w:t>2</w:t>
      </w:r>
      <w:r>
        <w:rPr>
          <w:color w:val="auto"/>
        </w:rPr>
        <w:t>S、NH</w:t>
      </w:r>
      <w:r>
        <w:rPr>
          <w:color w:val="auto"/>
          <w:vertAlign w:val="subscript"/>
        </w:rPr>
        <w:t>3</w:t>
      </w:r>
      <w:r>
        <w:rPr>
          <w:color w:val="auto"/>
        </w:rPr>
        <w:t>、臭气浓度。</w:t>
      </w:r>
    </w:p>
    <w:p>
      <w:pPr>
        <w:bidi w:val="0"/>
        <w:rPr>
          <w:color w:val="auto"/>
        </w:rPr>
      </w:pPr>
      <w:r>
        <w:rPr>
          <w:color w:val="auto"/>
        </w:rPr>
        <w:t>②水环境</w:t>
      </w:r>
    </w:p>
    <w:p>
      <w:pPr>
        <w:bidi w:val="0"/>
        <w:rPr>
          <w:color w:val="auto"/>
        </w:rPr>
      </w:pPr>
      <w:r>
        <w:rPr>
          <w:color w:val="auto"/>
        </w:rPr>
        <w:t>地表水环境评价因子：</w:t>
      </w:r>
      <w:r>
        <w:rPr>
          <w:rFonts w:hint="eastAsia"/>
          <w:color w:val="auto"/>
          <w:lang w:val="en-US" w:eastAsia="zh-CN"/>
        </w:rPr>
        <w:t>pH</w:t>
      </w:r>
      <w:r>
        <w:rPr>
          <w:color w:val="auto"/>
        </w:rPr>
        <w:t>、溶解氧、COD、BOD、氨氮、总磷、总氮、氟化物、氰化物、六价铬、铅、汞、粪大肠菌群；</w:t>
      </w:r>
    </w:p>
    <w:p>
      <w:pPr>
        <w:bidi w:val="0"/>
        <w:rPr>
          <w:color w:val="auto"/>
        </w:rPr>
      </w:pPr>
      <w:r>
        <w:rPr>
          <w:color w:val="auto"/>
        </w:rPr>
        <w:t>按照地下水导则要求，Ⅳ类项目可不开展地下水环境影响评价，因此，项目仅对地下水进行简单分析。</w:t>
      </w:r>
    </w:p>
    <w:p>
      <w:pPr>
        <w:bidi w:val="0"/>
        <w:rPr>
          <w:color w:val="auto"/>
        </w:rPr>
      </w:pPr>
      <w:r>
        <w:rPr>
          <w:color w:val="auto"/>
        </w:rPr>
        <w:t>③声环境</w:t>
      </w:r>
    </w:p>
    <w:p>
      <w:pPr>
        <w:bidi w:val="0"/>
        <w:rPr>
          <w:color w:val="auto"/>
        </w:rPr>
      </w:pPr>
      <w:r>
        <w:rPr>
          <w:color w:val="auto"/>
        </w:rPr>
        <w:t>现状评价因子：等效连续A声级Leq[dB(A)]；</w:t>
      </w:r>
    </w:p>
    <w:p>
      <w:pPr>
        <w:bidi w:val="0"/>
        <w:rPr>
          <w:color w:val="auto"/>
        </w:rPr>
      </w:pPr>
      <w:r>
        <w:rPr>
          <w:color w:val="auto"/>
        </w:rPr>
        <w:t>预测评价因子：等效连续A声级Leq[dB(A)]。</w:t>
      </w:r>
    </w:p>
    <w:p>
      <w:pPr>
        <w:bidi w:val="0"/>
        <w:rPr>
          <w:color w:val="auto"/>
        </w:rPr>
      </w:pPr>
      <w:r>
        <w:rPr>
          <w:color w:val="auto"/>
        </w:rPr>
        <w:t>④固体废物</w:t>
      </w:r>
    </w:p>
    <w:p>
      <w:pPr>
        <w:bidi w:val="0"/>
        <w:rPr>
          <w:color w:val="auto"/>
        </w:rPr>
      </w:pPr>
      <w:r>
        <w:rPr>
          <w:color w:val="auto"/>
        </w:rPr>
        <w:t>生活垃圾、医疗废物、实验废液及过期化学药品及试剂、废活性炭、废滤芯、废离子交换树脂、污水站污泥。</w:t>
      </w:r>
    </w:p>
    <w:p>
      <w:pPr>
        <w:pStyle w:val="5"/>
        <w:bidi w:val="0"/>
        <w:outlineLvl w:val="0"/>
        <w:rPr>
          <w:rFonts w:hint="default"/>
          <w:color w:val="auto"/>
          <w:lang w:val="en-US" w:eastAsia="zh-CN"/>
        </w:rPr>
      </w:pPr>
      <w:bookmarkStart w:id="19" w:name="_Toc3542"/>
      <w:r>
        <w:rPr>
          <w:rFonts w:hint="eastAsia"/>
          <w:color w:val="auto"/>
          <w:lang w:val="en-US" w:eastAsia="zh-CN"/>
        </w:rPr>
        <w:t>2.5评价标准</w:t>
      </w:r>
      <w:bookmarkEnd w:id="19"/>
    </w:p>
    <w:p>
      <w:pPr>
        <w:pStyle w:val="6"/>
        <w:bidi w:val="0"/>
        <w:outlineLvl w:val="1"/>
        <w:rPr>
          <w:rFonts w:hint="default"/>
          <w:color w:val="auto"/>
          <w:lang w:val="en-US" w:eastAsia="zh-CN"/>
        </w:rPr>
      </w:pPr>
      <w:bookmarkStart w:id="20" w:name="_Toc1180"/>
      <w:r>
        <w:rPr>
          <w:rFonts w:hint="eastAsia"/>
          <w:color w:val="auto"/>
          <w:lang w:val="en-US" w:eastAsia="zh-CN"/>
        </w:rPr>
        <w:t>2.5.1环境质量标准</w:t>
      </w:r>
      <w:bookmarkEnd w:id="20"/>
    </w:p>
    <w:p>
      <w:pPr>
        <w:bidi w:val="0"/>
        <w:rPr>
          <w:color w:val="auto"/>
        </w:rPr>
      </w:pPr>
      <w:r>
        <w:rPr>
          <w:color w:val="auto"/>
        </w:rPr>
        <w:t>（1）环境空气</w:t>
      </w:r>
    </w:p>
    <w:p>
      <w:pPr>
        <w:bidi w:val="0"/>
        <w:rPr>
          <w:color w:val="auto"/>
        </w:rPr>
      </w:pPr>
      <w:r>
        <w:rPr>
          <w:rFonts w:hint="eastAsia"/>
          <w:color w:val="auto"/>
          <w:lang w:val="en-US" w:eastAsia="zh-CN"/>
        </w:rPr>
        <w:t>项目所在区域</w:t>
      </w:r>
      <w:r>
        <w:rPr>
          <w:color w:val="auto"/>
        </w:rPr>
        <w:t>环境空气</w:t>
      </w:r>
      <w:r>
        <w:rPr>
          <w:rFonts w:hint="eastAsia"/>
          <w:color w:val="auto"/>
          <w:lang w:val="en-US" w:eastAsia="zh-CN"/>
        </w:rPr>
        <w:t>质量</w:t>
      </w:r>
      <w:r>
        <w:rPr>
          <w:color w:val="auto"/>
        </w:rPr>
        <w:t>执行《环境空气质量标准》（GB3095-2012）</w:t>
      </w:r>
      <w:r>
        <w:rPr>
          <w:rFonts w:hint="eastAsia"/>
          <w:color w:val="auto"/>
          <w:lang w:val="en-US" w:eastAsia="zh-CN"/>
        </w:rPr>
        <w:t>及修改单（</w:t>
      </w:r>
      <w:r>
        <w:rPr>
          <w:rFonts w:hint="default"/>
          <w:color w:val="auto"/>
          <w:lang w:val="en-US" w:eastAsia="zh-CN"/>
        </w:rPr>
        <w:t>2018</w:t>
      </w:r>
      <w:r>
        <w:rPr>
          <w:rFonts w:hint="eastAsia"/>
          <w:color w:val="auto"/>
          <w:lang w:val="en-US" w:eastAsia="zh-CN"/>
        </w:rPr>
        <w:t>年）</w:t>
      </w:r>
      <w:r>
        <w:rPr>
          <w:color w:val="auto"/>
        </w:rPr>
        <w:t>中二级标准</w:t>
      </w:r>
      <w:r>
        <w:rPr>
          <w:rFonts w:hint="eastAsia"/>
          <w:color w:val="auto"/>
          <w:lang w:eastAsia="zh-CN"/>
        </w:rPr>
        <w:t>，</w:t>
      </w:r>
      <w:r>
        <w:rPr>
          <w:rFonts w:hint="default"/>
          <w:color w:val="auto"/>
          <w:lang w:val="en-US" w:eastAsia="zh-CN"/>
        </w:rPr>
        <w:t>NH</w:t>
      </w:r>
      <w:r>
        <w:rPr>
          <w:rFonts w:hint="default"/>
          <w:color w:val="auto"/>
          <w:vertAlign w:val="subscript"/>
          <w:lang w:val="en-US" w:eastAsia="zh-CN"/>
        </w:rPr>
        <w:t>3</w:t>
      </w:r>
      <w:r>
        <w:rPr>
          <w:rFonts w:hint="eastAsia"/>
          <w:color w:val="auto"/>
          <w:lang w:val="en-US" w:eastAsia="zh-CN"/>
        </w:rPr>
        <w:t>、</w:t>
      </w:r>
      <w:r>
        <w:rPr>
          <w:rFonts w:hint="default"/>
          <w:color w:val="auto"/>
          <w:lang w:val="en-US" w:eastAsia="zh-CN"/>
        </w:rPr>
        <w:t>H</w:t>
      </w:r>
      <w:r>
        <w:rPr>
          <w:rFonts w:hint="default"/>
          <w:color w:val="auto"/>
          <w:vertAlign w:val="subscript"/>
          <w:lang w:val="en-US" w:eastAsia="zh-CN"/>
        </w:rPr>
        <w:t>2</w:t>
      </w:r>
      <w:r>
        <w:rPr>
          <w:rFonts w:hint="default"/>
          <w:color w:val="auto"/>
          <w:lang w:val="en-US" w:eastAsia="zh-CN"/>
        </w:rPr>
        <w:t>S</w:t>
      </w:r>
      <w:r>
        <w:rPr>
          <w:rFonts w:hint="eastAsia"/>
          <w:color w:val="auto"/>
          <w:lang w:val="en-US" w:eastAsia="zh-CN"/>
        </w:rPr>
        <w:t>执行</w:t>
      </w:r>
      <w:r>
        <w:rPr>
          <w:color w:val="auto"/>
        </w:rPr>
        <w:t>《</w:t>
      </w:r>
      <w:r>
        <w:rPr>
          <w:rFonts w:hint="eastAsia"/>
          <w:color w:val="auto"/>
          <w:lang w:eastAsia="zh-CN"/>
        </w:rPr>
        <w:t>环境影响评价技术导则大气环境</w:t>
      </w:r>
      <w:r>
        <w:rPr>
          <w:color w:val="auto"/>
        </w:rPr>
        <w:t>》（HJ2.2-2018）附录D</w:t>
      </w:r>
      <w:r>
        <w:rPr>
          <w:rFonts w:hint="eastAsia"/>
          <w:color w:val="auto"/>
          <w:lang w:val="en-US" w:eastAsia="zh-CN"/>
        </w:rPr>
        <w:t>参考限值</w:t>
      </w:r>
      <w:r>
        <w:rPr>
          <w:color w:val="auto"/>
        </w:rPr>
        <w:t>，非甲烷总烃执行《大气污染物综合排放标准》</w:t>
      </w:r>
      <w:r>
        <w:rPr>
          <w:rFonts w:hint="eastAsia"/>
          <w:color w:val="auto"/>
          <w:lang w:eastAsia="zh-CN"/>
        </w:rPr>
        <w:t>（</w:t>
      </w:r>
      <w:r>
        <w:rPr>
          <w:color w:val="auto"/>
        </w:rPr>
        <w:t>GB16297-1996</w:t>
      </w:r>
      <w:r>
        <w:rPr>
          <w:rFonts w:hint="eastAsia"/>
          <w:color w:val="auto"/>
          <w:lang w:eastAsia="zh-CN"/>
        </w:rPr>
        <w:t>）</w:t>
      </w:r>
      <w:r>
        <w:rPr>
          <w:color w:val="auto"/>
        </w:rPr>
        <w:t>详解中的标准</w:t>
      </w:r>
      <w:r>
        <w:rPr>
          <w:rFonts w:hint="eastAsia"/>
          <w:color w:val="auto"/>
          <w:lang w:eastAsia="zh-CN"/>
        </w:rPr>
        <w:t>，</w:t>
      </w:r>
      <w:r>
        <w:rPr>
          <w:color w:val="auto"/>
        </w:rPr>
        <w:t>各污染物标准限值见表2.</w:t>
      </w:r>
      <w:r>
        <w:rPr>
          <w:rFonts w:hint="eastAsia"/>
          <w:color w:val="auto"/>
          <w:lang w:val="en-US" w:eastAsia="zh-CN"/>
        </w:rPr>
        <w:t>5</w:t>
      </w:r>
      <w:r>
        <w:rPr>
          <w:color w:val="auto"/>
        </w:rPr>
        <w:t>-</w:t>
      </w:r>
      <w:r>
        <w:rPr>
          <w:rFonts w:hint="eastAsia"/>
          <w:color w:val="auto"/>
          <w:lang w:val="en-US" w:eastAsia="zh-CN"/>
        </w:rPr>
        <w:t>1</w:t>
      </w:r>
      <w:r>
        <w:rPr>
          <w:color w:val="auto"/>
        </w:rPr>
        <w:t>。</w:t>
      </w:r>
    </w:p>
    <w:p>
      <w:pPr>
        <w:pStyle w:val="22"/>
        <w:bidi w:val="0"/>
        <w:rPr>
          <w:b/>
          <w:bCs/>
          <w:color w:val="auto"/>
        </w:rPr>
      </w:pPr>
      <w:r>
        <w:rPr>
          <w:b/>
          <w:bCs/>
          <w:color w:val="auto"/>
        </w:rPr>
        <w:t>表2.</w:t>
      </w:r>
      <w:r>
        <w:rPr>
          <w:rFonts w:hint="eastAsia"/>
          <w:b/>
          <w:bCs/>
          <w:color w:val="auto"/>
          <w:lang w:val="en-US" w:eastAsia="zh-CN"/>
        </w:rPr>
        <w:t>5</w:t>
      </w:r>
      <w:r>
        <w:rPr>
          <w:b/>
          <w:bCs/>
          <w:color w:val="auto"/>
        </w:rPr>
        <w:t>-</w:t>
      </w:r>
      <w:r>
        <w:rPr>
          <w:rFonts w:hint="eastAsia"/>
          <w:b/>
          <w:bCs/>
          <w:color w:val="auto"/>
          <w:lang w:val="en-US" w:eastAsia="zh-CN"/>
        </w:rPr>
        <w:t>1</w:t>
      </w:r>
      <w:r>
        <w:rPr>
          <w:b/>
          <w:bCs/>
          <w:color w:val="auto"/>
        </w:rPr>
        <w:t>环境空气质量标准摘录</w:t>
      </w:r>
    </w:p>
    <w:tbl>
      <w:tblPr>
        <w:tblStyle w:val="23"/>
        <w:tblW w:w="8434" w:type="dxa"/>
        <w:tblInd w:w="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6"/>
        <w:gridCol w:w="1369"/>
        <w:gridCol w:w="1960"/>
        <w:gridCol w:w="1838"/>
        <w:gridCol w:w="25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trPr>
        <w:tc>
          <w:tcPr>
            <w:tcW w:w="706" w:type="dxa"/>
            <w:vMerge w:val="restart"/>
            <w:tcBorders>
              <w:tl2br w:val="nil"/>
              <w:tr2bl w:val="nil"/>
            </w:tcBorders>
            <w:vAlign w:val="center"/>
          </w:tcPr>
          <w:p>
            <w:pPr>
              <w:pStyle w:val="22"/>
              <w:bidi w:val="0"/>
              <w:jc w:val="center"/>
              <w:rPr>
                <w:b/>
                <w:bCs/>
                <w:color w:val="auto"/>
              </w:rPr>
            </w:pPr>
            <w:r>
              <w:rPr>
                <w:b/>
                <w:bCs/>
                <w:color w:val="auto"/>
              </w:rPr>
              <w:t>序号</w:t>
            </w:r>
          </w:p>
        </w:tc>
        <w:tc>
          <w:tcPr>
            <w:tcW w:w="1369" w:type="dxa"/>
            <w:vMerge w:val="restart"/>
            <w:tcBorders>
              <w:tl2br w:val="nil"/>
              <w:tr2bl w:val="nil"/>
            </w:tcBorders>
            <w:vAlign w:val="center"/>
          </w:tcPr>
          <w:p>
            <w:pPr>
              <w:pStyle w:val="22"/>
              <w:bidi w:val="0"/>
              <w:jc w:val="center"/>
              <w:rPr>
                <w:b/>
                <w:bCs/>
                <w:color w:val="auto"/>
              </w:rPr>
            </w:pPr>
            <w:r>
              <w:rPr>
                <w:b/>
                <w:bCs/>
                <w:color w:val="auto"/>
              </w:rPr>
              <w:t>污染物名称</w:t>
            </w:r>
          </w:p>
        </w:tc>
        <w:tc>
          <w:tcPr>
            <w:tcW w:w="1960" w:type="dxa"/>
            <w:vMerge w:val="restart"/>
            <w:tcBorders>
              <w:tl2br w:val="nil"/>
              <w:tr2bl w:val="nil"/>
            </w:tcBorders>
            <w:vAlign w:val="center"/>
          </w:tcPr>
          <w:p>
            <w:pPr>
              <w:pStyle w:val="22"/>
              <w:bidi w:val="0"/>
              <w:jc w:val="center"/>
              <w:rPr>
                <w:b/>
                <w:bCs/>
                <w:color w:val="auto"/>
              </w:rPr>
            </w:pPr>
            <w:r>
              <w:rPr>
                <w:b/>
                <w:bCs/>
                <w:color w:val="auto"/>
              </w:rPr>
              <w:t>取值时间</w:t>
            </w:r>
          </w:p>
        </w:tc>
        <w:tc>
          <w:tcPr>
            <w:tcW w:w="4399" w:type="dxa"/>
            <w:gridSpan w:val="2"/>
            <w:tcBorders>
              <w:tl2br w:val="nil"/>
              <w:tr2bl w:val="nil"/>
            </w:tcBorders>
            <w:vAlign w:val="center"/>
          </w:tcPr>
          <w:p>
            <w:pPr>
              <w:pStyle w:val="22"/>
              <w:bidi w:val="0"/>
              <w:jc w:val="center"/>
              <w:rPr>
                <w:b/>
                <w:bCs/>
                <w:color w:val="auto"/>
              </w:rPr>
            </w:pPr>
            <w:r>
              <w:rPr>
                <w:b/>
                <w:bCs/>
                <w:color w:val="auto"/>
              </w:rPr>
              <w:t>本次评价标准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706" w:type="dxa"/>
            <w:vMerge w:val="continue"/>
            <w:tcBorders>
              <w:tl2br w:val="nil"/>
              <w:tr2bl w:val="nil"/>
            </w:tcBorders>
            <w:vAlign w:val="center"/>
          </w:tcPr>
          <w:p>
            <w:pPr>
              <w:pStyle w:val="22"/>
              <w:bidi w:val="0"/>
              <w:jc w:val="center"/>
              <w:rPr>
                <w:b/>
                <w:bCs/>
                <w:color w:val="auto"/>
              </w:rPr>
            </w:pPr>
          </w:p>
        </w:tc>
        <w:tc>
          <w:tcPr>
            <w:tcW w:w="1369" w:type="dxa"/>
            <w:vMerge w:val="continue"/>
            <w:tcBorders>
              <w:tl2br w:val="nil"/>
              <w:tr2bl w:val="nil"/>
            </w:tcBorders>
            <w:vAlign w:val="center"/>
          </w:tcPr>
          <w:p>
            <w:pPr>
              <w:pStyle w:val="22"/>
              <w:bidi w:val="0"/>
              <w:jc w:val="center"/>
              <w:rPr>
                <w:b/>
                <w:bCs/>
                <w:color w:val="auto"/>
              </w:rPr>
            </w:pPr>
          </w:p>
        </w:tc>
        <w:tc>
          <w:tcPr>
            <w:tcW w:w="1960" w:type="dxa"/>
            <w:vMerge w:val="continue"/>
            <w:tcBorders>
              <w:tl2br w:val="nil"/>
              <w:tr2bl w:val="nil"/>
            </w:tcBorders>
            <w:vAlign w:val="center"/>
          </w:tcPr>
          <w:p>
            <w:pPr>
              <w:pStyle w:val="22"/>
              <w:bidi w:val="0"/>
              <w:jc w:val="center"/>
              <w:rPr>
                <w:b/>
                <w:bCs/>
                <w:color w:val="auto"/>
              </w:rPr>
            </w:pPr>
          </w:p>
        </w:tc>
        <w:tc>
          <w:tcPr>
            <w:tcW w:w="1838" w:type="dxa"/>
            <w:tcBorders>
              <w:tl2br w:val="nil"/>
              <w:tr2bl w:val="nil"/>
            </w:tcBorders>
            <w:vAlign w:val="center"/>
          </w:tcPr>
          <w:p>
            <w:pPr>
              <w:pStyle w:val="22"/>
              <w:bidi w:val="0"/>
              <w:jc w:val="center"/>
              <w:rPr>
                <w:b/>
                <w:bCs/>
                <w:color w:val="auto"/>
              </w:rPr>
            </w:pPr>
            <w:r>
              <w:rPr>
                <w:b/>
                <w:bCs/>
                <w:color w:val="auto"/>
              </w:rPr>
              <w:t>标准值（mg/m</w:t>
            </w:r>
            <w:r>
              <w:rPr>
                <w:b/>
                <w:bCs/>
                <w:color w:val="auto"/>
                <w:vertAlign w:val="superscript"/>
              </w:rPr>
              <w:t>3</w:t>
            </w:r>
            <w:r>
              <w:rPr>
                <w:b/>
                <w:bCs/>
                <w:color w:val="auto"/>
              </w:rPr>
              <w:t>）</w:t>
            </w:r>
          </w:p>
        </w:tc>
        <w:tc>
          <w:tcPr>
            <w:tcW w:w="2561" w:type="dxa"/>
            <w:tcBorders>
              <w:tl2br w:val="nil"/>
              <w:tr2bl w:val="nil"/>
            </w:tcBorders>
            <w:vAlign w:val="center"/>
          </w:tcPr>
          <w:p>
            <w:pPr>
              <w:pStyle w:val="22"/>
              <w:bidi w:val="0"/>
              <w:jc w:val="center"/>
              <w:rPr>
                <w:b/>
                <w:bCs/>
                <w:color w:val="auto"/>
              </w:rPr>
            </w:pPr>
            <w:r>
              <w:rPr>
                <w:b/>
                <w:bCs/>
                <w:color w:val="auto"/>
              </w:rPr>
              <w:t>标准来源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706" w:type="dxa"/>
            <w:vMerge w:val="restart"/>
            <w:tcBorders>
              <w:tl2br w:val="nil"/>
              <w:tr2bl w:val="nil"/>
            </w:tcBorders>
            <w:vAlign w:val="center"/>
          </w:tcPr>
          <w:p>
            <w:pPr>
              <w:pStyle w:val="22"/>
              <w:bidi w:val="0"/>
              <w:jc w:val="center"/>
              <w:rPr>
                <w:color w:val="auto"/>
              </w:rPr>
            </w:pPr>
            <w:r>
              <w:rPr>
                <w:color w:val="auto"/>
              </w:rPr>
              <w:t>1</w:t>
            </w:r>
          </w:p>
        </w:tc>
        <w:tc>
          <w:tcPr>
            <w:tcW w:w="1369" w:type="dxa"/>
            <w:vMerge w:val="restart"/>
            <w:tcBorders>
              <w:tl2br w:val="nil"/>
              <w:tr2bl w:val="nil"/>
            </w:tcBorders>
            <w:vAlign w:val="center"/>
          </w:tcPr>
          <w:p>
            <w:pPr>
              <w:pStyle w:val="22"/>
              <w:bidi w:val="0"/>
              <w:jc w:val="center"/>
              <w:rPr>
                <w:color w:val="auto"/>
              </w:rPr>
            </w:pPr>
            <w:r>
              <w:rPr>
                <w:color w:val="auto"/>
              </w:rPr>
              <w:t>PM</w:t>
            </w:r>
            <w:r>
              <w:rPr>
                <w:color w:val="auto"/>
                <w:vertAlign w:val="subscript"/>
              </w:rPr>
              <w:t>10</w:t>
            </w:r>
          </w:p>
        </w:tc>
        <w:tc>
          <w:tcPr>
            <w:tcW w:w="1960" w:type="dxa"/>
            <w:tcBorders>
              <w:tl2br w:val="nil"/>
              <w:tr2bl w:val="nil"/>
            </w:tcBorders>
            <w:vAlign w:val="center"/>
          </w:tcPr>
          <w:p>
            <w:pPr>
              <w:pStyle w:val="22"/>
              <w:bidi w:val="0"/>
              <w:jc w:val="center"/>
              <w:rPr>
                <w:color w:val="auto"/>
              </w:rPr>
            </w:pPr>
            <w:r>
              <w:rPr>
                <w:color w:val="auto"/>
              </w:rPr>
              <w:t>年平均</w:t>
            </w:r>
          </w:p>
        </w:tc>
        <w:tc>
          <w:tcPr>
            <w:tcW w:w="1838" w:type="dxa"/>
            <w:tcBorders>
              <w:tl2br w:val="nil"/>
              <w:tr2bl w:val="nil"/>
            </w:tcBorders>
            <w:vAlign w:val="center"/>
          </w:tcPr>
          <w:p>
            <w:pPr>
              <w:pStyle w:val="22"/>
              <w:bidi w:val="0"/>
              <w:jc w:val="center"/>
              <w:rPr>
                <w:color w:val="auto"/>
              </w:rPr>
            </w:pPr>
            <w:r>
              <w:rPr>
                <w:color w:val="auto"/>
              </w:rPr>
              <w:t>0.07</w:t>
            </w:r>
          </w:p>
        </w:tc>
        <w:tc>
          <w:tcPr>
            <w:tcW w:w="2561" w:type="dxa"/>
            <w:vMerge w:val="restart"/>
            <w:tcBorders>
              <w:tl2br w:val="nil"/>
              <w:tr2bl w:val="nil"/>
            </w:tcBorders>
            <w:vAlign w:val="center"/>
          </w:tcPr>
          <w:p>
            <w:pPr>
              <w:pStyle w:val="22"/>
              <w:bidi w:val="0"/>
              <w:jc w:val="center"/>
              <w:rPr>
                <w:color w:val="auto"/>
              </w:rPr>
            </w:pPr>
            <w:r>
              <w:rPr>
                <w:color w:val="auto"/>
              </w:rPr>
              <w:t>（GB3095-2012）及其修改单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706" w:type="dxa"/>
            <w:vMerge w:val="continue"/>
            <w:tcBorders>
              <w:tl2br w:val="nil"/>
              <w:tr2bl w:val="nil"/>
            </w:tcBorders>
            <w:vAlign w:val="center"/>
          </w:tcPr>
          <w:p>
            <w:pPr>
              <w:pStyle w:val="22"/>
              <w:bidi w:val="0"/>
              <w:jc w:val="center"/>
              <w:rPr>
                <w:color w:val="auto"/>
              </w:rPr>
            </w:pPr>
          </w:p>
        </w:tc>
        <w:tc>
          <w:tcPr>
            <w:tcW w:w="1369" w:type="dxa"/>
            <w:vMerge w:val="continue"/>
            <w:tcBorders>
              <w:tl2br w:val="nil"/>
              <w:tr2bl w:val="nil"/>
            </w:tcBorders>
            <w:vAlign w:val="center"/>
          </w:tcPr>
          <w:p>
            <w:pPr>
              <w:pStyle w:val="22"/>
              <w:bidi w:val="0"/>
              <w:jc w:val="center"/>
              <w:rPr>
                <w:color w:val="auto"/>
              </w:rPr>
            </w:pPr>
          </w:p>
        </w:tc>
        <w:tc>
          <w:tcPr>
            <w:tcW w:w="1960" w:type="dxa"/>
            <w:tcBorders>
              <w:tl2br w:val="nil"/>
              <w:tr2bl w:val="nil"/>
            </w:tcBorders>
            <w:vAlign w:val="center"/>
          </w:tcPr>
          <w:p>
            <w:pPr>
              <w:pStyle w:val="22"/>
              <w:bidi w:val="0"/>
              <w:jc w:val="center"/>
              <w:rPr>
                <w:color w:val="auto"/>
              </w:rPr>
            </w:pPr>
            <w:r>
              <w:rPr>
                <w:color w:val="auto"/>
              </w:rPr>
              <w:t>24小时平均</w:t>
            </w:r>
          </w:p>
        </w:tc>
        <w:tc>
          <w:tcPr>
            <w:tcW w:w="1838" w:type="dxa"/>
            <w:tcBorders>
              <w:tl2br w:val="nil"/>
              <w:tr2bl w:val="nil"/>
            </w:tcBorders>
            <w:vAlign w:val="center"/>
          </w:tcPr>
          <w:p>
            <w:pPr>
              <w:pStyle w:val="22"/>
              <w:bidi w:val="0"/>
              <w:jc w:val="center"/>
              <w:rPr>
                <w:color w:val="auto"/>
              </w:rPr>
            </w:pPr>
            <w:r>
              <w:rPr>
                <w:color w:val="auto"/>
              </w:rPr>
              <w:t>0.15</w:t>
            </w:r>
          </w:p>
        </w:tc>
        <w:tc>
          <w:tcPr>
            <w:tcW w:w="2561" w:type="dxa"/>
            <w:vMerge w:val="continue"/>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706" w:type="dxa"/>
            <w:vMerge w:val="restart"/>
            <w:tcBorders>
              <w:tl2br w:val="nil"/>
              <w:tr2bl w:val="nil"/>
            </w:tcBorders>
            <w:vAlign w:val="center"/>
          </w:tcPr>
          <w:p>
            <w:pPr>
              <w:pStyle w:val="22"/>
              <w:bidi w:val="0"/>
              <w:jc w:val="center"/>
              <w:rPr>
                <w:color w:val="auto"/>
              </w:rPr>
            </w:pPr>
            <w:r>
              <w:rPr>
                <w:color w:val="auto"/>
              </w:rPr>
              <w:t>2</w:t>
            </w:r>
          </w:p>
        </w:tc>
        <w:tc>
          <w:tcPr>
            <w:tcW w:w="1369" w:type="dxa"/>
            <w:vMerge w:val="restart"/>
            <w:tcBorders>
              <w:tl2br w:val="nil"/>
              <w:tr2bl w:val="nil"/>
            </w:tcBorders>
            <w:vAlign w:val="center"/>
          </w:tcPr>
          <w:p>
            <w:pPr>
              <w:pStyle w:val="22"/>
              <w:bidi w:val="0"/>
              <w:jc w:val="center"/>
              <w:rPr>
                <w:color w:val="auto"/>
              </w:rPr>
            </w:pPr>
            <w:r>
              <w:rPr>
                <w:color w:val="auto"/>
              </w:rPr>
              <w:t>PM</w:t>
            </w:r>
            <w:r>
              <w:rPr>
                <w:color w:val="auto"/>
                <w:vertAlign w:val="subscript"/>
              </w:rPr>
              <w:t>2.5</w:t>
            </w:r>
          </w:p>
        </w:tc>
        <w:tc>
          <w:tcPr>
            <w:tcW w:w="1960" w:type="dxa"/>
            <w:tcBorders>
              <w:tl2br w:val="nil"/>
              <w:tr2bl w:val="nil"/>
            </w:tcBorders>
            <w:vAlign w:val="center"/>
          </w:tcPr>
          <w:p>
            <w:pPr>
              <w:pStyle w:val="22"/>
              <w:bidi w:val="0"/>
              <w:jc w:val="center"/>
              <w:rPr>
                <w:color w:val="auto"/>
              </w:rPr>
            </w:pPr>
            <w:r>
              <w:rPr>
                <w:color w:val="auto"/>
              </w:rPr>
              <w:t>年平均</w:t>
            </w:r>
          </w:p>
        </w:tc>
        <w:tc>
          <w:tcPr>
            <w:tcW w:w="1838" w:type="dxa"/>
            <w:tcBorders>
              <w:tl2br w:val="nil"/>
              <w:tr2bl w:val="nil"/>
            </w:tcBorders>
            <w:vAlign w:val="center"/>
          </w:tcPr>
          <w:p>
            <w:pPr>
              <w:pStyle w:val="22"/>
              <w:bidi w:val="0"/>
              <w:jc w:val="center"/>
              <w:rPr>
                <w:color w:val="auto"/>
              </w:rPr>
            </w:pPr>
            <w:r>
              <w:rPr>
                <w:color w:val="auto"/>
              </w:rPr>
              <w:t>0.035</w:t>
            </w:r>
          </w:p>
        </w:tc>
        <w:tc>
          <w:tcPr>
            <w:tcW w:w="2561" w:type="dxa"/>
            <w:vMerge w:val="continue"/>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706" w:type="dxa"/>
            <w:vMerge w:val="continue"/>
            <w:tcBorders>
              <w:tl2br w:val="nil"/>
              <w:tr2bl w:val="nil"/>
            </w:tcBorders>
            <w:vAlign w:val="center"/>
          </w:tcPr>
          <w:p>
            <w:pPr>
              <w:pStyle w:val="22"/>
              <w:bidi w:val="0"/>
              <w:jc w:val="center"/>
              <w:rPr>
                <w:color w:val="auto"/>
              </w:rPr>
            </w:pPr>
          </w:p>
        </w:tc>
        <w:tc>
          <w:tcPr>
            <w:tcW w:w="1369" w:type="dxa"/>
            <w:vMerge w:val="continue"/>
            <w:tcBorders>
              <w:tl2br w:val="nil"/>
              <w:tr2bl w:val="nil"/>
            </w:tcBorders>
            <w:vAlign w:val="center"/>
          </w:tcPr>
          <w:p>
            <w:pPr>
              <w:pStyle w:val="22"/>
              <w:bidi w:val="0"/>
              <w:jc w:val="center"/>
              <w:rPr>
                <w:color w:val="auto"/>
              </w:rPr>
            </w:pPr>
          </w:p>
        </w:tc>
        <w:tc>
          <w:tcPr>
            <w:tcW w:w="1960" w:type="dxa"/>
            <w:tcBorders>
              <w:tl2br w:val="nil"/>
              <w:tr2bl w:val="nil"/>
            </w:tcBorders>
            <w:vAlign w:val="center"/>
          </w:tcPr>
          <w:p>
            <w:pPr>
              <w:pStyle w:val="22"/>
              <w:bidi w:val="0"/>
              <w:jc w:val="center"/>
              <w:rPr>
                <w:color w:val="auto"/>
              </w:rPr>
            </w:pPr>
            <w:r>
              <w:rPr>
                <w:color w:val="auto"/>
              </w:rPr>
              <w:t>24小时平均</w:t>
            </w:r>
          </w:p>
        </w:tc>
        <w:tc>
          <w:tcPr>
            <w:tcW w:w="1838" w:type="dxa"/>
            <w:tcBorders>
              <w:tl2br w:val="nil"/>
              <w:tr2bl w:val="nil"/>
            </w:tcBorders>
            <w:vAlign w:val="center"/>
          </w:tcPr>
          <w:p>
            <w:pPr>
              <w:pStyle w:val="22"/>
              <w:bidi w:val="0"/>
              <w:jc w:val="center"/>
              <w:rPr>
                <w:color w:val="auto"/>
              </w:rPr>
            </w:pPr>
            <w:r>
              <w:rPr>
                <w:color w:val="auto"/>
              </w:rPr>
              <w:t>0.075</w:t>
            </w:r>
          </w:p>
        </w:tc>
        <w:tc>
          <w:tcPr>
            <w:tcW w:w="2561" w:type="dxa"/>
            <w:vMerge w:val="continue"/>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706" w:type="dxa"/>
            <w:vMerge w:val="restart"/>
            <w:tcBorders>
              <w:tl2br w:val="nil"/>
              <w:tr2bl w:val="nil"/>
            </w:tcBorders>
            <w:vAlign w:val="center"/>
          </w:tcPr>
          <w:p>
            <w:pPr>
              <w:pStyle w:val="22"/>
              <w:bidi w:val="0"/>
              <w:jc w:val="center"/>
              <w:rPr>
                <w:color w:val="auto"/>
              </w:rPr>
            </w:pPr>
            <w:r>
              <w:rPr>
                <w:color w:val="auto"/>
              </w:rPr>
              <w:t>3</w:t>
            </w:r>
          </w:p>
        </w:tc>
        <w:tc>
          <w:tcPr>
            <w:tcW w:w="1369" w:type="dxa"/>
            <w:vMerge w:val="restart"/>
            <w:tcBorders>
              <w:tl2br w:val="nil"/>
              <w:tr2bl w:val="nil"/>
            </w:tcBorders>
            <w:vAlign w:val="center"/>
          </w:tcPr>
          <w:p>
            <w:pPr>
              <w:pStyle w:val="22"/>
              <w:bidi w:val="0"/>
              <w:jc w:val="center"/>
              <w:rPr>
                <w:color w:val="auto"/>
              </w:rPr>
            </w:pPr>
            <w:r>
              <w:rPr>
                <w:color w:val="auto"/>
              </w:rPr>
              <w:t>SO</w:t>
            </w:r>
            <w:r>
              <w:rPr>
                <w:color w:val="auto"/>
                <w:vertAlign w:val="subscript"/>
              </w:rPr>
              <w:t>2</w:t>
            </w:r>
          </w:p>
        </w:tc>
        <w:tc>
          <w:tcPr>
            <w:tcW w:w="1960" w:type="dxa"/>
            <w:tcBorders>
              <w:tl2br w:val="nil"/>
              <w:tr2bl w:val="nil"/>
            </w:tcBorders>
            <w:vAlign w:val="center"/>
          </w:tcPr>
          <w:p>
            <w:pPr>
              <w:pStyle w:val="22"/>
              <w:bidi w:val="0"/>
              <w:jc w:val="center"/>
              <w:rPr>
                <w:color w:val="auto"/>
              </w:rPr>
            </w:pPr>
            <w:r>
              <w:rPr>
                <w:color w:val="auto"/>
              </w:rPr>
              <w:t>年平均</w:t>
            </w:r>
          </w:p>
        </w:tc>
        <w:tc>
          <w:tcPr>
            <w:tcW w:w="1838" w:type="dxa"/>
            <w:tcBorders>
              <w:tl2br w:val="nil"/>
              <w:tr2bl w:val="nil"/>
            </w:tcBorders>
            <w:vAlign w:val="center"/>
          </w:tcPr>
          <w:p>
            <w:pPr>
              <w:pStyle w:val="22"/>
              <w:bidi w:val="0"/>
              <w:jc w:val="center"/>
              <w:rPr>
                <w:color w:val="auto"/>
              </w:rPr>
            </w:pPr>
            <w:r>
              <w:rPr>
                <w:color w:val="auto"/>
              </w:rPr>
              <w:t>0.06</w:t>
            </w:r>
          </w:p>
        </w:tc>
        <w:tc>
          <w:tcPr>
            <w:tcW w:w="2561" w:type="dxa"/>
            <w:vMerge w:val="continue"/>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706" w:type="dxa"/>
            <w:vMerge w:val="continue"/>
            <w:tcBorders>
              <w:tl2br w:val="nil"/>
              <w:tr2bl w:val="nil"/>
            </w:tcBorders>
            <w:vAlign w:val="center"/>
          </w:tcPr>
          <w:p>
            <w:pPr>
              <w:pStyle w:val="22"/>
              <w:bidi w:val="0"/>
              <w:jc w:val="center"/>
              <w:rPr>
                <w:color w:val="auto"/>
              </w:rPr>
            </w:pPr>
          </w:p>
        </w:tc>
        <w:tc>
          <w:tcPr>
            <w:tcW w:w="1369" w:type="dxa"/>
            <w:vMerge w:val="continue"/>
            <w:tcBorders>
              <w:tl2br w:val="nil"/>
              <w:tr2bl w:val="nil"/>
            </w:tcBorders>
            <w:vAlign w:val="center"/>
          </w:tcPr>
          <w:p>
            <w:pPr>
              <w:pStyle w:val="22"/>
              <w:bidi w:val="0"/>
              <w:jc w:val="center"/>
              <w:rPr>
                <w:color w:val="auto"/>
              </w:rPr>
            </w:pPr>
          </w:p>
        </w:tc>
        <w:tc>
          <w:tcPr>
            <w:tcW w:w="1960" w:type="dxa"/>
            <w:tcBorders>
              <w:tl2br w:val="nil"/>
              <w:tr2bl w:val="nil"/>
            </w:tcBorders>
            <w:vAlign w:val="center"/>
          </w:tcPr>
          <w:p>
            <w:pPr>
              <w:pStyle w:val="22"/>
              <w:bidi w:val="0"/>
              <w:jc w:val="center"/>
              <w:rPr>
                <w:color w:val="auto"/>
              </w:rPr>
            </w:pPr>
            <w:r>
              <w:rPr>
                <w:color w:val="auto"/>
              </w:rPr>
              <w:t>24小时平均</w:t>
            </w:r>
          </w:p>
        </w:tc>
        <w:tc>
          <w:tcPr>
            <w:tcW w:w="1838" w:type="dxa"/>
            <w:tcBorders>
              <w:tl2br w:val="nil"/>
              <w:tr2bl w:val="nil"/>
            </w:tcBorders>
            <w:vAlign w:val="center"/>
          </w:tcPr>
          <w:p>
            <w:pPr>
              <w:pStyle w:val="22"/>
              <w:bidi w:val="0"/>
              <w:jc w:val="center"/>
              <w:rPr>
                <w:color w:val="auto"/>
              </w:rPr>
            </w:pPr>
            <w:r>
              <w:rPr>
                <w:color w:val="auto"/>
              </w:rPr>
              <w:t>0.15</w:t>
            </w:r>
          </w:p>
        </w:tc>
        <w:tc>
          <w:tcPr>
            <w:tcW w:w="2561" w:type="dxa"/>
            <w:vMerge w:val="continue"/>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706" w:type="dxa"/>
            <w:vMerge w:val="continue"/>
            <w:tcBorders>
              <w:tl2br w:val="nil"/>
              <w:tr2bl w:val="nil"/>
            </w:tcBorders>
            <w:vAlign w:val="center"/>
          </w:tcPr>
          <w:p>
            <w:pPr>
              <w:pStyle w:val="22"/>
              <w:bidi w:val="0"/>
              <w:jc w:val="center"/>
              <w:rPr>
                <w:color w:val="auto"/>
              </w:rPr>
            </w:pPr>
          </w:p>
        </w:tc>
        <w:tc>
          <w:tcPr>
            <w:tcW w:w="1369" w:type="dxa"/>
            <w:vMerge w:val="continue"/>
            <w:tcBorders>
              <w:tl2br w:val="nil"/>
              <w:tr2bl w:val="nil"/>
            </w:tcBorders>
            <w:vAlign w:val="center"/>
          </w:tcPr>
          <w:p>
            <w:pPr>
              <w:pStyle w:val="22"/>
              <w:bidi w:val="0"/>
              <w:jc w:val="center"/>
              <w:rPr>
                <w:color w:val="auto"/>
              </w:rPr>
            </w:pPr>
          </w:p>
        </w:tc>
        <w:tc>
          <w:tcPr>
            <w:tcW w:w="1960" w:type="dxa"/>
            <w:tcBorders>
              <w:tl2br w:val="nil"/>
              <w:tr2bl w:val="nil"/>
            </w:tcBorders>
            <w:vAlign w:val="center"/>
          </w:tcPr>
          <w:p>
            <w:pPr>
              <w:pStyle w:val="22"/>
              <w:bidi w:val="0"/>
              <w:jc w:val="center"/>
              <w:rPr>
                <w:color w:val="auto"/>
              </w:rPr>
            </w:pPr>
            <w:r>
              <w:rPr>
                <w:color w:val="auto"/>
              </w:rPr>
              <w:t>1小时平均</w:t>
            </w:r>
          </w:p>
        </w:tc>
        <w:tc>
          <w:tcPr>
            <w:tcW w:w="1838" w:type="dxa"/>
            <w:tcBorders>
              <w:tl2br w:val="nil"/>
              <w:tr2bl w:val="nil"/>
            </w:tcBorders>
            <w:vAlign w:val="center"/>
          </w:tcPr>
          <w:p>
            <w:pPr>
              <w:pStyle w:val="22"/>
              <w:bidi w:val="0"/>
              <w:jc w:val="center"/>
              <w:rPr>
                <w:color w:val="auto"/>
              </w:rPr>
            </w:pPr>
            <w:r>
              <w:rPr>
                <w:color w:val="auto"/>
              </w:rPr>
              <w:t>0.50</w:t>
            </w:r>
          </w:p>
        </w:tc>
        <w:tc>
          <w:tcPr>
            <w:tcW w:w="2561" w:type="dxa"/>
            <w:vMerge w:val="continue"/>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706" w:type="dxa"/>
            <w:vMerge w:val="restart"/>
            <w:tcBorders>
              <w:tl2br w:val="nil"/>
              <w:tr2bl w:val="nil"/>
            </w:tcBorders>
            <w:vAlign w:val="center"/>
          </w:tcPr>
          <w:p>
            <w:pPr>
              <w:pStyle w:val="22"/>
              <w:bidi w:val="0"/>
              <w:jc w:val="center"/>
              <w:rPr>
                <w:color w:val="auto"/>
              </w:rPr>
            </w:pPr>
          </w:p>
          <w:p>
            <w:pPr>
              <w:pStyle w:val="22"/>
              <w:bidi w:val="0"/>
              <w:jc w:val="center"/>
              <w:rPr>
                <w:color w:val="auto"/>
              </w:rPr>
            </w:pPr>
            <w:r>
              <w:rPr>
                <w:color w:val="auto"/>
              </w:rPr>
              <w:t>4</w:t>
            </w:r>
          </w:p>
        </w:tc>
        <w:tc>
          <w:tcPr>
            <w:tcW w:w="1369" w:type="dxa"/>
            <w:vMerge w:val="restart"/>
            <w:tcBorders>
              <w:tl2br w:val="nil"/>
              <w:tr2bl w:val="nil"/>
            </w:tcBorders>
            <w:vAlign w:val="center"/>
          </w:tcPr>
          <w:p>
            <w:pPr>
              <w:pStyle w:val="22"/>
              <w:bidi w:val="0"/>
              <w:jc w:val="center"/>
              <w:rPr>
                <w:color w:val="auto"/>
              </w:rPr>
            </w:pPr>
          </w:p>
          <w:p>
            <w:pPr>
              <w:pStyle w:val="22"/>
              <w:bidi w:val="0"/>
              <w:jc w:val="center"/>
              <w:rPr>
                <w:color w:val="auto"/>
              </w:rPr>
            </w:pPr>
            <w:r>
              <w:rPr>
                <w:color w:val="auto"/>
              </w:rPr>
              <w:t>NO</w:t>
            </w:r>
            <w:r>
              <w:rPr>
                <w:color w:val="auto"/>
                <w:vertAlign w:val="subscript"/>
              </w:rPr>
              <w:t>2</w:t>
            </w:r>
          </w:p>
        </w:tc>
        <w:tc>
          <w:tcPr>
            <w:tcW w:w="1960" w:type="dxa"/>
            <w:tcBorders>
              <w:tl2br w:val="nil"/>
              <w:tr2bl w:val="nil"/>
            </w:tcBorders>
            <w:vAlign w:val="center"/>
          </w:tcPr>
          <w:p>
            <w:pPr>
              <w:pStyle w:val="22"/>
              <w:bidi w:val="0"/>
              <w:jc w:val="center"/>
              <w:rPr>
                <w:color w:val="auto"/>
              </w:rPr>
            </w:pPr>
            <w:r>
              <w:rPr>
                <w:color w:val="auto"/>
              </w:rPr>
              <w:t>年平均</w:t>
            </w:r>
          </w:p>
        </w:tc>
        <w:tc>
          <w:tcPr>
            <w:tcW w:w="1838" w:type="dxa"/>
            <w:tcBorders>
              <w:tl2br w:val="nil"/>
              <w:tr2bl w:val="nil"/>
            </w:tcBorders>
            <w:vAlign w:val="center"/>
          </w:tcPr>
          <w:p>
            <w:pPr>
              <w:pStyle w:val="22"/>
              <w:bidi w:val="0"/>
              <w:jc w:val="center"/>
              <w:rPr>
                <w:color w:val="auto"/>
              </w:rPr>
            </w:pPr>
            <w:r>
              <w:rPr>
                <w:color w:val="auto"/>
              </w:rPr>
              <w:t>0.04</w:t>
            </w:r>
          </w:p>
        </w:tc>
        <w:tc>
          <w:tcPr>
            <w:tcW w:w="2561" w:type="dxa"/>
            <w:vMerge w:val="continue"/>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706" w:type="dxa"/>
            <w:vMerge w:val="continue"/>
            <w:tcBorders>
              <w:tl2br w:val="nil"/>
              <w:tr2bl w:val="nil"/>
            </w:tcBorders>
            <w:vAlign w:val="center"/>
          </w:tcPr>
          <w:p>
            <w:pPr>
              <w:pStyle w:val="22"/>
              <w:bidi w:val="0"/>
              <w:jc w:val="center"/>
              <w:rPr>
                <w:color w:val="auto"/>
              </w:rPr>
            </w:pPr>
          </w:p>
        </w:tc>
        <w:tc>
          <w:tcPr>
            <w:tcW w:w="1369" w:type="dxa"/>
            <w:vMerge w:val="continue"/>
            <w:tcBorders>
              <w:tl2br w:val="nil"/>
              <w:tr2bl w:val="nil"/>
            </w:tcBorders>
            <w:vAlign w:val="center"/>
          </w:tcPr>
          <w:p>
            <w:pPr>
              <w:pStyle w:val="22"/>
              <w:bidi w:val="0"/>
              <w:jc w:val="center"/>
              <w:rPr>
                <w:color w:val="auto"/>
              </w:rPr>
            </w:pPr>
          </w:p>
        </w:tc>
        <w:tc>
          <w:tcPr>
            <w:tcW w:w="1960" w:type="dxa"/>
            <w:tcBorders>
              <w:tl2br w:val="nil"/>
              <w:tr2bl w:val="nil"/>
            </w:tcBorders>
            <w:vAlign w:val="center"/>
          </w:tcPr>
          <w:p>
            <w:pPr>
              <w:pStyle w:val="22"/>
              <w:bidi w:val="0"/>
              <w:jc w:val="center"/>
              <w:rPr>
                <w:color w:val="auto"/>
              </w:rPr>
            </w:pPr>
            <w:r>
              <w:rPr>
                <w:color w:val="auto"/>
              </w:rPr>
              <w:t>24小时平均</w:t>
            </w:r>
          </w:p>
        </w:tc>
        <w:tc>
          <w:tcPr>
            <w:tcW w:w="1838" w:type="dxa"/>
            <w:tcBorders>
              <w:tl2br w:val="nil"/>
              <w:tr2bl w:val="nil"/>
            </w:tcBorders>
            <w:vAlign w:val="center"/>
          </w:tcPr>
          <w:p>
            <w:pPr>
              <w:pStyle w:val="22"/>
              <w:bidi w:val="0"/>
              <w:jc w:val="center"/>
              <w:rPr>
                <w:color w:val="auto"/>
              </w:rPr>
            </w:pPr>
            <w:r>
              <w:rPr>
                <w:color w:val="auto"/>
              </w:rPr>
              <w:t>0.08</w:t>
            </w:r>
          </w:p>
        </w:tc>
        <w:tc>
          <w:tcPr>
            <w:tcW w:w="2561" w:type="dxa"/>
            <w:vMerge w:val="continue"/>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8" w:hRule="atLeast"/>
        </w:trPr>
        <w:tc>
          <w:tcPr>
            <w:tcW w:w="706" w:type="dxa"/>
            <w:vMerge w:val="continue"/>
            <w:tcBorders>
              <w:tl2br w:val="nil"/>
              <w:tr2bl w:val="nil"/>
            </w:tcBorders>
            <w:vAlign w:val="center"/>
          </w:tcPr>
          <w:p>
            <w:pPr>
              <w:pStyle w:val="22"/>
              <w:bidi w:val="0"/>
              <w:jc w:val="center"/>
              <w:rPr>
                <w:color w:val="auto"/>
              </w:rPr>
            </w:pPr>
          </w:p>
        </w:tc>
        <w:tc>
          <w:tcPr>
            <w:tcW w:w="1369" w:type="dxa"/>
            <w:vMerge w:val="continue"/>
            <w:tcBorders>
              <w:tl2br w:val="nil"/>
              <w:tr2bl w:val="nil"/>
            </w:tcBorders>
            <w:vAlign w:val="center"/>
          </w:tcPr>
          <w:p>
            <w:pPr>
              <w:pStyle w:val="22"/>
              <w:bidi w:val="0"/>
              <w:jc w:val="center"/>
              <w:rPr>
                <w:color w:val="auto"/>
              </w:rPr>
            </w:pPr>
          </w:p>
        </w:tc>
        <w:tc>
          <w:tcPr>
            <w:tcW w:w="1960" w:type="dxa"/>
            <w:tcBorders>
              <w:tl2br w:val="nil"/>
              <w:tr2bl w:val="nil"/>
            </w:tcBorders>
            <w:vAlign w:val="center"/>
          </w:tcPr>
          <w:p>
            <w:pPr>
              <w:pStyle w:val="22"/>
              <w:bidi w:val="0"/>
              <w:jc w:val="center"/>
              <w:rPr>
                <w:color w:val="auto"/>
              </w:rPr>
            </w:pPr>
            <w:r>
              <w:rPr>
                <w:color w:val="auto"/>
              </w:rPr>
              <w:t>1小时平均</w:t>
            </w:r>
          </w:p>
        </w:tc>
        <w:tc>
          <w:tcPr>
            <w:tcW w:w="1838" w:type="dxa"/>
            <w:tcBorders>
              <w:tl2br w:val="nil"/>
              <w:tr2bl w:val="nil"/>
            </w:tcBorders>
            <w:vAlign w:val="center"/>
          </w:tcPr>
          <w:p>
            <w:pPr>
              <w:pStyle w:val="22"/>
              <w:bidi w:val="0"/>
              <w:jc w:val="center"/>
              <w:rPr>
                <w:color w:val="auto"/>
              </w:rPr>
            </w:pPr>
            <w:r>
              <w:rPr>
                <w:color w:val="auto"/>
              </w:rPr>
              <w:t>0.2</w:t>
            </w:r>
          </w:p>
        </w:tc>
        <w:tc>
          <w:tcPr>
            <w:tcW w:w="2561" w:type="dxa"/>
            <w:vMerge w:val="continue"/>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706" w:type="dxa"/>
            <w:vMerge w:val="restart"/>
            <w:tcBorders>
              <w:tl2br w:val="nil"/>
              <w:tr2bl w:val="nil"/>
            </w:tcBorders>
            <w:vAlign w:val="center"/>
          </w:tcPr>
          <w:p>
            <w:pPr>
              <w:pStyle w:val="22"/>
              <w:bidi w:val="0"/>
              <w:jc w:val="center"/>
              <w:rPr>
                <w:color w:val="auto"/>
              </w:rPr>
            </w:pPr>
            <w:r>
              <w:rPr>
                <w:color w:val="auto"/>
              </w:rPr>
              <w:t>5</w:t>
            </w:r>
          </w:p>
        </w:tc>
        <w:tc>
          <w:tcPr>
            <w:tcW w:w="1369" w:type="dxa"/>
            <w:vMerge w:val="restart"/>
            <w:tcBorders>
              <w:tl2br w:val="nil"/>
              <w:tr2bl w:val="nil"/>
            </w:tcBorders>
            <w:vAlign w:val="center"/>
          </w:tcPr>
          <w:p>
            <w:pPr>
              <w:pStyle w:val="22"/>
              <w:bidi w:val="0"/>
              <w:jc w:val="center"/>
              <w:rPr>
                <w:color w:val="auto"/>
              </w:rPr>
            </w:pPr>
            <w:r>
              <w:rPr>
                <w:color w:val="auto"/>
              </w:rPr>
              <w:t>CO</w:t>
            </w:r>
          </w:p>
        </w:tc>
        <w:tc>
          <w:tcPr>
            <w:tcW w:w="1960" w:type="dxa"/>
            <w:tcBorders>
              <w:tl2br w:val="nil"/>
              <w:tr2bl w:val="nil"/>
            </w:tcBorders>
            <w:vAlign w:val="center"/>
          </w:tcPr>
          <w:p>
            <w:pPr>
              <w:pStyle w:val="22"/>
              <w:bidi w:val="0"/>
              <w:jc w:val="center"/>
              <w:rPr>
                <w:color w:val="auto"/>
              </w:rPr>
            </w:pPr>
            <w:r>
              <w:rPr>
                <w:color w:val="auto"/>
              </w:rPr>
              <w:t>24小时平均</w:t>
            </w:r>
          </w:p>
        </w:tc>
        <w:tc>
          <w:tcPr>
            <w:tcW w:w="1838" w:type="dxa"/>
            <w:tcBorders>
              <w:tl2br w:val="nil"/>
              <w:tr2bl w:val="nil"/>
            </w:tcBorders>
            <w:vAlign w:val="center"/>
          </w:tcPr>
          <w:p>
            <w:pPr>
              <w:pStyle w:val="22"/>
              <w:bidi w:val="0"/>
              <w:jc w:val="center"/>
              <w:rPr>
                <w:color w:val="auto"/>
              </w:rPr>
            </w:pPr>
            <w:r>
              <w:rPr>
                <w:color w:val="auto"/>
              </w:rPr>
              <w:t>4</w:t>
            </w:r>
          </w:p>
        </w:tc>
        <w:tc>
          <w:tcPr>
            <w:tcW w:w="2561" w:type="dxa"/>
            <w:vMerge w:val="continue"/>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06" w:type="dxa"/>
            <w:vMerge w:val="continue"/>
            <w:tcBorders>
              <w:tl2br w:val="nil"/>
              <w:tr2bl w:val="nil"/>
            </w:tcBorders>
            <w:vAlign w:val="center"/>
          </w:tcPr>
          <w:p>
            <w:pPr>
              <w:pStyle w:val="22"/>
              <w:bidi w:val="0"/>
              <w:jc w:val="center"/>
              <w:rPr>
                <w:color w:val="auto"/>
              </w:rPr>
            </w:pPr>
          </w:p>
        </w:tc>
        <w:tc>
          <w:tcPr>
            <w:tcW w:w="1369" w:type="dxa"/>
            <w:vMerge w:val="continue"/>
            <w:tcBorders>
              <w:tl2br w:val="nil"/>
              <w:tr2bl w:val="nil"/>
            </w:tcBorders>
            <w:vAlign w:val="center"/>
          </w:tcPr>
          <w:p>
            <w:pPr>
              <w:pStyle w:val="22"/>
              <w:bidi w:val="0"/>
              <w:jc w:val="center"/>
              <w:rPr>
                <w:color w:val="auto"/>
              </w:rPr>
            </w:pPr>
          </w:p>
        </w:tc>
        <w:tc>
          <w:tcPr>
            <w:tcW w:w="1960" w:type="dxa"/>
            <w:tcBorders>
              <w:tl2br w:val="nil"/>
              <w:tr2bl w:val="nil"/>
            </w:tcBorders>
            <w:vAlign w:val="center"/>
          </w:tcPr>
          <w:p>
            <w:pPr>
              <w:pStyle w:val="22"/>
              <w:bidi w:val="0"/>
              <w:jc w:val="center"/>
              <w:rPr>
                <w:color w:val="auto"/>
              </w:rPr>
            </w:pPr>
            <w:r>
              <w:rPr>
                <w:color w:val="auto"/>
              </w:rPr>
              <w:t>1小时平均</w:t>
            </w:r>
          </w:p>
        </w:tc>
        <w:tc>
          <w:tcPr>
            <w:tcW w:w="1838" w:type="dxa"/>
            <w:tcBorders>
              <w:tl2br w:val="nil"/>
              <w:tr2bl w:val="nil"/>
            </w:tcBorders>
            <w:vAlign w:val="center"/>
          </w:tcPr>
          <w:p>
            <w:pPr>
              <w:pStyle w:val="22"/>
              <w:bidi w:val="0"/>
              <w:jc w:val="center"/>
              <w:rPr>
                <w:color w:val="auto"/>
              </w:rPr>
            </w:pPr>
            <w:r>
              <w:rPr>
                <w:color w:val="auto"/>
              </w:rPr>
              <w:t>10</w:t>
            </w:r>
          </w:p>
        </w:tc>
        <w:tc>
          <w:tcPr>
            <w:tcW w:w="2561" w:type="dxa"/>
            <w:vMerge w:val="continue"/>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706" w:type="dxa"/>
            <w:vMerge w:val="restart"/>
            <w:tcBorders>
              <w:tl2br w:val="nil"/>
              <w:tr2bl w:val="nil"/>
            </w:tcBorders>
            <w:vAlign w:val="center"/>
          </w:tcPr>
          <w:p>
            <w:pPr>
              <w:pStyle w:val="22"/>
              <w:bidi w:val="0"/>
              <w:jc w:val="center"/>
              <w:rPr>
                <w:color w:val="auto"/>
              </w:rPr>
            </w:pPr>
            <w:r>
              <w:rPr>
                <w:color w:val="auto"/>
              </w:rPr>
              <w:t>6</w:t>
            </w:r>
          </w:p>
        </w:tc>
        <w:tc>
          <w:tcPr>
            <w:tcW w:w="1369" w:type="dxa"/>
            <w:vMerge w:val="restart"/>
            <w:tcBorders>
              <w:tl2br w:val="nil"/>
              <w:tr2bl w:val="nil"/>
            </w:tcBorders>
            <w:vAlign w:val="center"/>
          </w:tcPr>
          <w:p>
            <w:pPr>
              <w:pStyle w:val="22"/>
              <w:bidi w:val="0"/>
              <w:jc w:val="center"/>
              <w:rPr>
                <w:color w:val="auto"/>
              </w:rPr>
            </w:pPr>
            <w:r>
              <w:rPr>
                <w:color w:val="auto"/>
              </w:rPr>
              <w:t>O</w:t>
            </w:r>
            <w:r>
              <w:rPr>
                <w:color w:val="auto"/>
                <w:vertAlign w:val="subscript"/>
              </w:rPr>
              <w:t>3</w:t>
            </w:r>
          </w:p>
        </w:tc>
        <w:tc>
          <w:tcPr>
            <w:tcW w:w="1960" w:type="dxa"/>
            <w:tcBorders>
              <w:tl2br w:val="nil"/>
              <w:tr2bl w:val="nil"/>
            </w:tcBorders>
            <w:vAlign w:val="center"/>
          </w:tcPr>
          <w:p>
            <w:pPr>
              <w:pStyle w:val="22"/>
              <w:bidi w:val="0"/>
              <w:jc w:val="center"/>
              <w:rPr>
                <w:color w:val="auto"/>
              </w:rPr>
            </w:pPr>
            <w:r>
              <w:rPr>
                <w:color w:val="auto"/>
              </w:rPr>
              <w:t>日最大8小时平均</w:t>
            </w:r>
          </w:p>
        </w:tc>
        <w:tc>
          <w:tcPr>
            <w:tcW w:w="1838" w:type="dxa"/>
            <w:tcBorders>
              <w:tl2br w:val="nil"/>
              <w:tr2bl w:val="nil"/>
            </w:tcBorders>
            <w:vAlign w:val="center"/>
          </w:tcPr>
          <w:p>
            <w:pPr>
              <w:pStyle w:val="22"/>
              <w:bidi w:val="0"/>
              <w:jc w:val="center"/>
              <w:rPr>
                <w:color w:val="auto"/>
              </w:rPr>
            </w:pPr>
            <w:r>
              <w:rPr>
                <w:color w:val="auto"/>
              </w:rPr>
              <w:t>0.16</w:t>
            </w:r>
          </w:p>
        </w:tc>
        <w:tc>
          <w:tcPr>
            <w:tcW w:w="2561" w:type="dxa"/>
            <w:vMerge w:val="continue"/>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trPr>
        <w:tc>
          <w:tcPr>
            <w:tcW w:w="706" w:type="dxa"/>
            <w:vMerge w:val="continue"/>
            <w:tcBorders>
              <w:tl2br w:val="nil"/>
              <w:tr2bl w:val="nil"/>
            </w:tcBorders>
            <w:vAlign w:val="center"/>
          </w:tcPr>
          <w:p>
            <w:pPr>
              <w:pStyle w:val="22"/>
              <w:bidi w:val="0"/>
              <w:jc w:val="center"/>
              <w:rPr>
                <w:color w:val="auto"/>
              </w:rPr>
            </w:pPr>
          </w:p>
        </w:tc>
        <w:tc>
          <w:tcPr>
            <w:tcW w:w="1369" w:type="dxa"/>
            <w:vMerge w:val="continue"/>
            <w:tcBorders>
              <w:tl2br w:val="nil"/>
              <w:tr2bl w:val="nil"/>
            </w:tcBorders>
            <w:vAlign w:val="center"/>
          </w:tcPr>
          <w:p>
            <w:pPr>
              <w:pStyle w:val="22"/>
              <w:bidi w:val="0"/>
              <w:jc w:val="center"/>
              <w:rPr>
                <w:color w:val="auto"/>
              </w:rPr>
            </w:pPr>
          </w:p>
        </w:tc>
        <w:tc>
          <w:tcPr>
            <w:tcW w:w="1960" w:type="dxa"/>
            <w:tcBorders>
              <w:tl2br w:val="nil"/>
              <w:tr2bl w:val="nil"/>
            </w:tcBorders>
            <w:vAlign w:val="center"/>
          </w:tcPr>
          <w:p>
            <w:pPr>
              <w:pStyle w:val="22"/>
              <w:bidi w:val="0"/>
              <w:jc w:val="center"/>
              <w:rPr>
                <w:color w:val="auto"/>
              </w:rPr>
            </w:pPr>
            <w:r>
              <w:rPr>
                <w:color w:val="auto"/>
              </w:rPr>
              <w:t>1小时平均</w:t>
            </w:r>
          </w:p>
        </w:tc>
        <w:tc>
          <w:tcPr>
            <w:tcW w:w="1838" w:type="dxa"/>
            <w:tcBorders>
              <w:tl2br w:val="nil"/>
              <w:tr2bl w:val="nil"/>
            </w:tcBorders>
            <w:vAlign w:val="center"/>
          </w:tcPr>
          <w:p>
            <w:pPr>
              <w:pStyle w:val="22"/>
              <w:bidi w:val="0"/>
              <w:jc w:val="center"/>
              <w:rPr>
                <w:color w:val="auto"/>
              </w:rPr>
            </w:pPr>
            <w:r>
              <w:rPr>
                <w:color w:val="auto"/>
              </w:rPr>
              <w:t>0.2</w:t>
            </w:r>
          </w:p>
        </w:tc>
        <w:tc>
          <w:tcPr>
            <w:tcW w:w="2561" w:type="dxa"/>
            <w:vMerge w:val="continue"/>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6" w:hRule="atLeast"/>
        </w:trPr>
        <w:tc>
          <w:tcPr>
            <w:tcW w:w="706" w:type="dxa"/>
            <w:tcBorders>
              <w:tl2br w:val="nil"/>
              <w:tr2bl w:val="nil"/>
            </w:tcBorders>
            <w:vAlign w:val="center"/>
          </w:tcPr>
          <w:p>
            <w:pPr>
              <w:pStyle w:val="22"/>
              <w:bidi w:val="0"/>
              <w:jc w:val="center"/>
              <w:rPr>
                <w:color w:val="auto"/>
              </w:rPr>
            </w:pPr>
            <w:r>
              <w:rPr>
                <w:color w:val="auto"/>
              </w:rPr>
              <w:t>7</w:t>
            </w:r>
          </w:p>
        </w:tc>
        <w:tc>
          <w:tcPr>
            <w:tcW w:w="1369" w:type="dxa"/>
            <w:tcBorders>
              <w:tl2br w:val="nil"/>
              <w:tr2bl w:val="nil"/>
            </w:tcBorders>
            <w:vAlign w:val="center"/>
          </w:tcPr>
          <w:p>
            <w:pPr>
              <w:pStyle w:val="22"/>
              <w:bidi w:val="0"/>
              <w:jc w:val="center"/>
              <w:rPr>
                <w:color w:val="auto"/>
              </w:rPr>
            </w:pPr>
            <w:r>
              <w:rPr>
                <w:color w:val="auto"/>
              </w:rPr>
              <w:t>NH</w:t>
            </w:r>
            <w:r>
              <w:rPr>
                <w:color w:val="auto"/>
                <w:vertAlign w:val="subscript"/>
              </w:rPr>
              <w:t>3</w:t>
            </w:r>
          </w:p>
        </w:tc>
        <w:tc>
          <w:tcPr>
            <w:tcW w:w="1960" w:type="dxa"/>
            <w:tcBorders>
              <w:tl2br w:val="nil"/>
              <w:tr2bl w:val="nil"/>
            </w:tcBorders>
            <w:vAlign w:val="center"/>
          </w:tcPr>
          <w:p>
            <w:pPr>
              <w:pStyle w:val="22"/>
              <w:bidi w:val="0"/>
              <w:jc w:val="center"/>
              <w:rPr>
                <w:color w:val="auto"/>
              </w:rPr>
            </w:pPr>
            <w:r>
              <w:rPr>
                <w:color w:val="auto"/>
              </w:rPr>
              <w:t>1小时平均</w:t>
            </w:r>
          </w:p>
        </w:tc>
        <w:tc>
          <w:tcPr>
            <w:tcW w:w="1838" w:type="dxa"/>
            <w:tcBorders>
              <w:tl2br w:val="nil"/>
              <w:tr2bl w:val="nil"/>
            </w:tcBorders>
            <w:vAlign w:val="center"/>
          </w:tcPr>
          <w:p>
            <w:pPr>
              <w:pStyle w:val="22"/>
              <w:bidi w:val="0"/>
              <w:jc w:val="center"/>
              <w:rPr>
                <w:color w:val="auto"/>
              </w:rPr>
            </w:pPr>
            <w:r>
              <w:rPr>
                <w:color w:val="auto"/>
              </w:rPr>
              <w:t>0.2</w:t>
            </w:r>
          </w:p>
        </w:tc>
        <w:tc>
          <w:tcPr>
            <w:tcW w:w="2561" w:type="dxa"/>
            <w:vMerge w:val="restart"/>
            <w:tcBorders>
              <w:tl2br w:val="nil"/>
              <w:tr2bl w:val="nil"/>
            </w:tcBorders>
            <w:vAlign w:val="center"/>
          </w:tcPr>
          <w:p>
            <w:pPr>
              <w:pStyle w:val="22"/>
              <w:bidi w:val="0"/>
              <w:jc w:val="center"/>
              <w:rPr>
                <w:color w:val="auto"/>
              </w:rPr>
            </w:pPr>
            <w:r>
              <w:rPr>
                <w:color w:val="auto"/>
              </w:rPr>
              <w:t>HJ2.2-2018附录D表D.1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706" w:type="dxa"/>
            <w:tcBorders>
              <w:tl2br w:val="nil"/>
              <w:tr2bl w:val="nil"/>
            </w:tcBorders>
            <w:vAlign w:val="center"/>
          </w:tcPr>
          <w:p>
            <w:pPr>
              <w:pStyle w:val="22"/>
              <w:bidi w:val="0"/>
              <w:jc w:val="center"/>
              <w:rPr>
                <w:color w:val="auto"/>
              </w:rPr>
            </w:pPr>
            <w:r>
              <w:rPr>
                <w:color w:val="auto"/>
              </w:rPr>
              <w:t>8</w:t>
            </w:r>
          </w:p>
        </w:tc>
        <w:tc>
          <w:tcPr>
            <w:tcW w:w="1369" w:type="dxa"/>
            <w:tcBorders>
              <w:tl2br w:val="nil"/>
              <w:tr2bl w:val="nil"/>
            </w:tcBorders>
            <w:vAlign w:val="center"/>
          </w:tcPr>
          <w:p>
            <w:pPr>
              <w:pStyle w:val="22"/>
              <w:bidi w:val="0"/>
              <w:jc w:val="center"/>
              <w:rPr>
                <w:color w:val="auto"/>
              </w:rPr>
            </w:pPr>
            <w:r>
              <w:rPr>
                <w:color w:val="auto"/>
              </w:rPr>
              <w:t>H</w:t>
            </w:r>
            <w:r>
              <w:rPr>
                <w:color w:val="auto"/>
                <w:vertAlign w:val="subscript"/>
              </w:rPr>
              <w:t>2</w:t>
            </w:r>
            <w:r>
              <w:rPr>
                <w:color w:val="auto"/>
              </w:rPr>
              <w:t>S</w:t>
            </w:r>
          </w:p>
        </w:tc>
        <w:tc>
          <w:tcPr>
            <w:tcW w:w="1960" w:type="dxa"/>
            <w:tcBorders>
              <w:tl2br w:val="nil"/>
              <w:tr2bl w:val="nil"/>
            </w:tcBorders>
            <w:vAlign w:val="center"/>
          </w:tcPr>
          <w:p>
            <w:pPr>
              <w:pStyle w:val="22"/>
              <w:bidi w:val="0"/>
              <w:jc w:val="center"/>
              <w:rPr>
                <w:color w:val="auto"/>
              </w:rPr>
            </w:pPr>
            <w:r>
              <w:rPr>
                <w:color w:val="auto"/>
              </w:rPr>
              <w:t>1小时平均</w:t>
            </w:r>
          </w:p>
        </w:tc>
        <w:tc>
          <w:tcPr>
            <w:tcW w:w="1838" w:type="dxa"/>
            <w:tcBorders>
              <w:tl2br w:val="nil"/>
              <w:tr2bl w:val="nil"/>
            </w:tcBorders>
            <w:vAlign w:val="center"/>
          </w:tcPr>
          <w:p>
            <w:pPr>
              <w:pStyle w:val="22"/>
              <w:bidi w:val="0"/>
              <w:jc w:val="center"/>
              <w:rPr>
                <w:color w:val="auto"/>
              </w:rPr>
            </w:pPr>
            <w:r>
              <w:rPr>
                <w:color w:val="auto"/>
              </w:rPr>
              <w:t>0.01</w:t>
            </w:r>
          </w:p>
        </w:tc>
        <w:tc>
          <w:tcPr>
            <w:tcW w:w="2561" w:type="dxa"/>
            <w:vMerge w:val="continue"/>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706" w:type="dxa"/>
            <w:tcBorders>
              <w:tl2br w:val="nil"/>
              <w:tr2bl w:val="nil"/>
            </w:tcBorders>
            <w:vAlign w:val="center"/>
          </w:tcPr>
          <w:p>
            <w:pPr>
              <w:pStyle w:val="22"/>
              <w:bidi w:val="0"/>
              <w:jc w:val="center"/>
              <w:rPr>
                <w:color w:val="auto"/>
              </w:rPr>
            </w:pPr>
            <w:r>
              <w:rPr>
                <w:color w:val="auto"/>
              </w:rPr>
              <w:t>9</w:t>
            </w:r>
          </w:p>
        </w:tc>
        <w:tc>
          <w:tcPr>
            <w:tcW w:w="1369" w:type="dxa"/>
            <w:tcBorders>
              <w:tl2br w:val="nil"/>
              <w:tr2bl w:val="nil"/>
            </w:tcBorders>
            <w:vAlign w:val="center"/>
          </w:tcPr>
          <w:p>
            <w:pPr>
              <w:pStyle w:val="22"/>
              <w:bidi w:val="0"/>
              <w:jc w:val="center"/>
              <w:rPr>
                <w:color w:val="auto"/>
              </w:rPr>
            </w:pPr>
            <w:r>
              <w:rPr>
                <w:color w:val="auto"/>
              </w:rPr>
              <w:t>非甲烷总烃</w:t>
            </w:r>
          </w:p>
        </w:tc>
        <w:tc>
          <w:tcPr>
            <w:tcW w:w="1960" w:type="dxa"/>
            <w:tcBorders>
              <w:tl2br w:val="nil"/>
              <w:tr2bl w:val="nil"/>
            </w:tcBorders>
            <w:vAlign w:val="center"/>
          </w:tcPr>
          <w:p>
            <w:pPr>
              <w:pStyle w:val="22"/>
              <w:bidi w:val="0"/>
              <w:jc w:val="center"/>
              <w:rPr>
                <w:color w:val="auto"/>
              </w:rPr>
            </w:pPr>
            <w:r>
              <w:rPr>
                <w:color w:val="auto"/>
              </w:rPr>
              <w:t>1小时均值</w:t>
            </w:r>
          </w:p>
        </w:tc>
        <w:tc>
          <w:tcPr>
            <w:tcW w:w="1838" w:type="dxa"/>
            <w:tcBorders>
              <w:tl2br w:val="nil"/>
              <w:tr2bl w:val="nil"/>
            </w:tcBorders>
            <w:vAlign w:val="center"/>
          </w:tcPr>
          <w:p>
            <w:pPr>
              <w:pStyle w:val="22"/>
              <w:bidi w:val="0"/>
              <w:jc w:val="center"/>
              <w:rPr>
                <w:color w:val="auto"/>
              </w:rPr>
            </w:pPr>
            <w:r>
              <w:rPr>
                <w:color w:val="auto"/>
              </w:rPr>
              <w:t>2.0</w:t>
            </w:r>
          </w:p>
        </w:tc>
        <w:tc>
          <w:tcPr>
            <w:tcW w:w="2561" w:type="dxa"/>
            <w:tcBorders>
              <w:tl2br w:val="nil"/>
              <w:tr2bl w:val="nil"/>
            </w:tcBorders>
            <w:vAlign w:val="center"/>
          </w:tcPr>
          <w:p>
            <w:pPr>
              <w:pStyle w:val="22"/>
              <w:bidi w:val="0"/>
              <w:jc w:val="center"/>
              <w:rPr>
                <w:color w:val="auto"/>
              </w:rPr>
            </w:pPr>
            <w:r>
              <w:rPr>
                <w:color w:val="auto"/>
              </w:rPr>
              <w:t>（GB16297-1996）详解</w:t>
            </w:r>
          </w:p>
        </w:tc>
      </w:tr>
    </w:tbl>
    <w:p>
      <w:pPr>
        <w:bidi w:val="0"/>
        <w:rPr>
          <w:rFonts w:hint="eastAsia"/>
          <w:color w:val="auto"/>
          <w:lang w:val="en-US" w:eastAsia="zh-CN"/>
        </w:rPr>
      </w:pPr>
      <w:r>
        <w:rPr>
          <w:rFonts w:hint="eastAsia"/>
          <w:color w:val="auto"/>
          <w:lang w:val="en-US" w:eastAsia="zh-CN"/>
        </w:rPr>
        <w:t>（2）地表水</w:t>
      </w:r>
    </w:p>
    <w:p>
      <w:pPr>
        <w:bidi w:val="0"/>
        <w:rPr>
          <w:rFonts w:hint="eastAsia"/>
          <w:color w:val="auto"/>
          <w:lang w:val="en-US" w:eastAsia="zh-CN"/>
        </w:rPr>
      </w:pPr>
      <w:r>
        <w:rPr>
          <w:rFonts w:hint="eastAsia"/>
          <w:color w:val="auto"/>
          <w:lang w:val="en-US" w:eastAsia="zh-CN"/>
        </w:rPr>
        <w:t>本项目地表水评价等级为三级B，且项目区周边无地表水体分布，因此无需进行地表水环境质量现状调查。</w:t>
      </w:r>
    </w:p>
    <w:p>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w:t>
      </w:r>
      <w:r>
        <w:rPr>
          <w:rFonts w:hint="eastAsia" w:ascii="Times New Roman" w:hAnsi="Times New Roman" w:eastAsia="宋体" w:cs="Times New Roman"/>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）地下水</w:t>
      </w:r>
    </w:p>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地下水质量执行《地下水质量标准》（GB/T14848-2017）的Ⅲ类标准，标准限值见表2.5-2。</w:t>
      </w:r>
    </w:p>
    <w:p>
      <w:pPr>
        <w:bidi w:val="0"/>
        <w:jc w:val="center"/>
        <w:rPr>
          <w:b/>
          <w:bCs/>
          <w:color w:val="auto"/>
          <w:lang w:val="en-US" w:eastAsia="zh-CN"/>
        </w:rPr>
      </w:pPr>
      <w:r>
        <w:rPr>
          <w:rFonts w:hint="eastAsia"/>
          <w:b/>
          <w:bCs/>
          <w:color w:val="auto"/>
          <w:lang w:val="en-US" w:eastAsia="zh-CN"/>
        </w:rPr>
        <w:t>表</w:t>
      </w:r>
      <w:r>
        <w:rPr>
          <w:b/>
          <w:bCs/>
          <w:color w:val="auto"/>
          <w:lang w:val="en-US" w:eastAsia="zh-CN"/>
        </w:rPr>
        <w:t>2.5-2</w:t>
      </w:r>
      <w:r>
        <w:rPr>
          <w:rFonts w:hint="eastAsia"/>
          <w:b/>
          <w:bCs/>
          <w:color w:val="auto"/>
          <w:lang w:val="en-US" w:eastAsia="zh-CN"/>
        </w:rPr>
        <w:t>地下水质量标准单位：</w:t>
      </w:r>
      <w:r>
        <w:rPr>
          <w:b/>
          <w:bCs/>
          <w:color w:val="auto"/>
          <w:lang w:val="en-US" w:eastAsia="zh-CN"/>
        </w:rPr>
        <w:t>mg/L，pH除外</w:t>
      </w:r>
    </w:p>
    <w:tbl>
      <w:tblPr>
        <w:tblStyle w:val="23"/>
        <w:tblW w:w="8300" w:type="dxa"/>
        <w:tblInd w:w="1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7"/>
        <w:gridCol w:w="1847"/>
        <w:gridCol w:w="1367"/>
        <w:gridCol w:w="984"/>
        <w:gridCol w:w="2027"/>
        <w:gridCol w:w="12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847" w:type="dxa"/>
            <w:vAlign w:val="top"/>
          </w:tcPr>
          <w:p>
            <w:pPr>
              <w:widowControl/>
              <w:kinsoku w:val="0"/>
              <w:autoSpaceDE w:val="0"/>
              <w:autoSpaceDN w:val="0"/>
              <w:adjustRightInd w:val="0"/>
              <w:snapToGrid w:val="0"/>
              <w:spacing w:before="99" w:line="222" w:lineRule="auto"/>
              <w:ind w:left="218" w:firstLine="0" w:firstLineChars="0"/>
              <w:jc w:val="left"/>
              <w:textAlignment w:val="baseline"/>
              <w:rPr>
                <w:rFonts w:ascii="宋体" w:hAnsi="宋体" w:eastAsia="宋体" w:cs="宋体"/>
                <w:b/>
                <w:bCs/>
                <w:snapToGrid w:val="0"/>
                <w:color w:val="auto"/>
                <w:kern w:val="0"/>
                <w:sz w:val="21"/>
                <w:szCs w:val="21"/>
              </w:rPr>
            </w:pPr>
            <w:r>
              <w:rPr>
                <w:rFonts w:ascii="宋体" w:hAnsi="宋体" w:eastAsia="宋体" w:cs="宋体"/>
                <w:b/>
                <w:bCs/>
                <w:snapToGrid w:val="0"/>
                <w:color w:val="auto"/>
                <w:spacing w:val="-2"/>
                <w:kern w:val="0"/>
                <w:sz w:val="21"/>
                <w:szCs w:val="21"/>
              </w:rPr>
              <w:t>序</w:t>
            </w:r>
            <w:r>
              <w:rPr>
                <w:rFonts w:ascii="宋体" w:hAnsi="宋体" w:eastAsia="宋体" w:cs="宋体"/>
                <w:b/>
                <w:bCs/>
                <w:snapToGrid w:val="0"/>
                <w:color w:val="auto"/>
                <w:spacing w:val="-1"/>
                <w:kern w:val="0"/>
                <w:sz w:val="21"/>
                <w:szCs w:val="21"/>
              </w:rPr>
              <w:t>号</w:t>
            </w:r>
          </w:p>
        </w:tc>
        <w:tc>
          <w:tcPr>
            <w:tcW w:w="1847" w:type="dxa"/>
            <w:vAlign w:val="top"/>
          </w:tcPr>
          <w:p>
            <w:pPr>
              <w:widowControl/>
              <w:kinsoku w:val="0"/>
              <w:autoSpaceDE w:val="0"/>
              <w:autoSpaceDN w:val="0"/>
              <w:adjustRightInd w:val="0"/>
              <w:snapToGrid w:val="0"/>
              <w:spacing w:before="99" w:line="221" w:lineRule="auto"/>
              <w:ind w:left="508" w:firstLine="0" w:firstLineChars="0"/>
              <w:jc w:val="left"/>
              <w:textAlignment w:val="baseline"/>
              <w:rPr>
                <w:rFonts w:ascii="宋体" w:hAnsi="宋体" w:eastAsia="宋体" w:cs="宋体"/>
                <w:b/>
                <w:bCs/>
                <w:snapToGrid w:val="0"/>
                <w:color w:val="auto"/>
                <w:kern w:val="0"/>
                <w:sz w:val="21"/>
                <w:szCs w:val="21"/>
              </w:rPr>
            </w:pPr>
            <w:r>
              <w:rPr>
                <w:rFonts w:ascii="宋体" w:hAnsi="宋体" w:eastAsia="宋体" w:cs="宋体"/>
                <w:b/>
                <w:bCs/>
                <w:snapToGrid w:val="0"/>
                <w:color w:val="auto"/>
                <w:spacing w:val="-2"/>
                <w:kern w:val="0"/>
                <w:sz w:val="21"/>
                <w:szCs w:val="21"/>
              </w:rPr>
              <w:t>监测</w:t>
            </w:r>
            <w:r>
              <w:rPr>
                <w:rFonts w:ascii="宋体" w:hAnsi="宋体" w:eastAsia="宋体" w:cs="宋体"/>
                <w:b/>
                <w:bCs/>
                <w:snapToGrid w:val="0"/>
                <w:color w:val="auto"/>
                <w:spacing w:val="-1"/>
                <w:kern w:val="0"/>
                <w:sz w:val="21"/>
                <w:szCs w:val="21"/>
              </w:rPr>
              <w:t>指标</w:t>
            </w:r>
          </w:p>
        </w:tc>
        <w:tc>
          <w:tcPr>
            <w:tcW w:w="1367" w:type="dxa"/>
            <w:vAlign w:val="top"/>
          </w:tcPr>
          <w:p>
            <w:pPr>
              <w:widowControl/>
              <w:kinsoku w:val="0"/>
              <w:autoSpaceDE w:val="0"/>
              <w:autoSpaceDN w:val="0"/>
              <w:adjustRightInd w:val="0"/>
              <w:snapToGrid w:val="0"/>
              <w:spacing w:before="98" w:line="221" w:lineRule="auto"/>
              <w:ind w:left="373" w:firstLine="0" w:firstLineChars="0"/>
              <w:jc w:val="left"/>
              <w:textAlignment w:val="baseline"/>
              <w:rPr>
                <w:rFonts w:ascii="宋体" w:hAnsi="宋体" w:eastAsia="宋体" w:cs="宋体"/>
                <w:b/>
                <w:bCs/>
                <w:snapToGrid w:val="0"/>
                <w:color w:val="auto"/>
                <w:kern w:val="0"/>
                <w:sz w:val="21"/>
                <w:szCs w:val="21"/>
              </w:rPr>
            </w:pPr>
            <w:r>
              <w:rPr>
                <w:rFonts w:ascii="宋体" w:hAnsi="宋体" w:eastAsia="宋体" w:cs="宋体"/>
                <w:b/>
                <w:bCs/>
                <w:snapToGrid w:val="0"/>
                <w:color w:val="auto"/>
                <w:spacing w:val="-2"/>
                <w:kern w:val="0"/>
                <w:sz w:val="21"/>
                <w:szCs w:val="21"/>
              </w:rPr>
              <w:t>标</w:t>
            </w:r>
            <w:r>
              <w:rPr>
                <w:rFonts w:ascii="宋体" w:hAnsi="宋体" w:eastAsia="宋体" w:cs="宋体"/>
                <w:b/>
                <w:bCs/>
                <w:snapToGrid w:val="0"/>
                <w:color w:val="auto"/>
                <w:spacing w:val="-1"/>
                <w:kern w:val="0"/>
                <w:sz w:val="21"/>
                <w:szCs w:val="21"/>
              </w:rPr>
              <w:t>准值</w:t>
            </w:r>
          </w:p>
        </w:tc>
        <w:tc>
          <w:tcPr>
            <w:tcW w:w="984" w:type="dxa"/>
            <w:vAlign w:val="top"/>
          </w:tcPr>
          <w:p>
            <w:pPr>
              <w:widowControl/>
              <w:kinsoku w:val="0"/>
              <w:autoSpaceDE w:val="0"/>
              <w:autoSpaceDN w:val="0"/>
              <w:adjustRightInd w:val="0"/>
              <w:snapToGrid w:val="0"/>
              <w:spacing w:before="99" w:line="222" w:lineRule="auto"/>
              <w:ind w:left="286" w:firstLine="0" w:firstLineChars="0"/>
              <w:jc w:val="left"/>
              <w:textAlignment w:val="baseline"/>
              <w:rPr>
                <w:rFonts w:ascii="宋体" w:hAnsi="宋体" w:eastAsia="宋体" w:cs="宋体"/>
                <w:b/>
                <w:bCs/>
                <w:snapToGrid w:val="0"/>
                <w:color w:val="auto"/>
                <w:kern w:val="0"/>
                <w:sz w:val="21"/>
                <w:szCs w:val="21"/>
              </w:rPr>
            </w:pPr>
            <w:r>
              <w:rPr>
                <w:rFonts w:ascii="宋体" w:hAnsi="宋体" w:eastAsia="宋体" w:cs="宋体"/>
                <w:b/>
                <w:bCs/>
                <w:snapToGrid w:val="0"/>
                <w:color w:val="auto"/>
                <w:spacing w:val="-2"/>
                <w:kern w:val="0"/>
                <w:sz w:val="21"/>
                <w:szCs w:val="21"/>
              </w:rPr>
              <w:t>序</w:t>
            </w:r>
            <w:r>
              <w:rPr>
                <w:rFonts w:ascii="宋体" w:hAnsi="宋体" w:eastAsia="宋体" w:cs="宋体"/>
                <w:b/>
                <w:bCs/>
                <w:snapToGrid w:val="0"/>
                <w:color w:val="auto"/>
                <w:spacing w:val="-1"/>
                <w:kern w:val="0"/>
                <w:sz w:val="21"/>
                <w:szCs w:val="21"/>
              </w:rPr>
              <w:t>号</w:t>
            </w:r>
          </w:p>
        </w:tc>
        <w:tc>
          <w:tcPr>
            <w:tcW w:w="2027" w:type="dxa"/>
            <w:vAlign w:val="top"/>
          </w:tcPr>
          <w:p>
            <w:pPr>
              <w:widowControl/>
              <w:kinsoku w:val="0"/>
              <w:autoSpaceDE w:val="0"/>
              <w:autoSpaceDN w:val="0"/>
              <w:adjustRightInd w:val="0"/>
              <w:snapToGrid w:val="0"/>
              <w:spacing w:before="99" w:line="221" w:lineRule="auto"/>
              <w:ind w:left="600" w:firstLine="0" w:firstLineChars="0"/>
              <w:jc w:val="left"/>
              <w:textAlignment w:val="baseline"/>
              <w:rPr>
                <w:rFonts w:ascii="宋体" w:hAnsi="宋体" w:eastAsia="宋体" w:cs="宋体"/>
                <w:b/>
                <w:bCs/>
                <w:snapToGrid w:val="0"/>
                <w:color w:val="auto"/>
                <w:kern w:val="0"/>
                <w:sz w:val="21"/>
                <w:szCs w:val="21"/>
              </w:rPr>
            </w:pPr>
            <w:r>
              <w:rPr>
                <w:rFonts w:ascii="宋体" w:hAnsi="宋体" w:eastAsia="宋体" w:cs="宋体"/>
                <w:b/>
                <w:bCs/>
                <w:snapToGrid w:val="0"/>
                <w:color w:val="auto"/>
                <w:spacing w:val="-2"/>
                <w:kern w:val="0"/>
                <w:sz w:val="21"/>
                <w:szCs w:val="21"/>
              </w:rPr>
              <w:t>监测</w:t>
            </w:r>
            <w:r>
              <w:rPr>
                <w:rFonts w:ascii="宋体" w:hAnsi="宋体" w:eastAsia="宋体" w:cs="宋体"/>
                <w:b/>
                <w:bCs/>
                <w:snapToGrid w:val="0"/>
                <w:color w:val="auto"/>
                <w:spacing w:val="-1"/>
                <w:kern w:val="0"/>
                <w:sz w:val="21"/>
                <w:szCs w:val="21"/>
              </w:rPr>
              <w:t>指标</w:t>
            </w:r>
          </w:p>
        </w:tc>
        <w:tc>
          <w:tcPr>
            <w:tcW w:w="1228" w:type="dxa"/>
            <w:vAlign w:val="top"/>
          </w:tcPr>
          <w:p>
            <w:pPr>
              <w:widowControl/>
              <w:kinsoku w:val="0"/>
              <w:autoSpaceDE w:val="0"/>
              <w:autoSpaceDN w:val="0"/>
              <w:adjustRightInd w:val="0"/>
              <w:snapToGrid w:val="0"/>
              <w:spacing w:before="98" w:line="221" w:lineRule="auto"/>
              <w:ind w:left="301" w:firstLine="0" w:firstLineChars="0"/>
              <w:jc w:val="left"/>
              <w:textAlignment w:val="baseline"/>
              <w:rPr>
                <w:rFonts w:ascii="宋体" w:hAnsi="宋体" w:eastAsia="宋体" w:cs="宋体"/>
                <w:b/>
                <w:bCs/>
                <w:snapToGrid w:val="0"/>
                <w:color w:val="auto"/>
                <w:kern w:val="0"/>
                <w:sz w:val="21"/>
                <w:szCs w:val="21"/>
              </w:rPr>
            </w:pPr>
            <w:r>
              <w:rPr>
                <w:rFonts w:ascii="宋体" w:hAnsi="宋体" w:eastAsia="宋体" w:cs="宋体"/>
                <w:b/>
                <w:bCs/>
                <w:snapToGrid w:val="0"/>
                <w:color w:val="auto"/>
                <w:spacing w:val="-2"/>
                <w:kern w:val="0"/>
                <w:sz w:val="21"/>
                <w:szCs w:val="21"/>
              </w:rPr>
              <w:t>标</w:t>
            </w:r>
            <w:r>
              <w:rPr>
                <w:rFonts w:ascii="宋体" w:hAnsi="宋体" w:eastAsia="宋体" w:cs="宋体"/>
                <w:b/>
                <w:bCs/>
                <w:snapToGrid w:val="0"/>
                <w:color w:val="auto"/>
                <w:spacing w:val="-1"/>
                <w:kern w:val="0"/>
                <w:sz w:val="21"/>
                <w:szCs w:val="21"/>
              </w:rPr>
              <w:t>准值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847" w:type="dxa"/>
            <w:vAlign w:val="top"/>
          </w:tcPr>
          <w:p>
            <w:pPr>
              <w:widowControl/>
              <w:kinsoku w:val="0"/>
              <w:autoSpaceDE w:val="0"/>
              <w:autoSpaceDN w:val="0"/>
              <w:adjustRightInd w:val="0"/>
              <w:snapToGrid w:val="0"/>
              <w:spacing w:before="133" w:line="187" w:lineRule="auto"/>
              <w:ind w:left="391" w:firstLine="0" w:firstLineChars="0"/>
              <w:jc w:val="left"/>
              <w:textAlignment w:val="baseline"/>
              <w:rPr>
                <w:rFonts w:ascii="Times New Roman" w:hAnsi="Times New Roman" w:eastAsia="Times New Roman" w:cs="Times New Roman"/>
                <w:snapToGrid w:val="0"/>
                <w:color w:val="auto"/>
                <w:kern w:val="0"/>
                <w:sz w:val="21"/>
                <w:szCs w:val="21"/>
              </w:rPr>
            </w:pPr>
            <w:r>
              <w:rPr>
                <w:rFonts w:ascii="Times New Roman" w:hAnsi="Times New Roman" w:eastAsia="Times New Roman" w:cs="Times New Roman"/>
                <w:snapToGrid w:val="0"/>
                <w:color w:val="auto"/>
                <w:kern w:val="0"/>
                <w:sz w:val="21"/>
                <w:szCs w:val="21"/>
              </w:rPr>
              <w:t>1</w:t>
            </w:r>
          </w:p>
        </w:tc>
        <w:tc>
          <w:tcPr>
            <w:tcW w:w="1847" w:type="dxa"/>
            <w:vAlign w:val="top"/>
          </w:tcPr>
          <w:p>
            <w:pPr>
              <w:widowControl/>
              <w:kinsoku w:val="0"/>
              <w:autoSpaceDE w:val="0"/>
              <w:autoSpaceDN w:val="0"/>
              <w:adjustRightInd w:val="0"/>
              <w:snapToGrid w:val="0"/>
              <w:spacing w:before="130" w:line="191" w:lineRule="auto"/>
              <w:ind w:left="789" w:firstLine="0" w:firstLineChars="0"/>
              <w:jc w:val="left"/>
              <w:textAlignment w:val="baseline"/>
              <w:rPr>
                <w:rFonts w:ascii="Times New Roman" w:hAnsi="Times New Roman" w:eastAsia="Times New Roman" w:cs="Times New Roman"/>
                <w:snapToGrid w:val="0"/>
                <w:color w:val="auto"/>
                <w:kern w:val="0"/>
                <w:sz w:val="21"/>
                <w:szCs w:val="21"/>
              </w:rPr>
            </w:pPr>
            <w:r>
              <w:rPr>
                <w:rFonts w:ascii="Times New Roman" w:hAnsi="Times New Roman" w:eastAsia="Times New Roman" w:cs="Times New Roman"/>
                <w:snapToGrid w:val="0"/>
                <w:color w:val="auto"/>
                <w:spacing w:val="1"/>
                <w:kern w:val="0"/>
                <w:sz w:val="21"/>
                <w:szCs w:val="21"/>
              </w:rPr>
              <w:t>p</w:t>
            </w:r>
            <w:r>
              <w:rPr>
                <w:rFonts w:ascii="Times New Roman" w:hAnsi="Times New Roman" w:eastAsia="Times New Roman" w:cs="Times New Roman"/>
                <w:snapToGrid w:val="0"/>
                <w:color w:val="auto"/>
                <w:kern w:val="0"/>
                <w:sz w:val="21"/>
                <w:szCs w:val="21"/>
              </w:rPr>
              <w:t>H</w:t>
            </w:r>
          </w:p>
        </w:tc>
        <w:tc>
          <w:tcPr>
            <w:tcW w:w="1367" w:type="dxa"/>
            <w:vAlign w:val="top"/>
          </w:tcPr>
          <w:p>
            <w:pPr>
              <w:widowControl/>
              <w:kinsoku w:val="0"/>
              <w:autoSpaceDE w:val="0"/>
              <w:autoSpaceDN w:val="0"/>
              <w:adjustRightInd w:val="0"/>
              <w:snapToGrid w:val="0"/>
              <w:spacing w:before="134" w:line="187" w:lineRule="auto"/>
              <w:ind w:left="370" w:firstLine="0" w:firstLineChars="0"/>
              <w:jc w:val="left"/>
              <w:textAlignment w:val="baseline"/>
              <w:rPr>
                <w:rFonts w:ascii="Times New Roman" w:hAnsi="Times New Roman" w:eastAsia="Times New Roman" w:cs="Times New Roman"/>
                <w:snapToGrid w:val="0"/>
                <w:color w:val="auto"/>
                <w:kern w:val="0"/>
                <w:sz w:val="21"/>
                <w:szCs w:val="21"/>
              </w:rPr>
            </w:pPr>
            <w:r>
              <w:rPr>
                <w:rFonts w:ascii="Times New Roman" w:hAnsi="Times New Roman" w:eastAsia="Times New Roman" w:cs="Times New Roman"/>
                <w:snapToGrid w:val="0"/>
                <w:color w:val="auto"/>
                <w:spacing w:val="1"/>
                <w:kern w:val="0"/>
                <w:sz w:val="21"/>
                <w:szCs w:val="21"/>
              </w:rPr>
              <w:t>6.</w:t>
            </w:r>
            <w:r>
              <w:rPr>
                <w:rFonts w:ascii="Times New Roman" w:hAnsi="Times New Roman" w:eastAsia="Times New Roman" w:cs="Times New Roman"/>
                <w:snapToGrid w:val="0"/>
                <w:color w:val="auto"/>
                <w:kern w:val="0"/>
                <w:sz w:val="21"/>
                <w:szCs w:val="21"/>
              </w:rPr>
              <w:t>5~8.5</w:t>
            </w:r>
          </w:p>
        </w:tc>
        <w:tc>
          <w:tcPr>
            <w:tcW w:w="984" w:type="dxa"/>
            <w:vAlign w:val="top"/>
          </w:tcPr>
          <w:p>
            <w:pPr>
              <w:widowControl/>
              <w:kinsoku w:val="0"/>
              <w:autoSpaceDE w:val="0"/>
              <w:autoSpaceDN w:val="0"/>
              <w:adjustRightInd w:val="0"/>
              <w:snapToGrid w:val="0"/>
              <w:spacing w:before="133" w:line="187" w:lineRule="auto"/>
              <w:ind w:left="409" w:firstLine="0" w:firstLineChars="0"/>
              <w:jc w:val="left"/>
              <w:textAlignment w:val="baseline"/>
              <w:rPr>
                <w:rFonts w:ascii="Times New Roman" w:hAnsi="Times New Roman" w:eastAsia="Times New Roman" w:cs="Times New Roman"/>
                <w:snapToGrid w:val="0"/>
                <w:color w:val="auto"/>
                <w:kern w:val="0"/>
                <w:sz w:val="21"/>
                <w:szCs w:val="21"/>
              </w:rPr>
            </w:pPr>
            <w:r>
              <w:rPr>
                <w:rFonts w:ascii="Times New Roman" w:hAnsi="Times New Roman" w:eastAsia="Times New Roman" w:cs="Times New Roman"/>
                <w:snapToGrid w:val="0"/>
                <w:color w:val="auto"/>
                <w:spacing w:val="-6"/>
                <w:kern w:val="0"/>
                <w:sz w:val="21"/>
                <w:szCs w:val="21"/>
              </w:rPr>
              <w:t>14</w:t>
            </w:r>
          </w:p>
        </w:tc>
        <w:tc>
          <w:tcPr>
            <w:tcW w:w="2027" w:type="dxa"/>
            <w:vAlign w:val="top"/>
          </w:tcPr>
          <w:p>
            <w:pPr>
              <w:widowControl/>
              <w:kinsoku w:val="0"/>
              <w:autoSpaceDE w:val="0"/>
              <w:autoSpaceDN w:val="0"/>
              <w:adjustRightInd w:val="0"/>
              <w:snapToGrid w:val="0"/>
              <w:spacing w:before="95" w:line="220" w:lineRule="auto"/>
              <w:ind w:left="810" w:firstLine="0" w:firstLineChars="0"/>
              <w:jc w:val="left"/>
              <w:textAlignment w:val="baseline"/>
              <w:rPr>
                <w:rFonts w:ascii="宋体" w:hAnsi="宋体" w:eastAsia="宋体" w:cs="宋体"/>
                <w:snapToGrid w:val="0"/>
                <w:color w:val="auto"/>
                <w:kern w:val="0"/>
                <w:sz w:val="21"/>
                <w:szCs w:val="21"/>
              </w:rPr>
            </w:pPr>
            <w:r>
              <w:rPr>
                <w:rFonts w:ascii="宋体" w:hAnsi="宋体" w:eastAsia="宋体" w:cs="宋体"/>
                <w:snapToGrid w:val="0"/>
                <w:color w:val="auto"/>
                <w:spacing w:val="-2"/>
                <w:kern w:val="0"/>
                <w:sz w:val="21"/>
                <w:szCs w:val="21"/>
              </w:rPr>
              <w:t>氨</w:t>
            </w:r>
            <w:r>
              <w:rPr>
                <w:rFonts w:ascii="宋体" w:hAnsi="宋体" w:eastAsia="宋体" w:cs="宋体"/>
                <w:snapToGrid w:val="0"/>
                <w:color w:val="auto"/>
                <w:spacing w:val="-1"/>
                <w:kern w:val="0"/>
                <w:sz w:val="21"/>
                <w:szCs w:val="21"/>
              </w:rPr>
              <w:t>氮</w:t>
            </w:r>
          </w:p>
        </w:tc>
        <w:tc>
          <w:tcPr>
            <w:tcW w:w="1228" w:type="dxa"/>
            <w:vAlign w:val="top"/>
          </w:tcPr>
          <w:p>
            <w:pPr>
              <w:widowControl/>
              <w:kinsoku w:val="0"/>
              <w:autoSpaceDE w:val="0"/>
              <w:autoSpaceDN w:val="0"/>
              <w:adjustRightInd w:val="0"/>
              <w:snapToGrid w:val="0"/>
              <w:spacing w:before="94" w:line="237" w:lineRule="auto"/>
              <w:ind w:left="394" w:firstLine="0" w:firstLineChars="0"/>
              <w:jc w:val="left"/>
              <w:textAlignment w:val="baseline"/>
              <w:rPr>
                <w:rFonts w:ascii="Times New Roman" w:hAnsi="Times New Roman" w:eastAsia="Times New Roman" w:cs="Times New Roman"/>
                <w:snapToGrid w:val="0"/>
                <w:color w:val="auto"/>
                <w:kern w:val="0"/>
                <w:sz w:val="21"/>
                <w:szCs w:val="21"/>
              </w:rPr>
            </w:pPr>
            <w:r>
              <w:rPr>
                <w:rFonts w:ascii="宋体" w:hAnsi="宋体" w:eastAsia="宋体" w:cs="宋体"/>
                <w:snapToGrid w:val="0"/>
                <w:color w:val="auto"/>
                <w:spacing w:val="-6"/>
                <w:kern w:val="0"/>
                <w:sz w:val="21"/>
                <w:szCs w:val="21"/>
              </w:rPr>
              <w:t>≤</w:t>
            </w:r>
            <w:r>
              <w:rPr>
                <w:rFonts w:ascii="Times New Roman" w:hAnsi="Times New Roman" w:eastAsia="Times New Roman" w:cs="Times New Roman"/>
                <w:snapToGrid w:val="0"/>
                <w:color w:val="auto"/>
                <w:spacing w:val="-5"/>
                <w:kern w:val="0"/>
                <w:sz w:val="21"/>
                <w:szCs w:val="21"/>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47" w:type="dxa"/>
            <w:vAlign w:val="top"/>
          </w:tcPr>
          <w:p>
            <w:pPr>
              <w:widowControl/>
              <w:kinsoku w:val="0"/>
              <w:autoSpaceDE w:val="0"/>
              <w:autoSpaceDN w:val="0"/>
              <w:adjustRightInd w:val="0"/>
              <w:snapToGrid w:val="0"/>
              <w:spacing w:before="134" w:line="187" w:lineRule="auto"/>
              <w:ind w:left="371" w:firstLine="0" w:firstLineChars="0"/>
              <w:jc w:val="left"/>
              <w:textAlignment w:val="baseline"/>
              <w:rPr>
                <w:rFonts w:ascii="Times New Roman" w:hAnsi="Times New Roman" w:eastAsia="Times New Roman" w:cs="Times New Roman"/>
                <w:snapToGrid w:val="0"/>
                <w:color w:val="auto"/>
                <w:kern w:val="0"/>
                <w:sz w:val="21"/>
                <w:szCs w:val="21"/>
              </w:rPr>
            </w:pPr>
            <w:r>
              <w:rPr>
                <w:rFonts w:ascii="Times New Roman" w:hAnsi="Times New Roman" w:eastAsia="Times New Roman" w:cs="Times New Roman"/>
                <w:snapToGrid w:val="0"/>
                <w:color w:val="auto"/>
                <w:kern w:val="0"/>
                <w:sz w:val="21"/>
                <w:szCs w:val="21"/>
              </w:rPr>
              <w:t>2</w:t>
            </w:r>
          </w:p>
        </w:tc>
        <w:tc>
          <w:tcPr>
            <w:tcW w:w="1847" w:type="dxa"/>
            <w:vAlign w:val="top"/>
          </w:tcPr>
          <w:p>
            <w:pPr>
              <w:widowControl/>
              <w:kinsoku w:val="0"/>
              <w:autoSpaceDE w:val="0"/>
              <w:autoSpaceDN w:val="0"/>
              <w:adjustRightInd w:val="0"/>
              <w:snapToGrid w:val="0"/>
              <w:spacing w:before="96" w:line="221" w:lineRule="auto"/>
              <w:ind w:left="616" w:firstLine="0" w:firstLineChars="0"/>
              <w:jc w:val="left"/>
              <w:textAlignment w:val="baseline"/>
              <w:rPr>
                <w:rFonts w:ascii="宋体" w:hAnsi="宋体" w:eastAsia="宋体" w:cs="宋体"/>
                <w:snapToGrid w:val="0"/>
                <w:color w:val="auto"/>
                <w:kern w:val="0"/>
                <w:sz w:val="21"/>
                <w:szCs w:val="21"/>
              </w:rPr>
            </w:pPr>
            <w:r>
              <w:rPr>
                <w:rFonts w:ascii="宋体" w:hAnsi="宋体" w:eastAsia="宋体" w:cs="宋体"/>
                <w:snapToGrid w:val="0"/>
                <w:color w:val="auto"/>
                <w:spacing w:val="-3"/>
                <w:kern w:val="0"/>
                <w:sz w:val="21"/>
                <w:szCs w:val="21"/>
              </w:rPr>
              <w:t>总</w:t>
            </w:r>
            <w:r>
              <w:rPr>
                <w:rFonts w:ascii="宋体" w:hAnsi="宋体" w:eastAsia="宋体" w:cs="宋体"/>
                <w:snapToGrid w:val="0"/>
                <w:color w:val="auto"/>
                <w:spacing w:val="-2"/>
                <w:kern w:val="0"/>
                <w:sz w:val="21"/>
                <w:szCs w:val="21"/>
              </w:rPr>
              <w:t>硬度</w:t>
            </w:r>
          </w:p>
        </w:tc>
        <w:tc>
          <w:tcPr>
            <w:tcW w:w="1367" w:type="dxa"/>
            <w:vAlign w:val="top"/>
          </w:tcPr>
          <w:p>
            <w:pPr>
              <w:widowControl/>
              <w:kinsoku w:val="0"/>
              <w:autoSpaceDE w:val="0"/>
              <w:autoSpaceDN w:val="0"/>
              <w:adjustRightInd w:val="0"/>
              <w:snapToGrid w:val="0"/>
              <w:spacing w:before="95" w:line="237" w:lineRule="auto"/>
              <w:ind w:left="439" w:firstLine="0" w:firstLineChars="0"/>
              <w:jc w:val="left"/>
              <w:textAlignment w:val="baseline"/>
              <w:rPr>
                <w:rFonts w:ascii="Times New Roman" w:hAnsi="Times New Roman" w:eastAsia="Times New Roman" w:cs="Times New Roman"/>
                <w:snapToGrid w:val="0"/>
                <w:color w:val="auto"/>
                <w:kern w:val="0"/>
                <w:sz w:val="21"/>
                <w:szCs w:val="21"/>
              </w:rPr>
            </w:pPr>
            <w:r>
              <w:rPr>
                <w:rFonts w:ascii="宋体" w:hAnsi="宋体" w:eastAsia="宋体" w:cs="宋体"/>
                <w:snapToGrid w:val="0"/>
                <w:color w:val="auto"/>
                <w:spacing w:val="-6"/>
                <w:kern w:val="0"/>
                <w:sz w:val="21"/>
                <w:szCs w:val="21"/>
              </w:rPr>
              <w:t>≤</w:t>
            </w:r>
            <w:r>
              <w:rPr>
                <w:rFonts w:ascii="Times New Roman" w:hAnsi="Times New Roman" w:eastAsia="Times New Roman" w:cs="Times New Roman"/>
                <w:snapToGrid w:val="0"/>
                <w:color w:val="auto"/>
                <w:spacing w:val="-5"/>
                <w:kern w:val="0"/>
                <w:sz w:val="21"/>
                <w:szCs w:val="21"/>
              </w:rPr>
              <w:t>450</w:t>
            </w:r>
          </w:p>
        </w:tc>
        <w:tc>
          <w:tcPr>
            <w:tcW w:w="984" w:type="dxa"/>
            <w:vAlign w:val="top"/>
          </w:tcPr>
          <w:p>
            <w:pPr>
              <w:widowControl/>
              <w:kinsoku w:val="0"/>
              <w:autoSpaceDE w:val="0"/>
              <w:autoSpaceDN w:val="0"/>
              <w:adjustRightInd w:val="0"/>
              <w:snapToGrid w:val="0"/>
              <w:spacing w:before="134" w:line="187" w:lineRule="auto"/>
              <w:ind w:left="409" w:firstLine="0" w:firstLineChars="0"/>
              <w:jc w:val="left"/>
              <w:textAlignment w:val="baseline"/>
              <w:rPr>
                <w:rFonts w:ascii="Times New Roman" w:hAnsi="Times New Roman" w:eastAsia="Times New Roman" w:cs="Times New Roman"/>
                <w:snapToGrid w:val="0"/>
                <w:color w:val="auto"/>
                <w:kern w:val="0"/>
                <w:sz w:val="21"/>
                <w:szCs w:val="21"/>
              </w:rPr>
            </w:pPr>
            <w:r>
              <w:rPr>
                <w:rFonts w:ascii="Times New Roman" w:hAnsi="Times New Roman" w:eastAsia="Times New Roman" w:cs="Times New Roman"/>
                <w:snapToGrid w:val="0"/>
                <w:color w:val="auto"/>
                <w:spacing w:val="-6"/>
                <w:kern w:val="0"/>
                <w:sz w:val="21"/>
                <w:szCs w:val="21"/>
              </w:rPr>
              <w:t>15</w:t>
            </w:r>
          </w:p>
        </w:tc>
        <w:tc>
          <w:tcPr>
            <w:tcW w:w="2027" w:type="dxa"/>
            <w:vAlign w:val="top"/>
          </w:tcPr>
          <w:p>
            <w:pPr>
              <w:widowControl/>
              <w:kinsoku w:val="0"/>
              <w:autoSpaceDE w:val="0"/>
              <w:autoSpaceDN w:val="0"/>
              <w:adjustRightInd w:val="0"/>
              <w:snapToGrid w:val="0"/>
              <w:spacing w:before="95" w:line="222" w:lineRule="auto"/>
              <w:ind w:left="703" w:firstLine="0" w:firstLineChars="0"/>
              <w:jc w:val="left"/>
              <w:textAlignment w:val="baseline"/>
              <w:rPr>
                <w:rFonts w:ascii="宋体" w:hAnsi="宋体" w:eastAsia="宋体" w:cs="宋体"/>
                <w:snapToGrid w:val="0"/>
                <w:color w:val="auto"/>
                <w:kern w:val="0"/>
                <w:sz w:val="21"/>
                <w:szCs w:val="21"/>
              </w:rPr>
            </w:pPr>
            <w:r>
              <w:rPr>
                <w:rFonts w:ascii="宋体" w:hAnsi="宋体" w:eastAsia="宋体" w:cs="宋体"/>
                <w:snapToGrid w:val="0"/>
                <w:color w:val="auto"/>
                <w:spacing w:val="-1"/>
                <w:kern w:val="0"/>
                <w:sz w:val="21"/>
                <w:szCs w:val="21"/>
              </w:rPr>
              <w:t>硫化物</w:t>
            </w:r>
          </w:p>
        </w:tc>
        <w:tc>
          <w:tcPr>
            <w:tcW w:w="1228" w:type="dxa"/>
            <w:vAlign w:val="top"/>
          </w:tcPr>
          <w:p>
            <w:pPr>
              <w:widowControl/>
              <w:kinsoku w:val="0"/>
              <w:autoSpaceDE w:val="0"/>
              <w:autoSpaceDN w:val="0"/>
              <w:adjustRightInd w:val="0"/>
              <w:snapToGrid w:val="0"/>
              <w:spacing w:before="95" w:line="237" w:lineRule="auto"/>
              <w:ind w:left="341" w:firstLine="0" w:firstLineChars="0"/>
              <w:jc w:val="left"/>
              <w:textAlignment w:val="baseline"/>
              <w:rPr>
                <w:rFonts w:ascii="Times New Roman" w:hAnsi="Times New Roman" w:eastAsia="Times New Roman" w:cs="Times New Roman"/>
                <w:snapToGrid w:val="0"/>
                <w:color w:val="auto"/>
                <w:kern w:val="0"/>
                <w:sz w:val="21"/>
                <w:szCs w:val="21"/>
              </w:rPr>
            </w:pPr>
            <w:r>
              <w:rPr>
                <w:rFonts w:ascii="宋体" w:hAnsi="宋体" w:eastAsia="宋体" w:cs="宋体"/>
                <w:snapToGrid w:val="0"/>
                <w:color w:val="auto"/>
                <w:spacing w:val="-4"/>
                <w:kern w:val="0"/>
                <w:sz w:val="21"/>
                <w:szCs w:val="21"/>
              </w:rPr>
              <w:t>≤</w:t>
            </w:r>
            <w:r>
              <w:rPr>
                <w:rFonts w:ascii="Times New Roman" w:hAnsi="Times New Roman" w:eastAsia="Times New Roman" w:cs="Times New Roman"/>
                <w:snapToGrid w:val="0"/>
                <w:color w:val="auto"/>
                <w:spacing w:val="-4"/>
                <w:kern w:val="0"/>
                <w:sz w:val="21"/>
                <w:szCs w:val="21"/>
              </w:rPr>
              <w:t>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47" w:type="dxa"/>
            <w:vAlign w:val="top"/>
          </w:tcPr>
          <w:p>
            <w:pPr>
              <w:widowControl/>
              <w:kinsoku w:val="0"/>
              <w:autoSpaceDE w:val="0"/>
              <w:autoSpaceDN w:val="0"/>
              <w:adjustRightInd w:val="0"/>
              <w:snapToGrid w:val="0"/>
              <w:spacing w:before="134" w:line="187" w:lineRule="auto"/>
              <w:ind w:left="375" w:firstLine="0" w:firstLineChars="0"/>
              <w:jc w:val="left"/>
              <w:textAlignment w:val="baseline"/>
              <w:rPr>
                <w:rFonts w:ascii="Times New Roman" w:hAnsi="Times New Roman" w:eastAsia="Times New Roman" w:cs="Times New Roman"/>
                <w:snapToGrid w:val="0"/>
                <w:color w:val="auto"/>
                <w:kern w:val="0"/>
                <w:sz w:val="21"/>
                <w:szCs w:val="21"/>
              </w:rPr>
            </w:pPr>
            <w:r>
              <w:rPr>
                <w:rFonts w:ascii="Times New Roman" w:hAnsi="Times New Roman" w:eastAsia="Times New Roman" w:cs="Times New Roman"/>
                <w:snapToGrid w:val="0"/>
                <w:color w:val="auto"/>
                <w:kern w:val="0"/>
                <w:sz w:val="21"/>
                <w:szCs w:val="21"/>
              </w:rPr>
              <w:t>3</w:t>
            </w:r>
          </w:p>
        </w:tc>
        <w:tc>
          <w:tcPr>
            <w:tcW w:w="1847" w:type="dxa"/>
            <w:vAlign w:val="top"/>
          </w:tcPr>
          <w:p>
            <w:pPr>
              <w:widowControl/>
              <w:kinsoku w:val="0"/>
              <w:autoSpaceDE w:val="0"/>
              <w:autoSpaceDN w:val="0"/>
              <w:adjustRightInd w:val="0"/>
              <w:snapToGrid w:val="0"/>
              <w:spacing w:before="96" w:line="221" w:lineRule="auto"/>
              <w:ind w:left="298" w:firstLine="0" w:firstLineChars="0"/>
              <w:jc w:val="left"/>
              <w:textAlignment w:val="baseline"/>
              <w:rPr>
                <w:rFonts w:ascii="宋体" w:hAnsi="宋体" w:eastAsia="宋体" w:cs="宋体"/>
                <w:snapToGrid w:val="0"/>
                <w:color w:val="auto"/>
                <w:kern w:val="0"/>
                <w:sz w:val="21"/>
                <w:szCs w:val="21"/>
              </w:rPr>
            </w:pPr>
            <w:r>
              <w:rPr>
                <w:rFonts w:ascii="宋体" w:hAnsi="宋体" w:eastAsia="宋体" w:cs="宋体"/>
                <w:snapToGrid w:val="0"/>
                <w:color w:val="auto"/>
                <w:spacing w:val="-2"/>
                <w:kern w:val="0"/>
                <w:sz w:val="21"/>
                <w:szCs w:val="21"/>
              </w:rPr>
              <w:t>溶解</w:t>
            </w:r>
            <w:r>
              <w:rPr>
                <w:rFonts w:ascii="宋体" w:hAnsi="宋体" w:eastAsia="宋体" w:cs="宋体"/>
                <w:snapToGrid w:val="0"/>
                <w:color w:val="auto"/>
                <w:spacing w:val="-1"/>
                <w:kern w:val="0"/>
                <w:sz w:val="21"/>
                <w:szCs w:val="21"/>
              </w:rPr>
              <w:t>性总固体</w:t>
            </w:r>
          </w:p>
        </w:tc>
        <w:tc>
          <w:tcPr>
            <w:tcW w:w="1367" w:type="dxa"/>
            <w:vAlign w:val="top"/>
          </w:tcPr>
          <w:p>
            <w:pPr>
              <w:widowControl/>
              <w:kinsoku w:val="0"/>
              <w:autoSpaceDE w:val="0"/>
              <w:autoSpaceDN w:val="0"/>
              <w:adjustRightInd w:val="0"/>
              <w:snapToGrid w:val="0"/>
              <w:spacing w:before="95" w:line="237" w:lineRule="auto"/>
              <w:ind w:left="386" w:firstLine="0" w:firstLineChars="0"/>
              <w:jc w:val="left"/>
              <w:textAlignment w:val="baseline"/>
              <w:rPr>
                <w:rFonts w:ascii="Times New Roman" w:hAnsi="Times New Roman" w:eastAsia="Times New Roman" w:cs="Times New Roman"/>
                <w:snapToGrid w:val="0"/>
                <w:color w:val="auto"/>
                <w:kern w:val="0"/>
                <w:sz w:val="21"/>
                <w:szCs w:val="21"/>
              </w:rPr>
            </w:pPr>
            <w:r>
              <w:rPr>
                <w:rFonts w:ascii="宋体" w:hAnsi="宋体" w:eastAsia="宋体" w:cs="宋体"/>
                <w:snapToGrid w:val="0"/>
                <w:color w:val="auto"/>
                <w:spacing w:val="-4"/>
                <w:kern w:val="0"/>
                <w:sz w:val="21"/>
                <w:szCs w:val="21"/>
              </w:rPr>
              <w:t>≤</w:t>
            </w:r>
            <w:r>
              <w:rPr>
                <w:rFonts w:ascii="Times New Roman" w:hAnsi="Times New Roman" w:eastAsia="Times New Roman" w:cs="Times New Roman"/>
                <w:snapToGrid w:val="0"/>
                <w:color w:val="auto"/>
                <w:spacing w:val="-4"/>
                <w:kern w:val="0"/>
                <w:sz w:val="21"/>
                <w:szCs w:val="21"/>
              </w:rPr>
              <w:t>1000</w:t>
            </w:r>
          </w:p>
        </w:tc>
        <w:tc>
          <w:tcPr>
            <w:tcW w:w="984" w:type="dxa"/>
            <w:vAlign w:val="top"/>
          </w:tcPr>
          <w:p>
            <w:pPr>
              <w:widowControl/>
              <w:kinsoku w:val="0"/>
              <w:autoSpaceDE w:val="0"/>
              <w:autoSpaceDN w:val="0"/>
              <w:adjustRightInd w:val="0"/>
              <w:snapToGrid w:val="0"/>
              <w:spacing w:before="134" w:line="187" w:lineRule="auto"/>
              <w:ind w:left="409" w:firstLine="0" w:firstLineChars="0"/>
              <w:jc w:val="left"/>
              <w:textAlignment w:val="baseline"/>
              <w:rPr>
                <w:rFonts w:ascii="Times New Roman" w:hAnsi="Times New Roman" w:eastAsia="Times New Roman" w:cs="Times New Roman"/>
                <w:snapToGrid w:val="0"/>
                <w:color w:val="auto"/>
                <w:kern w:val="0"/>
                <w:sz w:val="21"/>
                <w:szCs w:val="21"/>
              </w:rPr>
            </w:pPr>
            <w:r>
              <w:rPr>
                <w:rFonts w:ascii="Times New Roman" w:hAnsi="Times New Roman" w:eastAsia="Times New Roman" w:cs="Times New Roman"/>
                <w:snapToGrid w:val="0"/>
                <w:color w:val="auto"/>
                <w:spacing w:val="-6"/>
                <w:kern w:val="0"/>
                <w:sz w:val="21"/>
                <w:szCs w:val="21"/>
              </w:rPr>
              <w:t>16</w:t>
            </w:r>
          </w:p>
        </w:tc>
        <w:tc>
          <w:tcPr>
            <w:tcW w:w="2027" w:type="dxa"/>
            <w:vAlign w:val="top"/>
          </w:tcPr>
          <w:p>
            <w:pPr>
              <w:widowControl/>
              <w:kinsoku w:val="0"/>
              <w:autoSpaceDE w:val="0"/>
              <w:autoSpaceDN w:val="0"/>
              <w:adjustRightInd w:val="0"/>
              <w:snapToGrid w:val="0"/>
              <w:spacing w:before="95" w:line="222" w:lineRule="auto"/>
              <w:ind w:left="912" w:firstLine="0" w:firstLineChars="0"/>
              <w:jc w:val="left"/>
              <w:textAlignment w:val="baseline"/>
              <w:rPr>
                <w:rFonts w:ascii="宋体" w:hAnsi="宋体" w:eastAsia="宋体" w:cs="宋体"/>
                <w:snapToGrid w:val="0"/>
                <w:color w:val="auto"/>
                <w:kern w:val="0"/>
                <w:sz w:val="21"/>
                <w:szCs w:val="21"/>
              </w:rPr>
            </w:pPr>
            <w:r>
              <w:rPr>
                <w:rFonts w:ascii="宋体" w:hAnsi="宋体" w:eastAsia="宋体" w:cs="宋体"/>
                <w:snapToGrid w:val="0"/>
                <w:color w:val="auto"/>
                <w:kern w:val="0"/>
                <w:sz w:val="21"/>
                <w:szCs w:val="21"/>
              </w:rPr>
              <w:t>钠</w:t>
            </w:r>
          </w:p>
        </w:tc>
        <w:tc>
          <w:tcPr>
            <w:tcW w:w="1228" w:type="dxa"/>
            <w:vAlign w:val="top"/>
          </w:tcPr>
          <w:p>
            <w:pPr>
              <w:widowControl/>
              <w:kinsoku w:val="0"/>
              <w:autoSpaceDE w:val="0"/>
              <w:autoSpaceDN w:val="0"/>
              <w:adjustRightInd w:val="0"/>
              <w:snapToGrid w:val="0"/>
              <w:spacing w:before="95" w:line="237" w:lineRule="auto"/>
              <w:ind w:left="368" w:firstLine="0" w:firstLineChars="0"/>
              <w:jc w:val="left"/>
              <w:textAlignment w:val="baseline"/>
              <w:rPr>
                <w:rFonts w:ascii="Times New Roman" w:hAnsi="Times New Roman" w:eastAsia="Times New Roman" w:cs="Times New Roman"/>
                <w:snapToGrid w:val="0"/>
                <w:color w:val="auto"/>
                <w:kern w:val="0"/>
                <w:sz w:val="21"/>
                <w:szCs w:val="21"/>
              </w:rPr>
            </w:pPr>
            <w:r>
              <w:rPr>
                <w:rFonts w:ascii="宋体" w:hAnsi="宋体" w:eastAsia="宋体" w:cs="宋体"/>
                <w:snapToGrid w:val="0"/>
                <w:color w:val="auto"/>
                <w:spacing w:val="-6"/>
                <w:kern w:val="0"/>
                <w:sz w:val="21"/>
                <w:szCs w:val="21"/>
              </w:rPr>
              <w:t>≤</w:t>
            </w:r>
            <w:r>
              <w:rPr>
                <w:rFonts w:ascii="Times New Roman" w:hAnsi="Times New Roman" w:eastAsia="Times New Roman" w:cs="Times New Roman"/>
                <w:snapToGrid w:val="0"/>
                <w:color w:val="auto"/>
                <w:spacing w:val="-5"/>
                <w:kern w:val="0"/>
                <w:sz w:val="21"/>
                <w:szCs w:val="21"/>
              </w:rPr>
              <w:t>200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47" w:type="dxa"/>
            <w:vAlign w:val="top"/>
          </w:tcPr>
          <w:p>
            <w:pPr>
              <w:widowControl/>
              <w:kinsoku w:val="0"/>
              <w:autoSpaceDE w:val="0"/>
              <w:autoSpaceDN w:val="0"/>
              <w:adjustRightInd w:val="0"/>
              <w:snapToGrid w:val="0"/>
              <w:spacing w:before="247" w:line="187" w:lineRule="auto"/>
              <w:ind w:left="370" w:firstLine="0" w:firstLineChars="0"/>
              <w:jc w:val="left"/>
              <w:textAlignment w:val="baseline"/>
              <w:rPr>
                <w:rFonts w:ascii="Times New Roman" w:hAnsi="Times New Roman" w:eastAsia="Times New Roman" w:cs="Times New Roman"/>
                <w:snapToGrid w:val="0"/>
                <w:color w:val="auto"/>
                <w:kern w:val="0"/>
                <w:sz w:val="21"/>
                <w:szCs w:val="21"/>
              </w:rPr>
            </w:pPr>
            <w:r>
              <w:rPr>
                <w:rFonts w:ascii="Times New Roman" w:hAnsi="Times New Roman" w:eastAsia="Times New Roman" w:cs="Times New Roman"/>
                <w:snapToGrid w:val="0"/>
                <w:color w:val="auto"/>
                <w:kern w:val="0"/>
                <w:sz w:val="21"/>
                <w:szCs w:val="21"/>
              </w:rPr>
              <w:t>4</w:t>
            </w:r>
          </w:p>
        </w:tc>
        <w:tc>
          <w:tcPr>
            <w:tcW w:w="1847" w:type="dxa"/>
            <w:vAlign w:val="top"/>
          </w:tcPr>
          <w:p>
            <w:pPr>
              <w:widowControl/>
              <w:kinsoku w:val="0"/>
              <w:autoSpaceDE w:val="0"/>
              <w:autoSpaceDN w:val="0"/>
              <w:adjustRightInd w:val="0"/>
              <w:snapToGrid w:val="0"/>
              <w:spacing w:before="208" w:line="222" w:lineRule="auto"/>
              <w:ind w:left="609" w:firstLine="0" w:firstLineChars="0"/>
              <w:jc w:val="left"/>
              <w:textAlignment w:val="baseline"/>
              <w:rPr>
                <w:rFonts w:ascii="宋体" w:hAnsi="宋体" w:eastAsia="宋体" w:cs="宋体"/>
                <w:snapToGrid w:val="0"/>
                <w:color w:val="auto"/>
                <w:kern w:val="0"/>
                <w:sz w:val="21"/>
                <w:szCs w:val="21"/>
              </w:rPr>
            </w:pPr>
            <w:r>
              <w:rPr>
                <w:rFonts w:ascii="宋体" w:hAnsi="宋体" w:eastAsia="宋体" w:cs="宋体"/>
                <w:snapToGrid w:val="0"/>
                <w:color w:val="auto"/>
                <w:spacing w:val="-1"/>
                <w:kern w:val="0"/>
                <w:sz w:val="21"/>
                <w:szCs w:val="21"/>
              </w:rPr>
              <w:t>硫酸盐</w:t>
            </w:r>
          </w:p>
        </w:tc>
        <w:tc>
          <w:tcPr>
            <w:tcW w:w="1367" w:type="dxa"/>
            <w:vAlign w:val="top"/>
          </w:tcPr>
          <w:p>
            <w:pPr>
              <w:widowControl/>
              <w:kinsoku w:val="0"/>
              <w:autoSpaceDE w:val="0"/>
              <w:autoSpaceDN w:val="0"/>
              <w:adjustRightInd w:val="0"/>
              <w:snapToGrid w:val="0"/>
              <w:spacing w:before="208" w:line="237" w:lineRule="auto"/>
              <w:ind w:left="439" w:firstLine="0" w:firstLineChars="0"/>
              <w:jc w:val="left"/>
              <w:textAlignment w:val="baseline"/>
              <w:rPr>
                <w:rFonts w:ascii="Times New Roman" w:hAnsi="Times New Roman" w:eastAsia="Times New Roman" w:cs="Times New Roman"/>
                <w:snapToGrid w:val="0"/>
                <w:color w:val="auto"/>
                <w:kern w:val="0"/>
                <w:sz w:val="21"/>
                <w:szCs w:val="21"/>
              </w:rPr>
            </w:pPr>
            <w:r>
              <w:rPr>
                <w:rFonts w:ascii="宋体" w:hAnsi="宋体" w:eastAsia="宋体" w:cs="宋体"/>
                <w:snapToGrid w:val="0"/>
                <w:color w:val="auto"/>
                <w:spacing w:val="-6"/>
                <w:kern w:val="0"/>
                <w:sz w:val="21"/>
                <w:szCs w:val="21"/>
              </w:rPr>
              <w:t>≤</w:t>
            </w:r>
            <w:r>
              <w:rPr>
                <w:rFonts w:ascii="Times New Roman" w:hAnsi="Times New Roman" w:eastAsia="Times New Roman" w:cs="Times New Roman"/>
                <w:snapToGrid w:val="0"/>
                <w:color w:val="auto"/>
                <w:spacing w:val="-5"/>
                <w:kern w:val="0"/>
                <w:sz w:val="21"/>
                <w:szCs w:val="21"/>
              </w:rPr>
              <w:t>250</w:t>
            </w:r>
          </w:p>
        </w:tc>
        <w:tc>
          <w:tcPr>
            <w:tcW w:w="984" w:type="dxa"/>
            <w:vAlign w:val="top"/>
          </w:tcPr>
          <w:p>
            <w:pPr>
              <w:widowControl/>
              <w:kinsoku w:val="0"/>
              <w:autoSpaceDE w:val="0"/>
              <w:autoSpaceDN w:val="0"/>
              <w:adjustRightInd w:val="0"/>
              <w:snapToGrid w:val="0"/>
              <w:spacing w:before="247" w:line="187" w:lineRule="auto"/>
              <w:ind w:left="409" w:firstLine="0" w:firstLineChars="0"/>
              <w:jc w:val="left"/>
              <w:textAlignment w:val="baseline"/>
              <w:rPr>
                <w:rFonts w:ascii="Times New Roman" w:hAnsi="Times New Roman" w:eastAsia="Times New Roman" w:cs="Times New Roman"/>
                <w:snapToGrid w:val="0"/>
                <w:color w:val="auto"/>
                <w:kern w:val="0"/>
                <w:sz w:val="21"/>
                <w:szCs w:val="21"/>
              </w:rPr>
            </w:pPr>
            <w:r>
              <w:rPr>
                <w:rFonts w:ascii="Times New Roman" w:hAnsi="Times New Roman" w:eastAsia="Times New Roman" w:cs="Times New Roman"/>
                <w:snapToGrid w:val="0"/>
                <w:color w:val="auto"/>
                <w:spacing w:val="-6"/>
                <w:kern w:val="0"/>
                <w:sz w:val="21"/>
                <w:szCs w:val="21"/>
              </w:rPr>
              <w:t>17</w:t>
            </w:r>
          </w:p>
        </w:tc>
        <w:tc>
          <w:tcPr>
            <w:tcW w:w="2027" w:type="dxa"/>
            <w:vAlign w:val="top"/>
          </w:tcPr>
          <w:p>
            <w:pPr>
              <w:widowControl/>
              <w:kinsoku w:val="0"/>
              <w:autoSpaceDE w:val="0"/>
              <w:autoSpaceDN w:val="0"/>
              <w:adjustRightInd w:val="0"/>
              <w:snapToGrid w:val="0"/>
              <w:spacing w:before="52" w:line="249" w:lineRule="auto"/>
              <w:ind w:left="813" w:right="280" w:hanging="523" w:firstLineChars="0"/>
              <w:jc w:val="left"/>
              <w:textAlignment w:val="baseline"/>
              <w:rPr>
                <w:rFonts w:ascii="宋体" w:hAnsi="宋体" w:eastAsia="宋体" w:cs="宋体"/>
                <w:snapToGrid w:val="0"/>
                <w:color w:val="auto"/>
                <w:kern w:val="0"/>
                <w:sz w:val="21"/>
                <w:szCs w:val="21"/>
              </w:rPr>
            </w:pPr>
            <w:r>
              <w:rPr>
                <w:rFonts w:ascii="宋体" w:hAnsi="宋体" w:eastAsia="宋体" w:cs="宋体"/>
                <w:snapToGrid w:val="0"/>
                <w:color w:val="auto"/>
                <w:spacing w:val="13"/>
                <w:kern w:val="0"/>
                <w:sz w:val="21"/>
                <w:szCs w:val="21"/>
              </w:rPr>
              <w:t>总</w:t>
            </w:r>
            <w:r>
              <w:rPr>
                <w:rFonts w:ascii="宋体" w:hAnsi="宋体" w:eastAsia="宋体" w:cs="宋体"/>
                <w:snapToGrid w:val="0"/>
                <w:color w:val="auto"/>
                <w:spacing w:val="12"/>
                <w:kern w:val="0"/>
                <w:sz w:val="21"/>
                <w:szCs w:val="21"/>
              </w:rPr>
              <w:t>大肠菌群</w:t>
            </w:r>
            <w:r>
              <w:rPr>
                <w:rFonts w:hint="eastAsia" w:ascii="宋体" w:hAnsi="宋体" w:cs="宋体"/>
                <w:snapToGrid w:val="0"/>
                <w:color w:val="auto"/>
                <w:spacing w:val="12"/>
                <w:kern w:val="0"/>
                <w:sz w:val="21"/>
                <w:szCs w:val="21"/>
                <w:lang w:eastAsia="zh-CN"/>
              </w:rPr>
              <w:t>（</w:t>
            </w:r>
            <w:r>
              <w:rPr>
                <w:rFonts w:ascii="宋体" w:hAnsi="宋体" w:eastAsia="宋体" w:cs="宋体"/>
                <w:snapToGrid w:val="0"/>
                <w:color w:val="auto"/>
                <w:spacing w:val="12"/>
                <w:kern w:val="0"/>
                <w:sz w:val="21"/>
                <w:szCs w:val="21"/>
              </w:rPr>
              <w:t>个</w:t>
            </w:r>
            <w:r>
              <w:rPr>
                <w:rFonts w:ascii="Times New Roman" w:hAnsi="Times New Roman" w:eastAsia="Times New Roman" w:cs="Times New Roman"/>
                <w:snapToGrid w:val="0"/>
                <w:color w:val="auto"/>
                <w:spacing w:val="-1"/>
                <w:kern w:val="0"/>
                <w:sz w:val="21"/>
                <w:szCs w:val="21"/>
              </w:rPr>
              <w:t>/</w:t>
            </w:r>
            <w:r>
              <w:rPr>
                <w:rFonts w:ascii="Times New Roman" w:hAnsi="Times New Roman" w:eastAsia="Times New Roman" w:cs="Times New Roman"/>
                <w:snapToGrid w:val="0"/>
                <w:color w:val="auto"/>
                <w:kern w:val="0"/>
                <w:sz w:val="21"/>
                <w:szCs w:val="21"/>
              </w:rPr>
              <w:t>L</w:t>
            </w:r>
            <w:r>
              <w:rPr>
                <w:rFonts w:hint="eastAsia" w:eastAsia="宋体" w:cs="Times New Roman"/>
                <w:snapToGrid w:val="0"/>
                <w:color w:val="auto"/>
                <w:kern w:val="0"/>
                <w:sz w:val="21"/>
                <w:szCs w:val="21"/>
                <w:lang w:eastAsia="zh-CN"/>
              </w:rPr>
              <w:t>）</w:t>
            </w:r>
          </w:p>
        </w:tc>
        <w:tc>
          <w:tcPr>
            <w:tcW w:w="1228" w:type="dxa"/>
            <w:vAlign w:val="top"/>
          </w:tcPr>
          <w:p>
            <w:pPr>
              <w:widowControl/>
              <w:kinsoku w:val="0"/>
              <w:autoSpaceDE w:val="0"/>
              <w:autoSpaceDN w:val="0"/>
              <w:adjustRightInd w:val="0"/>
              <w:snapToGrid w:val="0"/>
              <w:spacing w:before="208" w:line="237" w:lineRule="auto"/>
              <w:ind w:left="394" w:firstLine="0" w:firstLineChars="0"/>
              <w:jc w:val="left"/>
              <w:textAlignment w:val="baseline"/>
              <w:rPr>
                <w:rFonts w:ascii="Times New Roman" w:hAnsi="Times New Roman" w:eastAsia="Times New Roman" w:cs="Times New Roman"/>
                <w:snapToGrid w:val="0"/>
                <w:color w:val="auto"/>
                <w:kern w:val="0"/>
                <w:sz w:val="21"/>
                <w:szCs w:val="21"/>
              </w:rPr>
            </w:pPr>
            <w:r>
              <w:rPr>
                <w:rFonts w:ascii="宋体" w:hAnsi="宋体" w:eastAsia="宋体" w:cs="宋体"/>
                <w:snapToGrid w:val="0"/>
                <w:color w:val="auto"/>
                <w:spacing w:val="-6"/>
                <w:kern w:val="0"/>
                <w:sz w:val="21"/>
                <w:szCs w:val="21"/>
              </w:rPr>
              <w:t>≤</w:t>
            </w:r>
            <w:r>
              <w:rPr>
                <w:rFonts w:ascii="Times New Roman" w:hAnsi="Times New Roman" w:eastAsia="Times New Roman" w:cs="Times New Roman"/>
                <w:snapToGrid w:val="0"/>
                <w:color w:val="auto"/>
                <w:spacing w:val="-5"/>
                <w:kern w:val="0"/>
                <w:sz w:val="21"/>
                <w:szCs w:val="21"/>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847" w:type="dxa"/>
            <w:vAlign w:val="top"/>
          </w:tcPr>
          <w:p>
            <w:pPr>
              <w:widowControl/>
              <w:kinsoku w:val="0"/>
              <w:autoSpaceDE w:val="0"/>
              <w:autoSpaceDN w:val="0"/>
              <w:adjustRightInd w:val="0"/>
              <w:snapToGrid w:val="0"/>
              <w:spacing w:before="137" w:line="184" w:lineRule="auto"/>
              <w:ind w:left="377" w:firstLine="0" w:firstLineChars="0"/>
              <w:jc w:val="left"/>
              <w:textAlignment w:val="baseline"/>
              <w:rPr>
                <w:rFonts w:ascii="Times New Roman" w:hAnsi="Times New Roman" w:eastAsia="Times New Roman" w:cs="Times New Roman"/>
                <w:snapToGrid w:val="0"/>
                <w:color w:val="auto"/>
                <w:kern w:val="0"/>
                <w:sz w:val="21"/>
                <w:szCs w:val="21"/>
              </w:rPr>
            </w:pPr>
            <w:r>
              <w:rPr>
                <w:rFonts w:ascii="Times New Roman" w:hAnsi="Times New Roman" w:eastAsia="Times New Roman" w:cs="Times New Roman"/>
                <w:snapToGrid w:val="0"/>
                <w:color w:val="auto"/>
                <w:kern w:val="0"/>
                <w:sz w:val="21"/>
                <w:szCs w:val="21"/>
              </w:rPr>
              <w:t>5</w:t>
            </w:r>
          </w:p>
        </w:tc>
        <w:tc>
          <w:tcPr>
            <w:tcW w:w="1847" w:type="dxa"/>
            <w:vAlign w:val="top"/>
          </w:tcPr>
          <w:p>
            <w:pPr>
              <w:widowControl/>
              <w:kinsoku w:val="0"/>
              <w:autoSpaceDE w:val="0"/>
              <w:autoSpaceDN w:val="0"/>
              <w:adjustRightInd w:val="0"/>
              <w:snapToGrid w:val="0"/>
              <w:spacing w:before="96" w:line="222" w:lineRule="auto"/>
              <w:ind w:left="613" w:firstLine="0" w:firstLineChars="0"/>
              <w:jc w:val="left"/>
              <w:textAlignment w:val="baseline"/>
              <w:rPr>
                <w:rFonts w:ascii="宋体" w:hAnsi="宋体" w:eastAsia="宋体" w:cs="宋体"/>
                <w:snapToGrid w:val="0"/>
                <w:color w:val="auto"/>
                <w:kern w:val="0"/>
                <w:sz w:val="21"/>
                <w:szCs w:val="21"/>
              </w:rPr>
            </w:pPr>
            <w:r>
              <w:rPr>
                <w:rFonts w:ascii="宋体" w:hAnsi="宋体" w:eastAsia="宋体" w:cs="宋体"/>
                <w:snapToGrid w:val="0"/>
                <w:color w:val="auto"/>
                <w:spacing w:val="-2"/>
                <w:kern w:val="0"/>
                <w:sz w:val="21"/>
                <w:szCs w:val="21"/>
              </w:rPr>
              <w:t>氯化物</w:t>
            </w:r>
          </w:p>
        </w:tc>
        <w:tc>
          <w:tcPr>
            <w:tcW w:w="1367" w:type="dxa"/>
            <w:vAlign w:val="top"/>
          </w:tcPr>
          <w:p>
            <w:pPr>
              <w:widowControl/>
              <w:kinsoku w:val="0"/>
              <w:autoSpaceDE w:val="0"/>
              <w:autoSpaceDN w:val="0"/>
              <w:adjustRightInd w:val="0"/>
              <w:snapToGrid w:val="0"/>
              <w:spacing w:before="96" w:line="237" w:lineRule="auto"/>
              <w:ind w:left="439" w:firstLine="0" w:firstLineChars="0"/>
              <w:jc w:val="left"/>
              <w:textAlignment w:val="baseline"/>
              <w:rPr>
                <w:rFonts w:ascii="Times New Roman" w:hAnsi="Times New Roman" w:eastAsia="Times New Roman" w:cs="Times New Roman"/>
                <w:snapToGrid w:val="0"/>
                <w:color w:val="auto"/>
                <w:kern w:val="0"/>
                <w:sz w:val="21"/>
                <w:szCs w:val="21"/>
              </w:rPr>
            </w:pPr>
            <w:r>
              <w:rPr>
                <w:rFonts w:ascii="宋体" w:hAnsi="宋体" w:eastAsia="宋体" w:cs="宋体"/>
                <w:snapToGrid w:val="0"/>
                <w:color w:val="auto"/>
                <w:spacing w:val="-6"/>
                <w:kern w:val="0"/>
                <w:sz w:val="21"/>
                <w:szCs w:val="21"/>
              </w:rPr>
              <w:t>≤</w:t>
            </w:r>
            <w:r>
              <w:rPr>
                <w:rFonts w:ascii="Times New Roman" w:hAnsi="Times New Roman" w:eastAsia="Times New Roman" w:cs="Times New Roman"/>
                <w:snapToGrid w:val="0"/>
                <w:color w:val="auto"/>
                <w:spacing w:val="-5"/>
                <w:kern w:val="0"/>
                <w:sz w:val="21"/>
                <w:szCs w:val="21"/>
              </w:rPr>
              <w:t>250</w:t>
            </w:r>
          </w:p>
        </w:tc>
        <w:tc>
          <w:tcPr>
            <w:tcW w:w="984" w:type="dxa"/>
            <w:vAlign w:val="top"/>
          </w:tcPr>
          <w:p>
            <w:pPr>
              <w:widowControl/>
              <w:kinsoku w:val="0"/>
              <w:autoSpaceDE w:val="0"/>
              <w:autoSpaceDN w:val="0"/>
              <w:adjustRightInd w:val="0"/>
              <w:snapToGrid w:val="0"/>
              <w:spacing w:before="134" w:line="187" w:lineRule="auto"/>
              <w:ind w:left="409" w:firstLine="0" w:firstLineChars="0"/>
              <w:jc w:val="left"/>
              <w:textAlignment w:val="baseline"/>
              <w:rPr>
                <w:rFonts w:ascii="Times New Roman" w:hAnsi="Times New Roman" w:eastAsia="Times New Roman" w:cs="Times New Roman"/>
                <w:snapToGrid w:val="0"/>
                <w:color w:val="auto"/>
                <w:kern w:val="0"/>
                <w:sz w:val="21"/>
                <w:szCs w:val="21"/>
              </w:rPr>
            </w:pPr>
            <w:r>
              <w:rPr>
                <w:rFonts w:ascii="Times New Roman" w:hAnsi="Times New Roman" w:eastAsia="Times New Roman" w:cs="Times New Roman"/>
                <w:snapToGrid w:val="0"/>
                <w:color w:val="auto"/>
                <w:spacing w:val="-6"/>
                <w:kern w:val="0"/>
                <w:sz w:val="21"/>
                <w:szCs w:val="21"/>
              </w:rPr>
              <w:t>18</w:t>
            </w:r>
          </w:p>
        </w:tc>
        <w:tc>
          <w:tcPr>
            <w:tcW w:w="2027" w:type="dxa"/>
            <w:vAlign w:val="top"/>
          </w:tcPr>
          <w:p>
            <w:pPr>
              <w:widowControl/>
              <w:kinsoku w:val="0"/>
              <w:autoSpaceDE w:val="0"/>
              <w:autoSpaceDN w:val="0"/>
              <w:adjustRightInd w:val="0"/>
              <w:snapToGrid w:val="0"/>
              <w:spacing w:before="96" w:line="220" w:lineRule="auto"/>
              <w:ind w:left="600" w:firstLine="0" w:firstLineChars="0"/>
              <w:jc w:val="left"/>
              <w:textAlignment w:val="baseline"/>
              <w:rPr>
                <w:rFonts w:ascii="宋体" w:hAnsi="宋体" w:eastAsia="宋体" w:cs="宋体"/>
                <w:snapToGrid w:val="0"/>
                <w:color w:val="auto"/>
                <w:kern w:val="0"/>
                <w:sz w:val="21"/>
                <w:szCs w:val="21"/>
              </w:rPr>
            </w:pPr>
            <w:r>
              <w:rPr>
                <w:rFonts w:ascii="宋体" w:hAnsi="宋体" w:eastAsia="宋体" w:cs="宋体"/>
                <w:snapToGrid w:val="0"/>
                <w:color w:val="auto"/>
                <w:spacing w:val="-2"/>
                <w:kern w:val="0"/>
                <w:sz w:val="21"/>
                <w:szCs w:val="21"/>
              </w:rPr>
              <w:t>硝酸盐</w:t>
            </w:r>
            <w:r>
              <w:rPr>
                <w:rFonts w:ascii="宋体" w:hAnsi="宋体" w:eastAsia="宋体" w:cs="宋体"/>
                <w:snapToGrid w:val="0"/>
                <w:color w:val="auto"/>
                <w:spacing w:val="-1"/>
                <w:kern w:val="0"/>
                <w:sz w:val="21"/>
                <w:szCs w:val="21"/>
              </w:rPr>
              <w:t>氮</w:t>
            </w:r>
          </w:p>
        </w:tc>
        <w:tc>
          <w:tcPr>
            <w:tcW w:w="1228" w:type="dxa"/>
            <w:vAlign w:val="top"/>
          </w:tcPr>
          <w:p>
            <w:pPr>
              <w:widowControl/>
              <w:kinsoku w:val="0"/>
              <w:autoSpaceDE w:val="0"/>
              <w:autoSpaceDN w:val="0"/>
              <w:adjustRightInd w:val="0"/>
              <w:snapToGrid w:val="0"/>
              <w:spacing w:before="96" w:line="237" w:lineRule="auto"/>
              <w:ind w:left="421" w:firstLine="0" w:firstLineChars="0"/>
              <w:jc w:val="left"/>
              <w:textAlignment w:val="baseline"/>
              <w:rPr>
                <w:rFonts w:ascii="Times New Roman" w:hAnsi="Times New Roman" w:eastAsia="Times New Roman" w:cs="Times New Roman"/>
                <w:snapToGrid w:val="0"/>
                <w:color w:val="auto"/>
                <w:kern w:val="0"/>
                <w:sz w:val="21"/>
                <w:szCs w:val="21"/>
              </w:rPr>
            </w:pPr>
            <w:r>
              <w:rPr>
                <w:rFonts w:ascii="宋体" w:hAnsi="宋体" w:eastAsia="宋体" w:cs="宋体"/>
                <w:snapToGrid w:val="0"/>
                <w:color w:val="auto"/>
                <w:spacing w:val="-7"/>
                <w:kern w:val="0"/>
                <w:sz w:val="21"/>
                <w:szCs w:val="21"/>
              </w:rPr>
              <w:t>≤</w:t>
            </w:r>
            <w:r>
              <w:rPr>
                <w:rFonts w:ascii="Times New Roman" w:hAnsi="Times New Roman" w:eastAsia="Times New Roman" w:cs="Times New Roman"/>
                <w:snapToGrid w:val="0"/>
                <w:color w:val="auto"/>
                <w:spacing w:val="-7"/>
                <w:kern w:val="0"/>
                <w:sz w:val="21"/>
                <w:szCs w:val="21"/>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47" w:type="dxa"/>
            <w:vAlign w:val="top"/>
          </w:tcPr>
          <w:p>
            <w:pPr>
              <w:widowControl/>
              <w:kinsoku w:val="0"/>
              <w:autoSpaceDE w:val="0"/>
              <w:autoSpaceDN w:val="0"/>
              <w:adjustRightInd w:val="0"/>
              <w:snapToGrid w:val="0"/>
              <w:spacing w:before="135" w:line="187" w:lineRule="auto"/>
              <w:ind w:left="376" w:firstLine="0" w:firstLineChars="0"/>
              <w:jc w:val="left"/>
              <w:textAlignment w:val="baseline"/>
              <w:rPr>
                <w:rFonts w:ascii="Times New Roman" w:hAnsi="Times New Roman" w:eastAsia="Times New Roman" w:cs="Times New Roman"/>
                <w:snapToGrid w:val="0"/>
                <w:color w:val="auto"/>
                <w:kern w:val="0"/>
                <w:sz w:val="21"/>
                <w:szCs w:val="21"/>
              </w:rPr>
            </w:pPr>
            <w:r>
              <w:rPr>
                <w:rFonts w:ascii="Times New Roman" w:hAnsi="Times New Roman" w:eastAsia="Times New Roman" w:cs="Times New Roman"/>
                <w:snapToGrid w:val="0"/>
                <w:color w:val="auto"/>
                <w:kern w:val="0"/>
                <w:sz w:val="21"/>
                <w:szCs w:val="21"/>
              </w:rPr>
              <w:t>6</w:t>
            </w:r>
          </w:p>
        </w:tc>
        <w:tc>
          <w:tcPr>
            <w:tcW w:w="1847" w:type="dxa"/>
            <w:vAlign w:val="top"/>
          </w:tcPr>
          <w:p>
            <w:pPr>
              <w:widowControl/>
              <w:kinsoku w:val="0"/>
              <w:autoSpaceDE w:val="0"/>
              <w:autoSpaceDN w:val="0"/>
              <w:adjustRightInd w:val="0"/>
              <w:snapToGrid w:val="0"/>
              <w:spacing w:before="97" w:line="222" w:lineRule="auto"/>
              <w:ind w:left="820" w:firstLine="0" w:firstLineChars="0"/>
              <w:jc w:val="left"/>
              <w:textAlignment w:val="baseline"/>
              <w:rPr>
                <w:rFonts w:ascii="宋体" w:hAnsi="宋体" w:eastAsia="宋体" w:cs="宋体"/>
                <w:snapToGrid w:val="0"/>
                <w:color w:val="auto"/>
                <w:kern w:val="0"/>
                <w:sz w:val="21"/>
                <w:szCs w:val="21"/>
              </w:rPr>
            </w:pPr>
            <w:r>
              <w:rPr>
                <w:rFonts w:ascii="宋体" w:hAnsi="宋体" w:eastAsia="宋体" w:cs="宋体"/>
                <w:snapToGrid w:val="0"/>
                <w:color w:val="auto"/>
                <w:kern w:val="0"/>
                <w:sz w:val="21"/>
                <w:szCs w:val="21"/>
              </w:rPr>
              <w:t>铁</w:t>
            </w:r>
          </w:p>
        </w:tc>
        <w:tc>
          <w:tcPr>
            <w:tcW w:w="1367" w:type="dxa"/>
            <w:vAlign w:val="top"/>
          </w:tcPr>
          <w:p>
            <w:pPr>
              <w:widowControl/>
              <w:kinsoku w:val="0"/>
              <w:autoSpaceDE w:val="0"/>
              <w:autoSpaceDN w:val="0"/>
              <w:adjustRightInd w:val="0"/>
              <w:snapToGrid w:val="0"/>
              <w:spacing w:before="97" w:line="237" w:lineRule="auto"/>
              <w:ind w:left="466" w:firstLine="0" w:firstLineChars="0"/>
              <w:jc w:val="left"/>
              <w:textAlignment w:val="baseline"/>
              <w:rPr>
                <w:rFonts w:ascii="Times New Roman" w:hAnsi="Times New Roman" w:eastAsia="Times New Roman" w:cs="Times New Roman"/>
                <w:snapToGrid w:val="0"/>
                <w:color w:val="auto"/>
                <w:kern w:val="0"/>
                <w:sz w:val="21"/>
                <w:szCs w:val="21"/>
              </w:rPr>
            </w:pPr>
            <w:r>
              <w:rPr>
                <w:rFonts w:ascii="宋体" w:hAnsi="宋体" w:eastAsia="宋体" w:cs="宋体"/>
                <w:snapToGrid w:val="0"/>
                <w:color w:val="auto"/>
                <w:spacing w:val="-6"/>
                <w:kern w:val="0"/>
                <w:sz w:val="21"/>
                <w:szCs w:val="21"/>
              </w:rPr>
              <w:t>≤</w:t>
            </w:r>
            <w:r>
              <w:rPr>
                <w:rFonts w:ascii="Times New Roman" w:hAnsi="Times New Roman" w:eastAsia="Times New Roman" w:cs="Times New Roman"/>
                <w:snapToGrid w:val="0"/>
                <w:color w:val="auto"/>
                <w:spacing w:val="-5"/>
                <w:kern w:val="0"/>
                <w:sz w:val="21"/>
                <w:szCs w:val="21"/>
              </w:rPr>
              <w:t>0.3</w:t>
            </w:r>
          </w:p>
        </w:tc>
        <w:tc>
          <w:tcPr>
            <w:tcW w:w="984" w:type="dxa"/>
            <w:vAlign w:val="top"/>
          </w:tcPr>
          <w:p>
            <w:pPr>
              <w:widowControl/>
              <w:kinsoku w:val="0"/>
              <w:autoSpaceDE w:val="0"/>
              <w:autoSpaceDN w:val="0"/>
              <w:adjustRightInd w:val="0"/>
              <w:snapToGrid w:val="0"/>
              <w:spacing w:before="135" w:line="187" w:lineRule="auto"/>
              <w:ind w:left="409" w:firstLine="0" w:firstLineChars="0"/>
              <w:jc w:val="left"/>
              <w:textAlignment w:val="baseline"/>
              <w:rPr>
                <w:rFonts w:ascii="Times New Roman" w:hAnsi="Times New Roman" w:eastAsia="Times New Roman" w:cs="Times New Roman"/>
                <w:snapToGrid w:val="0"/>
                <w:color w:val="auto"/>
                <w:kern w:val="0"/>
                <w:sz w:val="21"/>
                <w:szCs w:val="21"/>
              </w:rPr>
            </w:pPr>
            <w:r>
              <w:rPr>
                <w:rFonts w:ascii="Times New Roman" w:hAnsi="Times New Roman" w:eastAsia="Times New Roman" w:cs="Times New Roman"/>
                <w:snapToGrid w:val="0"/>
                <w:color w:val="auto"/>
                <w:spacing w:val="-6"/>
                <w:kern w:val="0"/>
                <w:sz w:val="21"/>
                <w:szCs w:val="21"/>
              </w:rPr>
              <w:t>19</w:t>
            </w:r>
          </w:p>
        </w:tc>
        <w:tc>
          <w:tcPr>
            <w:tcW w:w="2027" w:type="dxa"/>
            <w:vAlign w:val="top"/>
          </w:tcPr>
          <w:p>
            <w:pPr>
              <w:widowControl/>
              <w:kinsoku w:val="0"/>
              <w:autoSpaceDE w:val="0"/>
              <w:autoSpaceDN w:val="0"/>
              <w:adjustRightInd w:val="0"/>
              <w:snapToGrid w:val="0"/>
              <w:spacing w:before="96" w:line="221" w:lineRule="auto"/>
              <w:ind w:left="703" w:firstLine="0" w:firstLineChars="0"/>
              <w:jc w:val="left"/>
              <w:textAlignment w:val="baseline"/>
              <w:rPr>
                <w:rFonts w:ascii="宋体" w:hAnsi="宋体" w:eastAsia="宋体" w:cs="宋体"/>
                <w:snapToGrid w:val="0"/>
                <w:color w:val="auto"/>
                <w:kern w:val="0"/>
                <w:sz w:val="21"/>
                <w:szCs w:val="21"/>
              </w:rPr>
            </w:pPr>
            <w:r>
              <w:rPr>
                <w:rFonts w:ascii="宋体" w:hAnsi="宋体" w:eastAsia="宋体" w:cs="宋体"/>
                <w:snapToGrid w:val="0"/>
                <w:color w:val="auto"/>
                <w:spacing w:val="-1"/>
                <w:kern w:val="0"/>
                <w:sz w:val="21"/>
                <w:szCs w:val="21"/>
              </w:rPr>
              <w:t>氰化物</w:t>
            </w:r>
          </w:p>
        </w:tc>
        <w:tc>
          <w:tcPr>
            <w:tcW w:w="1228" w:type="dxa"/>
            <w:vAlign w:val="top"/>
          </w:tcPr>
          <w:p>
            <w:pPr>
              <w:widowControl/>
              <w:kinsoku w:val="0"/>
              <w:autoSpaceDE w:val="0"/>
              <w:autoSpaceDN w:val="0"/>
              <w:adjustRightInd w:val="0"/>
              <w:snapToGrid w:val="0"/>
              <w:spacing w:before="97" w:line="237" w:lineRule="auto"/>
              <w:ind w:left="341" w:firstLine="0" w:firstLineChars="0"/>
              <w:jc w:val="left"/>
              <w:textAlignment w:val="baseline"/>
              <w:rPr>
                <w:rFonts w:ascii="Times New Roman" w:hAnsi="Times New Roman" w:eastAsia="Times New Roman" w:cs="Times New Roman"/>
                <w:snapToGrid w:val="0"/>
                <w:color w:val="auto"/>
                <w:kern w:val="0"/>
                <w:sz w:val="21"/>
                <w:szCs w:val="21"/>
              </w:rPr>
            </w:pPr>
            <w:r>
              <w:rPr>
                <w:rFonts w:ascii="宋体" w:hAnsi="宋体" w:eastAsia="宋体" w:cs="宋体"/>
                <w:snapToGrid w:val="0"/>
                <w:color w:val="auto"/>
                <w:spacing w:val="-4"/>
                <w:kern w:val="0"/>
                <w:sz w:val="21"/>
                <w:szCs w:val="21"/>
              </w:rPr>
              <w:t>≤</w:t>
            </w:r>
            <w:r>
              <w:rPr>
                <w:rFonts w:ascii="Times New Roman" w:hAnsi="Times New Roman" w:eastAsia="Times New Roman" w:cs="Times New Roman"/>
                <w:snapToGrid w:val="0"/>
                <w:color w:val="auto"/>
                <w:spacing w:val="-4"/>
                <w:kern w:val="0"/>
                <w:sz w:val="21"/>
                <w:szCs w:val="21"/>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47" w:type="dxa"/>
            <w:vAlign w:val="top"/>
          </w:tcPr>
          <w:p>
            <w:pPr>
              <w:widowControl/>
              <w:kinsoku w:val="0"/>
              <w:autoSpaceDE w:val="0"/>
              <w:autoSpaceDN w:val="0"/>
              <w:adjustRightInd w:val="0"/>
              <w:snapToGrid w:val="0"/>
              <w:spacing w:before="138" w:line="184" w:lineRule="auto"/>
              <w:ind w:left="374" w:firstLine="0" w:firstLineChars="0"/>
              <w:jc w:val="left"/>
              <w:textAlignment w:val="baseline"/>
              <w:rPr>
                <w:rFonts w:ascii="Times New Roman" w:hAnsi="Times New Roman" w:eastAsia="Times New Roman" w:cs="Times New Roman"/>
                <w:snapToGrid w:val="0"/>
                <w:color w:val="auto"/>
                <w:kern w:val="0"/>
                <w:sz w:val="21"/>
                <w:szCs w:val="21"/>
              </w:rPr>
            </w:pPr>
            <w:r>
              <w:rPr>
                <w:rFonts w:ascii="Times New Roman" w:hAnsi="Times New Roman" w:eastAsia="Times New Roman" w:cs="Times New Roman"/>
                <w:snapToGrid w:val="0"/>
                <w:color w:val="auto"/>
                <w:kern w:val="0"/>
                <w:sz w:val="21"/>
                <w:szCs w:val="21"/>
              </w:rPr>
              <w:t>7</w:t>
            </w:r>
          </w:p>
        </w:tc>
        <w:tc>
          <w:tcPr>
            <w:tcW w:w="1847" w:type="dxa"/>
            <w:vAlign w:val="top"/>
          </w:tcPr>
          <w:p>
            <w:pPr>
              <w:widowControl/>
              <w:kinsoku w:val="0"/>
              <w:autoSpaceDE w:val="0"/>
              <w:autoSpaceDN w:val="0"/>
              <w:adjustRightInd w:val="0"/>
              <w:snapToGrid w:val="0"/>
              <w:spacing w:before="97" w:line="227" w:lineRule="auto"/>
              <w:ind w:left="821" w:firstLine="0" w:firstLineChars="0"/>
              <w:jc w:val="left"/>
              <w:textAlignment w:val="baseline"/>
              <w:rPr>
                <w:rFonts w:ascii="宋体" w:hAnsi="宋体" w:eastAsia="宋体" w:cs="宋体"/>
                <w:snapToGrid w:val="0"/>
                <w:color w:val="auto"/>
                <w:kern w:val="0"/>
                <w:sz w:val="21"/>
                <w:szCs w:val="21"/>
              </w:rPr>
            </w:pPr>
            <w:r>
              <w:rPr>
                <w:rFonts w:ascii="宋体" w:hAnsi="宋体" w:eastAsia="宋体" w:cs="宋体"/>
                <w:snapToGrid w:val="0"/>
                <w:color w:val="auto"/>
                <w:kern w:val="0"/>
                <w:sz w:val="21"/>
                <w:szCs w:val="21"/>
              </w:rPr>
              <w:t>锰</w:t>
            </w:r>
          </w:p>
        </w:tc>
        <w:tc>
          <w:tcPr>
            <w:tcW w:w="1367" w:type="dxa"/>
            <w:vAlign w:val="top"/>
          </w:tcPr>
          <w:p>
            <w:pPr>
              <w:widowControl/>
              <w:kinsoku w:val="0"/>
              <w:autoSpaceDE w:val="0"/>
              <w:autoSpaceDN w:val="0"/>
              <w:adjustRightInd w:val="0"/>
              <w:snapToGrid w:val="0"/>
              <w:spacing w:before="97" w:line="237" w:lineRule="auto"/>
              <w:ind w:left="466" w:firstLine="0" w:firstLineChars="0"/>
              <w:jc w:val="left"/>
              <w:textAlignment w:val="baseline"/>
              <w:rPr>
                <w:rFonts w:ascii="Times New Roman" w:hAnsi="Times New Roman" w:eastAsia="Times New Roman" w:cs="Times New Roman"/>
                <w:snapToGrid w:val="0"/>
                <w:color w:val="auto"/>
                <w:kern w:val="0"/>
                <w:sz w:val="21"/>
                <w:szCs w:val="21"/>
              </w:rPr>
            </w:pPr>
            <w:r>
              <w:rPr>
                <w:rFonts w:ascii="宋体" w:hAnsi="宋体" w:eastAsia="宋体" w:cs="宋体"/>
                <w:snapToGrid w:val="0"/>
                <w:color w:val="auto"/>
                <w:spacing w:val="-6"/>
                <w:kern w:val="0"/>
                <w:sz w:val="21"/>
                <w:szCs w:val="21"/>
              </w:rPr>
              <w:t>≤</w:t>
            </w:r>
            <w:r>
              <w:rPr>
                <w:rFonts w:ascii="Times New Roman" w:hAnsi="Times New Roman" w:eastAsia="Times New Roman" w:cs="Times New Roman"/>
                <w:snapToGrid w:val="0"/>
                <w:color w:val="auto"/>
                <w:spacing w:val="-5"/>
                <w:kern w:val="0"/>
                <w:sz w:val="21"/>
                <w:szCs w:val="21"/>
              </w:rPr>
              <w:t>0.1</w:t>
            </w:r>
          </w:p>
        </w:tc>
        <w:tc>
          <w:tcPr>
            <w:tcW w:w="984" w:type="dxa"/>
            <w:vAlign w:val="top"/>
          </w:tcPr>
          <w:p>
            <w:pPr>
              <w:widowControl/>
              <w:kinsoku w:val="0"/>
              <w:autoSpaceDE w:val="0"/>
              <w:autoSpaceDN w:val="0"/>
              <w:adjustRightInd w:val="0"/>
              <w:snapToGrid w:val="0"/>
              <w:spacing w:before="135" w:line="187" w:lineRule="auto"/>
              <w:ind w:left="388" w:firstLine="0" w:firstLineChars="0"/>
              <w:jc w:val="left"/>
              <w:textAlignment w:val="baseline"/>
              <w:rPr>
                <w:rFonts w:ascii="Times New Roman" w:hAnsi="Times New Roman" w:eastAsia="Times New Roman" w:cs="Times New Roman"/>
                <w:snapToGrid w:val="0"/>
                <w:color w:val="auto"/>
                <w:kern w:val="0"/>
                <w:sz w:val="21"/>
                <w:szCs w:val="21"/>
              </w:rPr>
            </w:pPr>
            <w:r>
              <w:rPr>
                <w:rFonts w:ascii="Times New Roman" w:hAnsi="Times New Roman" w:eastAsia="Times New Roman" w:cs="Times New Roman"/>
                <w:snapToGrid w:val="0"/>
                <w:color w:val="auto"/>
                <w:spacing w:val="-1"/>
                <w:kern w:val="0"/>
                <w:sz w:val="21"/>
                <w:szCs w:val="21"/>
              </w:rPr>
              <w:t>20</w:t>
            </w:r>
          </w:p>
        </w:tc>
        <w:tc>
          <w:tcPr>
            <w:tcW w:w="2027" w:type="dxa"/>
            <w:vAlign w:val="top"/>
          </w:tcPr>
          <w:p>
            <w:pPr>
              <w:widowControl/>
              <w:kinsoku w:val="0"/>
              <w:autoSpaceDE w:val="0"/>
              <w:autoSpaceDN w:val="0"/>
              <w:adjustRightInd w:val="0"/>
              <w:snapToGrid w:val="0"/>
              <w:spacing w:before="96" w:line="221" w:lineRule="auto"/>
              <w:ind w:left="705" w:firstLine="0" w:firstLineChars="0"/>
              <w:jc w:val="left"/>
              <w:textAlignment w:val="baseline"/>
              <w:rPr>
                <w:rFonts w:ascii="宋体" w:hAnsi="宋体" w:eastAsia="宋体" w:cs="宋体"/>
                <w:snapToGrid w:val="0"/>
                <w:color w:val="auto"/>
                <w:kern w:val="0"/>
                <w:sz w:val="21"/>
                <w:szCs w:val="21"/>
              </w:rPr>
            </w:pPr>
            <w:r>
              <w:rPr>
                <w:rFonts w:ascii="宋体" w:hAnsi="宋体" w:eastAsia="宋体" w:cs="宋体"/>
                <w:snapToGrid w:val="0"/>
                <w:color w:val="auto"/>
                <w:spacing w:val="-2"/>
                <w:kern w:val="0"/>
                <w:sz w:val="21"/>
                <w:szCs w:val="21"/>
              </w:rPr>
              <w:t>氟</w:t>
            </w:r>
            <w:r>
              <w:rPr>
                <w:rFonts w:ascii="宋体" w:hAnsi="宋体" w:eastAsia="宋体" w:cs="宋体"/>
                <w:snapToGrid w:val="0"/>
                <w:color w:val="auto"/>
                <w:spacing w:val="-1"/>
                <w:kern w:val="0"/>
                <w:sz w:val="21"/>
                <w:szCs w:val="21"/>
              </w:rPr>
              <w:t>化物</w:t>
            </w:r>
          </w:p>
        </w:tc>
        <w:tc>
          <w:tcPr>
            <w:tcW w:w="1228" w:type="dxa"/>
            <w:vAlign w:val="top"/>
          </w:tcPr>
          <w:p>
            <w:pPr>
              <w:widowControl/>
              <w:kinsoku w:val="0"/>
              <w:autoSpaceDE w:val="0"/>
              <w:autoSpaceDN w:val="0"/>
              <w:adjustRightInd w:val="0"/>
              <w:snapToGrid w:val="0"/>
              <w:spacing w:before="97" w:line="237" w:lineRule="auto"/>
              <w:ind w:left="394" w:firstLine="0" w:firstLineChars="0"/>
              <w:jc w:val="left"/>
              <w:textAlignment w:val="baseline"/>
              <w:rPr>
                <w:rFonts w:ascii="Times New Roman" w:hAnsi="Times New Roman" w:eastAsia="Times New Roman" w:cs="Times New Roman"/>
                <w:snapToGrid w:val="0"/>
                <w:color w:val="auto"/>
                <w:kern w:val="0"/>
                <w:sz w:val="21"/>
                <w:szCs w:val="21"/>
              </w:rPr>
            </w:pPr>
            <w:r>
              <w:rPr>
                <w:rFonts w:ascii="宋体" w:hAnsi="宋体" w:eastAsia="宋体" w:cs="宋体"/>
                <w:snapToGrid w:val="0"/>
                <w:color w:val="auto"/>
                <w:spacing w:val="-6"/>
                <w:kern w:val="0"/>
                <w:sz w:val="21"/>
                <w:szCs w:val="21"/>
              </w:rPr>
              <w:t>≤</w:t>
            </w:r>
            <w:r>
              <w:rPr>
                <w:rFonts w:ascii="Times New Roman" w:hAnsi="Times New Roman" w:eastAsia="Times New Roman" w:cs="Times New Roman"/>
                <w:snapToGrid w:val="0"/>
                <w:color w:val="auto"/>
                <w:spacing w:val="-5"/>
                <w:kern w:val="0"/>
                <w:sz w:val="21"/>
                <w:szCs w:val="21"/>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847" w:type="dxa"/>
            <w:vAlign w:val="top"/>
          </w:tcPr>
          <w:p>
            <w:pPr>
              <w:widowControl/>
              <w:kinsoku w:val="0"/>
              <w:autoSpaceDE w:val="0"/>
              <w:autoSpaceDN w:val="0"/>
              <w:adjustRightInd w:val="0"/>
              <w:snapToGrid w:val="0"/>
              <w:spacing w:before="133" w:line="187" w:lineRule="auto"/>
              <w:ind w:left="379" w:firstLine="0" w:firstLineChars="0"/>
              <w:jc w:val="left"/>
              <w:textAlignment w:val="baseline"/>
              <w:rPr>
                <w:rFonts w:ascii="Times New Roman" w:hAnsi="Times New Roman" w:eastAsia="Times New Roman" w:cs="Times New Roman"/>
                <w:snapToGrid w:val="0"/>
                <w:color w:val="auto"/>
                <w:kern w:val="0"/>
                <w:sz w:val="21"/>
                <w:szCs w:val="21"/>
              </w:rPr>
            </w:pPr>
            <w:r>
              <w:rPr>
                <w:rFonts w:ascii="Times New Roman" w:hAnsi="Times New Roman" w:eastAsia="Times New Roman" w:cs="Times New Roman"/>
                <w:snapToGrid w:val="0"/>
                <w:color w:val="auto"/>
                <w:kern w:val="0"/>
                <w:sz w:val="21"/>
                <w:szCs w:val="21"/>
              </w:rPr>
              <w:t>8</w:t>
            </w:r>
          </w:p>
        </w:tc>
        <w:tc>
          <w:tcPr>
            <w:tcW w:w="1847" w:type="dxa"/>
            <w:vAlign w:val="top"/>
          </w:tcPr>
          <w:p>
            <w:pPr>
              <w:widowControl/>
              <w:kinsoku w:val="0"/>
              <w:autoSpaceDE w:val="0"/>
              <w:autoSpaceDN w:val="0"/>
              <w:adjustRightInd w:val="0"/>
              <w:snapToGrid w:val="0"/>
              <w:spacing w:before="94" w:line="222" w:lineRule="auto"/>
              <w:ind w:left="821" w:firstLine="0" w:firstLineChars="0"/>
              <w:jc w:val="left"/>
              <w:textAlignment w:val="baseline"/>
              <w:rPr>
                <w:rFonts w:ascii="宋体" w:hAnsi="宋体" w:eastAsia="宋体" w:cs="宋体"/>
                <w:snapToGrid w:val="0"/>
                <w:color w:val="auto"/>
                <w:kern w:val="0"/>
                <w:sz w:val="21"/>
                <w:szCs w:val="21"/>
              </w:rPr>
            </w:pPr>
            <w:r>
              <w:rPr>
                <w:rFonts w:ascii="宋体" w:hAnsi="宋体" w:eastAsia="宋体" w:cs="宋体"/>
                <w:snapToGrid w:val="0"/>
                <w:color w:val="auto"/>
                <w:kern w:val="0"/>
                <w:sz w:val="21"/>
                <w:szCs w:val="21"/>
              </w:rPr>
              <w:t>铜</w:t>
            </w:r>
          </w:p>
        </w:tc>
        <w:tc>
          <w:tcPr>
            <w:tcW w:w="1367" w:type="dxa"/>
            <w:vAlign w:val="top"/>
          </w:tcPr>
          <w:p>
            <w:pPr>
              <w:widowControl/>
              <w:kinsoku w:val="0"/>
              <w:autoSpaceDE w:val="0"/>
              <w:autoSpaceDN w:val="0"/>
              <w:adjustRightInd w:val="0"/>
              <w:snapToGrid w:val="0"/>
              <w:spacing w:before="94" w:line="237" w:lineRule="auto"/>
              <w:ind w:left="466" w:firstLine="0" w:firstLineChars="0"/>
              <w:jc w:val="left"/>
              <w:textAlignment w:val="baseline"/>
              <w:rPr>
                <w:rFonts w:ascii="Times New Roman" w:hAnsi="Times New Roman" w:eastAsia="Times New Roman" w:cs="Times New Roman"/>
                <w:snapToGrid w:val="0"/>
                <w:color w:val="auto"/>
                <w:kern w:val="0"/>
                <w:sz w:val="21"/>
                <w:szCs w:val="21"/>
              </w:rPr>
            </w:pPr>
            <w:r>
              <w:rPr>
                <w:rFonts w:ascii="宋体" w:hAnsi="宋体" w:eastAsia="宋体" w:cs="宋体"/>
                <w:snapToGrid w:val="0"/>
                <w:color w:val="auto"/>
                <w:spacing w:val="-6"/>
                <w:kern w:val="0"/>
                <w:sz w:val="21"/>
                <w:szCs w:val="21"/>
              </w:rPr>
              <w:t>≤</w:t>
            </w:r>
            <w:r>
              <w:rPr>
                <w:rFonts w:ascii="Times New Roman" w:hAnsi="Times New Roman" w:eastAsia="Times New Roman" w:cs="Times New Roman"/>
                <w:snapToGrid w:val="0"/>
                <w:color w:val="auto"/>
                <w:spacing w:val="-5"/>
                <w:kern w:val="0"/>
                <w:sz w:val="21"/>
                <w:szCs w:val="21"/>
              </w:rPr>
              <w:t>1.0</w:t>
            </w:r>
          </w:p>
        </w:tc>
        <w:tc>
          <w:tcPr>
            <w:tcW w:w="984" w:type="dxa"/>
            <w:vAlign w:val="top"/>
          </w:tcPr>
          <w:p>
            <w:pPr>
              <w:widowControl/>
              <w:kinsoku w:val="0"/>
              <w:autoSpaceDE w:val="0"/>
              <w:autoSpaceDN w:val="0"/>
              <w:adjustRightInd w:val="0"/>
              <w:snapToGrid w:val="0"/>
              <w:spacing w:before="133" w:line="187" w:lineRule="auto"/>
              <w:ind w:left="388" w:firstLine="0" w:firstLineChars="0"/>
              <w:jc w:val="left"/>
              <w:textAlignment w:val="baseline"/>
              <w:rPr>
                <w:rFonts w:ascii="Times New Roman" w:hAnsi="Times New Roman" w:eastAsia="Times New Roman" w:cs="Times New Roman"/>
                <w:snapToGrid w:val="0"/>
                <w:color w:val="auto"/>
                <w:kern w:val="0"/>
                <w:sz w:val="21"/>
                <w:szCs w:val="21"/>
              </w:rPr>
            </w:pPr>
            <w:r>
              <w:rPr>
                <w:rFonts w:ascii="Times New Roman" w:hAnsi="Times New Roman" w:eastAsia="Times New Roman" w:cs="Times New Roman"/>
                <w:snapToGrid w:val="0"/>
                <w:color w:val="auto"/>
                <w:spacing w:val="-1"/>
                <w:kern w:val="0"/>
                <w:sz w:val="21"/>
                <w:szCs w:val="21"/>
              </w:rPr>
              <w:t>21</w:t>
            </w:r>
          </w:p>
        </w:tc>
        <w:tc>
          <w:tcPr>
            <w:tcW w:w="2027" w:type="dxa"/>
            <w:vAlign w:val="top"/>
          </w:tcPr>
          <w:p>
            <w:pPr>
              <w:widowControl/>
              <w:kinsoku w:val="0"/>
              <w:autoSpaceDE w:val="0"/>
              <w:autoSpaceDN w:val="0"/>
              <w:adjustRightInd w:val="0"/>
              <w:snapToGrid w:val="0"/>
              <w:spacing w:before="95" w:line="221" w:lineRule="auto"/>
              <w:ind w:left="914" w:firstLine="0" w:firstLineChars="0"/>
              <w:jc w:val="left"/>
              <w:textAlignment w:val="baseline"/>
              <w:rPr>
                <w:rFonts w:ascii="宋体" w:hAnsi="宋体" w:eastAsia="宋体" w:cs="宋体"/>
                <w:snapToGrid w:val="0"/>
                <w:color w:val="auto"/>
                <w:kern w:val="0"/>
                <w:sz w:val="21"/>
                <w:szCs w:val="21"/>
              </w:rPr>
            </w:pPr>
            <w:r>
              <w:rPr>
                <w:rFonts w:ascii="宋体" w:hAnsi="宋体" w:eastAsia="宋体" w:cs="宋体"/>
                <w:snapToGrid w:val="0"/>
                <w:color w:val="auto"/>
                <w:kern w:val="0"/>
                <w:sz w:val="21"/>
                <w:szCs w:val="21"/>
              </w:rPr>
              <w:t>汞</w:t>
            </w:r>
          </w:p>
        </w:tc>
        <w:tc>
          <w:tcPr>
            <w:tcW w:w="1228" w:type="dxa"/>
            <w:vAlign w:val="top"/>
          </w:tcPr>
          <w:p>
            <w:pPr>
              <w:widowControl/>
              <w:kinsoku w:val="0"/>
              <w:autoSpaceDE w:val="0"/>
              <w:autoSpaceDN w:val="0"/>
              <w:adjustRightInd w:val="0"/>
              <w:snapToGrid w:val="0"/>
              <w:spacing w:before="94" w:line="237" w:lineRule="auto"/>
              <w:ind w:left="291" w:firstLine="0" w:firstLineChars="0"/>
              <w:jc w:val="left"/>
              <w:textAlignment w:val="baseline"/>
              <w:rPr>
                <w:rFonts w:ascii="Times New Roman" w:hAnsi="Times New Roman" w:eastAsia="Times New Roman" w:cs="Times New Roman"/>
                <w:snapToGrid w:val="0"/>
                <w:color w:val="auto"/>
                <w:kern w:val="0"/>
                <w:sz w:val="21"/>
                <w:szCs w:val="21"/>
              </w:rPr>
            </w:pPr>
            <w:r>
              <w:rPr>
                <w:rFonts w:ascii="宋体" w:hAnsi="宋体" w:eastAsia="宋体" w:cs="宋体"/>
                <w:snapToGrid w:val="0"/>
                <w:color w:val="auto"/>
                <w:spacing w:val="-5"/>
                <w:kern w:val="0"/>
                <w:sz w:val="21"/>
                <w:szCs w:val="21"/>
              </w:rPr>
              <w:t>≤</w:t>
            </w:r>
            <w:r>
              <w:rPr>
                <w:rFonts w:ascii="Times New Roman" w:hAnsi="Times New Roman" w:eastAsia="Times New Roman" w:cs="Times New Roman"/>
                <w:snapToGrid w:val="0"/>
                <w:color w:val="auto"/>
                <w:spacing w:val="-3"/>
                <w:kern w:val="0"/>
                <w:sz w:val="21"/>
                <w:szCs w:val="21"/>
              </w:rPr>
              <w:t>0.001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47" w:type="dxa"/>
            <w:vAlign w:val="top"/>
          </w:tcPr>
          <w:p>
            <w:pPr>
              <w:widowControl/>
              <w:kinsoku w:val="0"/>
              <w:autoSpaceDE w:val="0"/>
              <w:autoSpaceDN w:val="0"/>
              <w:adjustRightInd w:val="0"/>
              <w:snapToGrid w:val="0"/>
              <w:spacing w:before="136" w:line="187" w:lineRule="auto"/>
              <w:ind w:left="375" w:firstLine="0" w:firstLineChars="0"/>
              <w:jc w:val="left"/>
              <w:textAlignment w:val="baseline"/>
              <w:rPr>
                <w:rFonts w:ascii="Times New Roman" w:hAnsi="Times New Roman" w:eastAsia="Times New Roman" w:cs="Times New Roman"/>
                <w:snapToGrid w:val="0"/>
                <w:color w:val="auto"/>
                <w:kern w:val="0"/>
                <w:sz w:val="21"/>
                <w:szCs w:val="21"/>
              </w:rPr>
            </w:pPr>
            <w:r>
              <w:rPr>
                <w:rFonts w:ascii="Times New Roman" w:hAnsi="Times New Roman" w:eastAsia="Times New Roman" w:cs="Times New Roman"/>
                <w:snapToGrid w:val="0"/>
                <w:color w:val="auto"/>
                <w:kern w:val="0"/>
                <w:sz w:val="21"/>
                <w:szCs w:val="21"/>
              </w:rPr>
              <w:t>9</w:t>
            </w:r>
          </w:p>
        </w:tc>
        <w:tc>
          <w:tcPr>
            <w:tcW w:w="1847" w:type="dxa"/>
            <w:vAlign w:val="top"/>
          </w:tcPr>
          <w:p>
            <w:pPr>
              <w:widowControl/>
              <w:kinsoku w:val="0"/>
              <w:autoSpaceDE w:val="0"/>
              <w:autoSpaceDN w:val="0"/>
              <w:adjustRightInd w:val="0"/>
              <w:snapToGrid w:val="0"/>
              <w:spacing w:before="98" w:line="221" w:lineRule="auto"/>
              <w:ind w:left="820" w:firstLine="0" w:firstLineChars="0"/>
              <w:jc w:val="left"/>
              <w:textAlignment w:val="baseline"/>
              <w:rPr>
                <w:rFonts w:ascii="宋体" w:hAnsi="宋体" w:eastAsia="宋体" w:cs="宋体"/>
                <w:snapToGrid w:val="0"/>
                <w:color w:val="auto"/>
                <w:kern w:val="0"/>
                <w:sz w:val="21"/>
                <w:szCs w:val="21"/>
              </w:rPr>
            </w:pPr>
            <w:r>
              <w:rPr>
                <w:rFonts w:ascii="宋体" w:hAnsi="宋体" w:eastAsia="宋体" w:cs="宋体"/>
                <w:snapToGrid w:val="0"/>
                <w:color w:val="auto"/>
                <w:kern w:val="0"/>
                <w:sz w:val="21"/>
                <w:szCs w:val="21"/>
              </w:rPr>
              <w:t>锌</w:t>
            </w:r>
          </w:p>
        </w:tc>
        <w:tc>
          <w:tcPr>
            <w:tcW w:w="1367" w:type="dxa"/>
            <w:vAlign w:val="top"/>
          </w:tcPr>
          <w:p>
            <w:pPr>
              <w:widowControl/>
              <w:kinsoku w:val="0"/>
              <w:autoSpaceDE w:val="0"/>
              <w:autoSpaceDN w:val="0"/>
              <w:adjustRightInd w:val="0"/>
              <w:snapToGrid w:val="0"/>
              <w:spacing w:before="97" w:line="237" w:lineRule="auto"/>
              <w:ind w:left="466" w:firstLine="0" w:firstLineChars="0"/>
              <w:jc w:val="left"/>
              <w:textAlignment w:val="baseline"/>
              <w:rPr>
                <w:rFonts w:ascii="Times New Roman" w:hAnsi="Times New Roman" w:eastAsia="Times New Roman" w:cs="Times New Roman"/>
                <w:snapToGrid w:val="0"/>
                <w:color w:val="auto"/>
                <w:kern w:val="0"/>
                <w:sz w:val="21"/>
                <w:szCs w:val="21"/>
              </w:rPr>
            </w:pPr>
            <w:r>
              <w:rPr>
                <w:rFonts w:ascii="宋体" w:hAnsi="宋体" w:eastAsia="宋体" w:cs="宋体"/>
                <w:snapToGrid w:val="0"/>
                <w:color w:val="auto"/>
                <w:spacing w:val="-6"/>
                <w:kern w:val="0"/>
                <w:sz w:val="21"/>
                <w:szCs w:val="21"/>
              </w:rPr>
              <w:t>≤</w:t>
            </w:r>
            <w:r>
              <w:rPr>
                <w:rFonts w:ascii="Times New Roman" w:hAnsi="Times New Roman" w:eastAsia="Times New Roman" w:cs="Times New Roman"/>
                <w:snapToGrid w:val="0"/>
                <w:color w:val="auto"/>
                <w:spacing w:val="-5"/>
                <w:kern w:val="0"/>
                <w:sz w:val="21"/>
                <w:szCs w:val="21"/>
              </w:rPr>
              <w:t>1.0</w:t>
            </w:r>
          </w:p>
        </w:tc>
        <w:tc>
          <w:tcPr>
            <w:tcW w:w="984" w:type="dxa"/>
            <w:vAlign w:val="top"/>
          </w:tcPr>
          <w:p>
            <w:pPr>
              <w:widowControl/>
              <w:kinsoku w:val="0"/>
              <w:autoSpaceDE w:val="0"/>
              <w:autoSpaceDN w:val="0"/>
              <w:adjustRightInd w:val="0"/>
              <w:snapToGrid w:val="0"/>
              <w:spacing w:before="136" w:line="187" w:lineRule="auto"/>
              <w:ind w:left="388" w:firstLine="0" w:firstLineChars="0"/>
              <w:jc w:val="left"/>
              <w:textAlignment w:val="baseline"/>
              <w:rPr>
                <w:rFonts w:ascii="Times New Roman" w:hAnsi="Times New Roman" w:eastAsia="Times New Roman" w:cs="Times New Roman"/>
                <w:snapToGrid w:val="0"/>
                <w:color w:val="auto"/>
                <w:kern w:val="0"/>
                <w:sz w:val="21"/>
                <w:szCs w:val="21"/>
              </w:rPr>
            </w:pPr>
            <w:r>
              <w:rPr>
                <w:rFonts w:ascii="Times New Roman" w:hAnsi="Times New Roman" w:eastAsia="Times New Roman" w:cs="Times New Roman"/>
                <w:snapToGrid w:val="0"/>
                <w:color w:val="auto"/>
                <w:spacing w:val="-1"/>
                <w:kern w:val="0"/>
                <w:sz w:val="21"/>
                <w:szCs w:val="21"/>
              </w:rPr>
              <w:t>22</w:t>
            </w:r>
          </w:p>
        </w:tc>
        <w:tc>
          <w:tcPr>
            <w:tcW w:w="2027" w:type="dxa"/>
            <w:vAlign w:val="top"/>
          </w:tcPr>
          <w:p>
            <w:pPr>
              <w:widowControl/>
              <w:kinsoku w:val="0"/>
              <w:autoSpaceDE w:val="0"/>
              <w:autoSpaceDN w:val="0"/>
              <w:adjustRightInd w:val="0"/>
              <w:snapToGrid w:val="0"/>
              <w:spacing w:before="98" w:line="221" w:lineRule="auto"/>
              <w:ind w:left="912" w:firstLine="0" w:firstLineChars="0"/>
              <w:jc w:val="left"/>
              <w:textAlignment w:val="baseline"/>
              <w:rPr>
                <w:rFonts w:ascii="宋体" w:hAnsi="宋体" w:eastAsia="宋体" w:cs="宋体"/>
                <w:snapToGrid w:val="0"/>
                <w:color w:val="auto"/>
                <w:kern w:val="0"/>
                <w:sz w:val="21"/>
                <w:szCs w:val="21"/>
              </w:rPr>
            </w:pPr>
            <w:r>
              <w:rPr>
                <w:rFonts w:ascii="宋体" w:hAnsi="宋体" w:eastAsia="宋体" w:cs="宋体"/>
                <w:snapToGrid w:val="0"/>
                <w:color w:val="auto"/>
                <w:kern w:val="0"/>
                <w:sz w:val="21"/>
                <w:szCs w:val="21"/>
              </w:rPr>
              <w:t>砷</w:t>
            </w:r>
          </w:p>
        </w:tc>
        <w:tc>
          <w:tcPr>
            <w:tcW w:w="1228" w:type="dxa"/>
            <w:vAlign w:val="top"/>
          </w:tcPr>
          <w:p>
            <w:pPr>
              <w:widowControl/>
              <w:kinsoku w:val="0"/>
              <w:autoSpaceDE w:val="0"/>
              <w:autoSpaceDN w:val="0"/>
              <w:adjustRightInd w:val="0"/>
              <w:snapToGrid w:val="0"/>
              <w:spacing w:before="97" w:line="237" w:lineRule="auto"/>
              <w:ind w:left="341" w:firstLine="0" w:firstLineChars="0"/>
              <w:jc w:val="left"/>
              <w:textAlignment w:val="baseline"/>
              <w:rPr>
                <w:rFonts w:ascii="Times New Roman" w:hAnsi="Times New Roman" w:eastAsia="Times New Roman" w:cs="Times New Roman"/>
                <w:snapToGrid w:val="0"/>
                <w:color w:val="auto"/>
                <w:kern w:val="0"/>
                <w:sz w:val="21"/>
                <w:szCs w:val="21"/>
              </w:rPr>
            </w:pPr>
            <w:r>
              <w:rPr>
                <w:rFonts w:ascii="宋体" w:hAnsi="宋体" w:eastAsia="宋体" w:cs="宋体"/>
                <w:snapToGrid w:val="0"/>
                <w:color w:val="auto"/>
                <w:spacing w:val="-4"/>
                <w:kern w:val="0"/>
                <w:sz w:val="21"/>
                <w:szCs w:val="21"/>
              </w:rPr>
              <w:t>≤</w:t>
            </w:r>
            <w:r>
              <w:rPr>
                <w:rFonts w:ascii="Times New Roman" w:hAnsi="Times New Roman" w:eastAsia="Times New Roman" w:cs="Times New Roman"/>
                <w:snapToGrid w:val="0"/>
                <w:color w:val="auto"/>
                <w:spacing w:val="-4"/>
                <w:kern w:val="0"/>
                <w:sz w:val="21"/>
                <w:szCs w:val="21"/>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847" w:type="dxa"/>
            <w:vAlign w:val="top"/>
          </w:tcPr>
          <w:p>
            <w:pPr>
              <w:widowControl/>
              <w:kinsoku w:val="0"/>
              <w:autoSpaceDE w:val="0"/>
              <w:autoSpaceDN w:val="0"/>
              <w:adjustRightInd w:val="0"/>
              <w:snapToGrid w:val="0"/>
              <w:spacing w:before="136" w:line="187" w:lineRule="auto"/>
              <w:ind w:left="338" w:firstLine="0" w:firstLineChars="0"/>
              <w:jc w:val="left"/>
              <w:textAlignment w:val="baseline"/>
              <w:rPr>
                <w:rFonts w:ascii="Times New Roman" w:hAnsi="Times New Roman" w:eastAsia="Times New Roman" w:cs="Times New Roman"/>
                <w:snapToGrid w:val="0"/>
                <w:color w:val="auto"/>
                <w:kern w:val="0"/>
                <w:sz w:val="21"/>
                <w:szCs w:val="21"/>
              </w:rPr>
            </w:pPr>
            <w:r>
              <w:rPr>
                <w:rFonts w:ascii="Times New Roman" w:hAnsi="Times New Roman" w:eastAsia="Times New Roman" w:cs="Times New Roman"/>
                <w:snapToGrid w:val="0"/>
                <w:color w:val="auto"/>
                <w:spacing w:val="-6"/>
                <w:kern w:val="0"/>
                <w:sz w:val="21"/>
                <w:szCs w:val="21"/>
              </w:rPr>
              <w:t>10</w:t>
            </w:r>
          </w:p>
        </w:tc>
        <w:tc>
          <w:tcPr>
            <w:tcW w:w="1847" w:type="dxa"/>
            <w:vAlign w:val="top"/>
          </w:tcPr>
          <w:p>
            <w:pPr>
              <w:widowControl/>
              <w:kinsoku w:val="0"/>
              <w:autoSpaceDE w:val="0"/>
              <w:autoSpaceDN w:val="0"/>
              <w:adjustRightInd w:val="0"/>
              <w:snapToGrid w:val="0"/>
              <w:spacing w:before="98" w:line="226" w:lineRule="auto"/>
              <w:ind w:left="822" w:firstLine="0" w:firstLineChars="0"/>
              <w:jc w:val="left"/>
              <w:textAlignment w:val="baseline"/>
              <w:rPr>
                <w:rFonts w:ascii="宋体" w:hAnsi="宋体" w:eastAsia="宋体" w:cs="宋体"/>
                <w:snapToGrid w:val="0"/>
                <w:color w:val="auto"/>
                <w:kern w:val="0"/>
                <w:sz w:val="21"/>
                <w:szCs w:val="21"/>
              </w:rPr>
            </w:pPr>
            <w:r>
              <w:rPr>
                <w:rFonts w:ascii="宋体" w:hAnsi="宋体" w:eastAsia="宋体" w:cs="宋体"/>
                <w:snapToGrid w:val="0"/>
                <w:color w:val="auto"/>
                <w:kern w:val="0"/>
                <w:sz w:val="21"/>
                <w:szCs w:val="21"/>
              </w:rPr>
              <w:t>铝</w:t>
            </w:r>
          </w:p>
        </w:tc>
        <w:tc>
          <w:tcPr>
            <w:tcW w:w="1367" w:type="dxa"/>
            <w:vAlign w:val="top"/>
          </w:tcPr>
          <w:p>
            <w:pPr>
              <w:widowControl/>
              <w:kinsoku w:val="0"/>
              <w:autoSpaceDE w:val="0"/>
              <w:autoSpaceDN w:val="0"/>
              <w:adjustRightInd w:val="0"/>
              <w:snapToGrid w:val="0"/>
              <w:spacing w:before="97" w:line="237" w:lineRule="auto"/>
              <w:ind w:left="466" w:firstLine="0" w:firstLineChars="0"/>
              <w:jc w:val="left"/>
              <w:textAlignment w:val="baseline"/>
              <w:rPr>
                <w:rFonts w:ascii="Times New Roman" w:hAnsi="Times New Roman" w:eastAsia="Times New Roman" w:cs="Times New Roman"/>
                <w:snapToGrid w:val="0"/>
                <w:color w:val="auto"/>
                <w:kern w:val="0"/>
                <w:sz w:val="21"/>
                <w:szCs w:val="21"/>
              </w:rPr>
            </w:pPr>
            <w:r>
              <w:rPr>
                <w:rFonts w:ascii="宋体" w:hAnsi="宋体" w:eastAsia="宋体" w:cs="宋体"/>
                <w:snapToGrid w:val="0"/>
                <w:color w:val="auto"/>
                <w:spacing w:val="-6"/>
                <w:kern w:val="0"/>
                <w:sz w:val="21"/>
                <w:szCs w:val="21"/>
              </w:rPr>
              <w:t>≤</w:t>
            </w:r>
            <w:r>
              <w:rPr>
                <w:rFonts w:ascii="Times New Roman" w:hAnsi="Times New Roman" w:eastAsia="Times New Roman" w:cs="Times New Roman"/>
                <w:snapToGrid w:val="0"/>
                <w:color w:val="auto"/>
                <w:spacing w:val="-5"/>
                <w:kern w:val="0"/>
                <w:sz w:val="21"/>
                <w:szCs w:val="21"/>
              </w:rPr>
              <w:t>0.2</w:t>
            </w:r>
          </w:p>
        </w:tc>
        <w:tc>
          <w:tcPr>
            <w:tcW w:w="984" w:type="dxa"/>
            <w:vAlign w:val="top"/>
          </w:tcPr>
          <w:p>
            <w:pPr>
              <w:widowControl/>
              <w:kinsoku w:val="0"/>
              <w:autoSpaceDE w:val="0"/>
              <w:autoSpaceDN w:val="0"/>
              <w:adjustRightInd w:val="0"/>
              <w:snapToGrid w:val="0"/>
              <w:spacing w:before="136" w:line="187" w:lineRule="auto"/>
              <w:ind w:left="388" w:firstLine="0" w:firstLineChars="0"/>
              <w:jc w:val="left"/>
              <w:textAlignment w:val="baseline"/>
              <w:rPr>
                <w:rFonts w:ascii="Times New Roman" w:hAnsi="Times New Roman" w:eastAsia="Times New Roman" w:cs="Times New Roman"/>
                <w:snapToGrid w:val="0"/>
                <w:color w:val="auto"/>
                <w:kern w:val="0"/>
                <w:sz w:val="21"/>
                <w:szCs w:val="21"/>
              </w:rPr>
            </w:pPr>
            <w:r>
              <w:rPr>
                <w:rFonts w:ascii="Times New Roman" w:hAnsi="Times New Roman" w:eastAsia="Times New Roman" w:cs="Times New Roman"/>
                <w:snapToGrid w:val="0"/>
                <w:color w:val="auto"/>
                <w:spacing w:val="-1"/>
                <w:kern w:val="0"/>
                <w:sz w:val="21"/>
                <w:szCs w:val="21"/>
              </w:rPr>
              <w:t>23</w:t>
            </w:r>
          </w:p>
        </w:tc>
        <w:tc>
          <w:tcPr>
            <w:tcW w:w="2027" w:type="dxa"/>
            <w:vAlign w:val="top"/>
          </w:tcPr>
          <w:p>
            <w:pPr>
              <w:widowControl/>
              <w:kinsoku w:val="0"/>
              <w:autoSpaceDE w:val="0"/>
              <w:autoSpaceDN w:val="0"/>
              <w:adjustRightInd w:val="0"/>
              <w:snapToGrid w:val="0"/>
              <w:spacing w:before="98" w:line="223" w:lineRule="auto"/>
              <w:ind w:left="911" w:firstLine="0" w:firstLineChars="0"/>
              <w:jc w:val="left"/>
              <w:textAlignment w:val="baseline"/>
              <w:rPr>
                <w:rFonts w:ascii="宋体" w:hAnsi="宋体" w:eastAsia="宋体" w:cs="宋体"/>
                <w:snapToGrid w:val="0"/>
                <w:color w:val="auto"/>
                <w:kern w:val="0"/>
                <w:sz w:val="21"/>
                <w:szCs w:val="21"/>
              </w:rPr>
            </w:pPr>
            <w:r>
              <w:rPr>
                <w:rFonts w:ascii="宋体" w:hAnsi="宋体" w:eastAsia="宋体" w:cs="宋体"/>
                <w:snapToGrid w:val="0"/>
                <w:color w:val="auto"/>
                <w:kern w:val="0"/>
                <w:sz w:val="21"/>
                <w:szCs w:val="21"/>
              </w:rPr>
              <w:t>硒</w:t>
            </w:r>
          </w:p>
        </w:tc>
        <w:tc>
          <w:tcPr>
            <w:tcW w:w="1228" w:type="dxa"/>
            <w:vAlign w:val="top"/>
          </w:tcPr>
          <w:p>
            <w:pPr>
              <w:widowControl/>
              <w:kinsoku w:val="0"/>
              <w:autoSpaceDE w:val="0"/>
              <w:autoSpaceDN w:val="0"/>
              <w:adjustRightInd w:val="0"/>
              <w:snapToGrid w:val="0"/>
              <w:spacing w:before="97" w:line="237" w:lineRule="auto"/>
              <w:ind w:left="341" w:firstLine="0" w:firstLineChars="0"/>
              <w:jc w:val="left"/>
              <w:textAlignment w:val="baseline"/>
              <w:rPr>
                <w:rFonts w:ascii="Times New Roman" w:hAnsi="Times New Roman" w:eastAsia="Times New Roman" w:cs="Times New Roman"/>
                <w:snapToGrid w:val="0"/>
                <w:color w:val="auto"/>
                <w:kern w:val="0"/>
                <w:sz w:val="21"/>
                <w:szCs w:val="21"/>
              </w:rPr>
            </w:pPr>
            <w:r>
              <w:rPr>
                <w:rFonts w:ascii="宋体" w:hAnsi="宋体" w:eastAsia="宋体" w:cs="宋体"/>
                <w:snapToGrid w:val="0"/>
                <w:color w:val="auto"/>
                <w:spacing w:val="-4"/>
                <w:kern w:val="0"/>
                <w:sz w:val="21"/>
                <w:szCs w:val="21"/>
              </w:rPr>
              <w:t>≤</w:t>
            </w:r>
            <w:r>
              <w:rPr>
                <w:rFonts w:ascii="Times New Roman" w:hAnsi="Times New Roman" w:eastAsia="Times New Roman" w:cs="Times New Roman"/>
                <w:snapToGrid w:val="0"/>
                <w:color w:val="auto"/>
                <w:spacing w:val="-4"/>
                <w:kern w:val="0"/>
                <w:sz w:val="21"/>
                <w:szCs w:val="21"/>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trPr>
        <w:tc>
          <w:tcPr>
            <w:tcW w:w="847" w:type="dxa"/>
            <w:vAlign w:val="top"/>
          </w:tcPr>
          <w:p>
            <w:pPr>
              <w:widowControl/>
              <w:kinsoku w:val="0"/>
              <w:autoSpaceDE w:val="0"/>
              <w:autoSpaceDN w:val="0"/>
              <w:adjustRightInd w:val="0"/>
              <w:snapToGrid w:val="0"/>
              <w:spacing w:before="137" w:line="187" w:lineRule="auto"/>
              <w:ind w:left="338" w:firstLine="0" w:firstLineChars="0"/>
              <w:jc w:val="left"/>
              <w:textAlignment w:val="baseline"/>
              <w:rPr>
                <w:rFonts w:ascii="Times New Roman" w:hAnsi="Times New Roman" w:eastAsia="Times New Roman" w:cs="Times New Roman"/>
                <w:snapToGrid w:val="0"/>
                <w:color w:val="auto"/>
                <w:kern w:val="0"/>
                <w:sz w:val="21"/>
                <w:szCs w:val="21"/>
              </w:rPr>
            </w:pPr>
            <w:r>
              <w:rPr>
                <w:rFonts w:ascii="Times New Roman" w:hAnsi="Times New Roman" w:eastAsia="Times New Roman" w:cs="Times New Roman"/>
                <w:snapToGrid w:val="0"/>
                <w:color w:val="auto"/>
                <w:spacing w:val="-6"/>
                <w:kern w:val="0"/>
                <w:sz w:val="21"/>
                <w:szCs w:val="21"/>
              </w:rPr>
              <w:t>11</w:t>
            </w:r>
          </w:p>
        </w:tc>
        <w:tc>
          <w:tcPr>
            <w:tcW w:w="1847" w:type="dxa"/>
            <w:vAlign w:val="top"/>
          </w:tcPr>
          <w:p>
            <w:pPr>
              <w:widowControl/>
              <w:kinsoku w:val="0"/>
              <w:autoSpaceDE w:val="0"/>
              <w:autoSpaceDN w:val="0"/>
              <w:adjustRightInd w:val="0"/>
              <w:snapToGrid w:val="0"/>
              <w:spacing w:before="98" w:line="221" w:lineRule="auto"/>
              <w:ind w:left="609" w:firstLine="0" w:firstLineChars="0"/>
              <w:jc w:val="left"/>
              <w:textAlignment w:val="baseline"/>
              <w:rPr>
                <w:rFonts w:ascii="宋体" w:hAnsi="宋体" w:eastAsia="宋体" w:cs="宋体"/>
                <w:snapToGrid w:val="0"/>
                <w:color w:val="auto"/>
                <w:kern w:val="0"/>
                <w:sz w:val="21"/>
                <w:szCs w:val="21"/>
              </w:rPr>
            </w:pPr>
            <w:r>
              <w:rPr>
                <w:rFonts w:ascii="宋体" w:hAnsi="宋体" w:eastAsia="宋体" w:cs="宋体"/>
                <w:snapToGrid w:val="0"/>
                <w:color w:val="auto"/>
                <w:spacing w:val="-1"/>
                <w:kern w:val="0"/>
                <w:sz w:val="21"/>
                <w:szCs w:val="21"/>
              </w:rPr>
              <w:t>挥发酚</w:t>
            </w:r>
          </w:p>
        </w:tc>
        <w:tc>
          <w:tcPr>
            <w:tcW w:w="1367" w:type="dxa"/>
            <w:vAlign w:val="top"/>
          </w:tcPr>
          <w:p>
            <w:pPr>
              <w:widowControl/>
              <w:kinsoku w:val="0"/>
              <w:autoSpaceDE w:val="0"/>
              <w:autoSpaceDN w:val="0"/>
              <w:adjustRightInd w:val="0"/>
              <w:snapToGrid w:val="0"/>
              <w:spacing w:before="98" w:line="237" w:lineRule="auto"/>
              <w:ind w:left="362" w:firstLine="0" w:firstLineChars="0"/>
              <w:jc w:val="left"/>
              <w:textAlignment w:val="baseline"/>
              <w:rPr>
                <w:rFonts w:ascii="Times New Roman" w:hAnsi="Times New Roman" w:eastAsia="Times New Roman" w:cs="Times New Roman"/>
                <w:snapToGrid w:val="0"/>
                <w:color w:val="auto"/>
                <w:kern w:val="0"/>
                <w:sz w:val="21"/>
                <w:szCs w:val="21"/>
              </w:rPr>
            </w:pPr>
            <w:r>
              <w:rPr>
                <w:rFonts w:ascii="宋体" w:hAnsi="宋体" w:eastAsia="宋体" w:cs="宋体"/>
                <w:snapToGrid w:val="0"/>
                <w:color w:val="auto"/>
                <w:spacing w:val="-5"/>
                <w:kern w:val="0"/>
                <w:sz w:val="21"/>
                <w:szCs w:val="21"/>
              </w:rPr>
              <w:t>≤</w:t>
            </w:r>
            <w:r>
              <w:rPr>
                <w:rFonts w:ascii="Times New Roman" w:hAnsi="Times New Roman" w:eastAsia="Times New Roman" w:cs="Times New Roman"/>
                <w:snapToGrid w:val="0"/>
                <w:color w:val="auto"/>
                <w:spacing w:val="-3"/>
                <w:kern w:val="0"/>
                <w:sz w:val="21"/>
                <w:szCs w:val="21"/>
              </w:rPr>
              <w:t>0.002</w:t>
            </w:r>
          </w:p>
        </w:tc>
        <w:tc>
          <w:tcPr>
            <w:tcW w:w="984" w:type="dxa"/>
            <w:vAlign w:val="top"/>
          </w:tcPr>
          <w:p>
            <w:pPr>
              <w:widowControl/>
              <w:kinsoku w:val="0"/>
              <w:autoSpaceDE w:val="0"/>
              <w:autoSpaceDN w:val="0"/>
              <w:adjustRightInd w:val="0"/>
              <w:snapToGrid w:val="0"/>
              <w:spacing w:before="137" w:line="187" w:lineRule="auto"/>
              <w:ind w:left="388" w:firstLine="0" w:firstLineChars="0"/>
              <w:jc w:val="left"/>
              <w:textAlignment w:val="baseline"/>
              <w:rPr>
                <w:rFonts w:ascii="Times New Roman" w:hAnsi="Times New Roman" w:eastAsia="Times New Roman" w:cs="Times New Roman"/>
                <w:snapToGrid w:val="0"/>
                <w:color w:val="auto"/>
                <w:kern w:val="0"/>
                <w:sz w:val="21"/>
                <w:szCs w:val="21"/>
              </w:rPr>
            </w:pPr>
            <w:r>
              <w:rPr>
                <w:rFonts w:ascii="Times New Roman" w:hAnsi="Times New Roman" w:eastAsia="Times New Roman" w:cs="Times New Roman"/>
                <w:snapToGrid w:val="0"/>
                <w:color w:val="auto"/>
                <w:spacing w:val="-1"/>
                <w:kern w:val="0"/>
                <w:sz w:val="21"/>
                <w:szCs w:val="21"/>
              </w:rPr>
              <w:t>24</w:t>
            </w:r>
          </w:p>
        </w:tc>
        <w:tc>
          <w:tcPr>
            <w:tcW w:w="2027" w:type="dxa"/>
            <w:vAlign w:val="top"/>
          </w:tcPr>
          <w:p>
            <w:pPr>
              <w:widowControl/>
              <w:kinsoku w:val="0"/>
              <w:autoSpaceDE w:val="0"/>
              <w:autoSpaceDN w:val="0"/>
              <w:adjustRightInd w:val="0"/>
              <w:snapToGrid w:val="0"/>
              <w:spacing w:before="99" w:line="223" w:lineRule="auto"/>
              <w:ind w:left="911" w:firstLine="0" w:firstLineChars="0"/>
              <w:jc w:val="left"/>
              <w:textAlignment w:val="baseline"/>
              <w:rPr>
                <w:rFonts w:ascii="宋体" w:hAnsi="宋体" w:eastAsia="宋体" w:cs="宋体"/>
                <w:snapToGrid w:val="0"/>
                <w:color w:val="auto"/>
                <w:kern w:val="0"/>
                <w:sz w:val="21"/>
                <w:szCs w:val="21"/>
              </w:rPr>
            </w:pPr>
            <w:r>
              <w:rPr>
                <w:rFonts w:ascii="宋体" w:hAnsi="宋体" w:eastAsia="宋体" w:cs="宋体"/>
                <w:snapToGrid w:val="0"/>
                <w:color w:val="auto"/>
                <w:kern w:val="0"/>
                <w:sz w:val="21"/>
                <w:szCs w:val="21"/>
              </w:rPr>
              <w:t>镉</w:t>
            </w:r>
          </w:p>
        </w:tc>
        <w:tc>
          <w:tcPr>
            <w:tcW w:w="1228" w:type="dxa"/>
            <w:vAlign w:val="top"/>
          </w:tcPr>
          <w:p>
            <w:pPr>
              <w:widowControl/>
              <w:kinsoku w:val="0"/>
              <w:autoSpaceDE w:val="0"/>
              <w:autoSpaceDN w:val="0"/>
              <w:adjustRightInd w:val="0"/>
              <w:snapToGrid w:val="0"/>
              <w:spacing w:before="98" w:line="237" w:lineRule="auto"/>
              <w:ind w:left="291" w:firstLine="0" w:firstLineChars="0"/>
              <w:jc w:val="left"/>
              <w:textAlignment w:val="baseline"/>
              <w:rPr>
                <w:rFonts w:ascii="Times New Roman" w:hAnsi="Times New Roman" w:eastAsia="Times New Roman" w:cs="Times New Roman"/>
                <w:snapToGrid w:val="0"/>
                <w:color w:val="auto"/>
                <w:kern w:val="0"/>
                <w:sz w:val="21"/>
                <w:szCs w:val="21"/>
              </w:rPr>
            </w:pPr>
            <w:r>
              <w:rPr>
                <w:rFonts w:ascii="宋体" w:hAnsi="宋体" w:eastAsia="宋体" w:cs="宋体"/>
                <w:snapToGrid w:val="0"/>
                <w:color w:val="auto"/>
                <w:spacing w:val="-5"/>
                <w:kern w:val="0"/>
                <w:sz w:val="21"/>
                <w:szCs w:val="21"/>
              </w:rPr>
              <w:t>≤</w:t>
            </w:r>
            <w:r>
              <w:rPr>
                <w:rFonts w:ascii="Times New Roman" w:hAnsi="Times New Roman" w:eastAsia="Times New Roman" w:cs="Times New Roman"/>
                <w:snapToGrid w:val="0"/>
                <w:color w:val="auto"/>
                <w:spacing w:val="-3"/>
                <w:kern w:val="0"/>
                <w:sz w:val="21"/>
                <w:szCs w:val="21"/>
              </w:rPr>
              <w:t>0.005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47" w:type="dxa"/>
            <w:vAlign w:val="top"/>
          </w:tcPr>
          <w:p>
            <w:pPr>
              <w:widowControl/>
              <w:kinsoku w:val="0"/>
              <w:autoSpaceDE w:val="0"/>
              <w:autoSpaceDN w:val="0"/>
              <w:adjustRightInd w:val="0"/>
              <w:snapToGrid w:val="0"/>
              <w:spacing w:before="250" w:line="187" w:lineRule="auto"/>
              <w:ind w:left="338" w:firstLine="0" w:firstLineChars="0"/>
              <w:jc w:val="left"/>
              <w:textAlignment w:val="baseline"/>
              <w:rPr>
                <w:rFonts w:ascii="Times New Roman" w:hAnsi="Times New Roman" w:eastAsia="Times New Roman" w:cs="Times New Roman"/>
                <w:snapToGrid w:val="0"/>
                <w:color w:val="auto"/>
                <w:kern w:val="0"/>
                <w:sz w:val="21"/>
                <w:szCs w:val="21"/>
              </w:rPr>
            </w:pPr>
            <w:r>
              <w:rPr>
                <w:rFonts w:ascii="Times New Roman" w:hAnsi="Times New Roman" w:eastAsia="Times New Roman" w:cs="Times New Roman"/>
                <w:snapToGrid w:val="0"/>
                <w:color w:val="auto"/>
                <w:spacing w:val="-6"/>
                <w:kern w:val="0"/>
                <w:sz w:val="21"/>
                <w:szCs w:val="21"/>
              </w:rPr>
              <w:t>12</w:t>
            </w:r>
          </w:p>
        </w:tc>
        <w:tc>
          <w:tcPr>
            <w:tcW w:w="1847" w:type="dxa"/>
            <w:vAlign w:val="top"/>
          </w:tcPr>
          <w:p>
            <w:pPr>
              <w:widowControl/>
              <w:kinsoku w:val="0"/>
              <w:autoSpaceDE w:val="0"/>
              <w:autoSpaceDN w:val="0"/>
              <w:adjustRightInd w:val="0"/>
              <w:snapToGrid w:val="0"/>
              <w:spacing w:before="55" w:line="247" w:lineRule="auto"/>
              <w:ind w:left="822" w:right="185" w:hanging="615" w:firstLineChars="0"/>
              <w:jc w:val="left"/>
              <w:textAlignment w:val="baseline"/>
              <w:rPr>
                <w:rFonts w:ascii="宋体" w:hAnsi="宋体" w:eastAsia="宋体" w:cs="宋体"/>
                <w:snapToGrid w:val="0"/>
                <w:color w:val="auto"/>
                <w:kern w:val="0"/>
                <w:sz w:val="21"/>
                <w:szCs w:val="21"/>
              </w:rPr>
            </w:pPr>
            <w:r>
              <w:rPr>
                <w:rFonts w:ascii="宋体" w:hAnsi="宋体" w:eastAsia="宋体" w:cs="宋体"/>
                <w:snapToGrid w:val="0"/>
                <w:color w:val="auto"/>
                <w:spacing w:val="-3"/>
                <w:kern w:val="0"/>
                <w:sz w:val="21"/>
                <w:szCs w:val="21"/>
              </w:rPr>
              <w:t>阴离子表面活性</w:t>
            </w:r>
            <w:r>
              <w:rPr>
                <w:rFonts w:ascii="宋体" w:hAnsi="宋体" w:eastAsia="宋体" w:cs="宋体"/>
                <w:snapToGrid w:val="0"/>
                <w:color w:val="auto"/>
                <w:kern w:val="0"/>
                <w:sz w:val="21"/>
                <w:szCs w:val="21"/>
              </w:rPr>
              <w:t>剂</w:t>
            </w:r>
          </w:p>
        </w:tc>
        <w:tc>
          <w:tcPr>
            <w:tcW w:w="1367" w:type="dxa"/>
            <w:vAlign w:val="top"/>
          </w:tcPr>
          <w:p>
            <w:pPr>
              <w:widowControl/>
              <w:kinsoku w:val="0"/>
              <w:autoSpaceDE w:val="0"/>
              <w:autoSpaceDN w:val="0"/>
              <w:adjustRightInd w:val="0"/>
              <w:snapToGrid w:val="0"/>
              <w:spacing w:before="211" w:line="237" w:lineRule="auto"/>
              <w:ind w:left="466" w:firstLine="0" w:firstLineChars="0"/>
              <w:jc w:val="left"/>
              <w:textAlignment w:val="baseline"/>
              <w:rPr>
                <w:rFonts w:ascii="Times New Roman" w:hAnsi="Times New Roman" w:eastAsia="Times New Roman" w:cs="Times New Roman"/>
                <w:snapToGrid w:val="0"/>
                <w:color w:val="auto"/>
                <w:kern w:val="0"/>
                <w:sz w:val="21"/>
                <w:szCs w:val="21"/>
              </w:rPr>
            </w:pPr>
            <w:r>
              <w:rPr>
                <w:rFonts w:ascii="宋体" w:hAnsi="宋体" w:eastAsia="宋体" w:cs="宋体"/>
                <w:snapToGrid w:val="0"/>
                <w:color w:val="auto"/>
                <w:spacing w:val="-6"/>
                <w:kern w:val="0"/>
                <w:sz w:val="21"/>
                <w:szCs w:val="21"/>
              </w:rPr>
              <w:t>≤</w:t>
            </w:r>
            <w:r>
              <w:rPr>
                <w:rFonts w:ascii="Times New Roman" w:hAnsi="Times New Roman" w:eastAsia="Times New Roman" w:cs="Times New Roman"/>
                <w:snapToGrid w:val="0"/>
                <w:color w:val="auto"/>
                <w:spacing w:val="-5"/>
                <w:kern w:val="0"/>
                <w:sz w:val="21"/>
                <w:szCs w:val="21"/>
              </w:rPr>
              <w:t>0.3</w:t>
            </w:r>
          </w:p>
        </w:tc>
        <w:tc>
          <w:tcPr>
            <w:tcW w:w="984" w:type="dxa"/>
            <w:vAlign w:val="top"/>
          </w:tcPr>
          <w:p>
            <w:pPr>
              <w:widowControl/>
              <w:kinsoku w:val="0"/>
              <w:autoSpaceDE w:val="0"/>
              <w:autoSpaceDN w:val="0"/>
              <w:adjustRightInd w:val="0"/>
              <w:snapToGrid w:val="0"/>
              <w:spacing w:before="249" w:line="187" w:lineRule="auto"/>
              <w:ind w:left="388" w:firstLine="0" w:firstLineChars="0"/>
              <w:jc w:val="left"/>
              <w:textAlignment w:val="baseline"/>
              <w:rPr>
                <w:rFonts w:ascii="Times New Roman" w:hAnsi="Times New Roman" w:eastAsia="Times New Roman" w:cs="Times New Roman"/>
                <w:snapToGrid w:val="0"/>
                <w:color w:val="auto"/>
                <w:kern w:val="0"/>
                <w:sz w:val="21"/>
                <w:szCs w:val="21"/>
              </w:rPr>
            </w:pPr>
            <w:r>
              <w:rPr>
                <w:rFonts w:ascii="Times New Roman" w:hAnsi="Times New Roman" w:eastAsia="Times New Roman" w:cs="Times New Roman"/>
                <w:snapToGrid w:val="0"/>
                <w:color w:val="auto"/>
                <w:spacing w:val="-1"/>
                <w:kern w:val="0"/>
                <w:sz w:val="21"/>
                <w:szCs w:val="21"/>
              </w:rPr>
              <w:t>25</w:t>
            </w:r>
          </w:p>
        </w:tc>
        <w:tc>
          <w:tcPr>
            <w:tcW w:w="2027" w:type="dxa"/>
            <w:vAlign w:val="top"/>
          </w:tcPr>
          <w:p>
            <w:pPr>
              <w:widowControl/>
              <w:kinsoku w:val="0"/>
              <w:autoSpaceDE w:val="0"/>
              <w:autoSpaceDN w:val="0"/>
              <w:adjustRightInd w:val="0"/>
              <w:snapToGrid w:val="0"/>
              <w:spacing w:before="211" w:line="223" w:lineRule="auto"/>
              <w:ind w:left="912" w:firstLine="0" w:firstLineChars="0"/>
              <w:jc w:val="left"/>
              <w:textAlignment w:val="baseline"/>
              <w:rPr>
                <w:rFonts w:ascii="宋体" w:hAnsi="宋体" w:eastAsia="宋体" w:cs="宋体"/>
                <w:snapToGrid w:val="0"/>
                <w:color w:val="auto"/>
                <w:kern w:val="0"/>
                <w:sz w:val="21"/>
                <w:szCs w:val="21"/>
              </w:rPr>
            </w:pPr>
            <w:r>
              <w:rPr>
                <w:rFonts w:ascii="宋体" w:hAnsi="宋体" w:eastAsia="宋体" w:cs="宋体"/>
                <w:snapToGrid w:val="0"/>
                <w:color w:val="auto"/>
                <w:kern w:val="0"/>
                <w:sz w:val="21"/>
                <w:szCs w:val="21"/>
              </w:rPr>
              <w:t>铬</w:t>
            </w:r>
          </w:p>
        </w:tc>
        <w:tc>
          <w:tcPr>
            <w:tcW w:w="1228" w:type="dxa"/>
            <w:vAlign w:val="top"/>
          </w:tcPr>
          <w:p>
            <w:pPr>
              <w:widowControl/>
              <w:kinsoku w:val="0"/>
              <w:autoSpaceDE w:val="0"/>
              <w:autoSpaceDN w:val="0"/>
              <w:adjustRightInd w:val="0"/>
              <w:snapToGrid w:val="0"/>
              <w:spacing w:before="211" w:line="237" w:lineRule="auto"/>
              <w:ind w:left="341" w:firstLine="0" w:firstLineChars="0"/>
              <w:jc w:val="left"/>
              <w:textAlignment w:val="baseline"/>
              <w:rPr>
                <w:rFonts w:ascii="Times New Roman" w:hAnsi="Times New Roman" w:eastAsia="Times New Roman" w:cs="Times New Roman"/>
                <w:snapToGrid w:val="0"/>
                <w:color w:val="auto"/>
                <w:kern w:val="0"/>
                <w:sz w:val="21"/>
                <w:szCs w:val="21"/>
              </w:rPr>
            </w:pPr>
            <w:r>
              <w:rPr>
                <w:rFonts w:ascii="宋体" w:hAnsi="宋体" w:eastAsia="宋体" w:cs="宋体"/>
                <w:snapToGrid w:val="0"/>
                <w:color w:val="auto"/>
                <w:spacing w:val="-4"/>
                <w:kern w:val="0"/>
                <w:sz w:val="21"/>
                <w:szCs w:val="21"/>
              </w:rPr>
              <w:t>≤</w:t>
            </w:r>
            <w:r>
              <w:rPr>
                <w:rFonts w:ascii="Times New Roman" w:hAnsi="Times New Roman" w:eastAsia="Times New Roman" w:cs="Times New Roman"/>
                <w:snapToGrid w:val="0"/>
                <w:color w:val="auto"/>
                <w:spacing w:val="-4"/>
                <w:kern w:val="0"/>
                <w:sz w:val="21"/>
                <w:szCs w:val="21"/>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trPr>
        <w:tc>
          <w:tcPr>
            <w:tcW w:w="847" w:type="dxa"/>
            <w:vAlign w:val="top"/>
          </w:tcPr>
          <w:p>
            <w:pPr>
              <w:widowControl/>
              <w:kinsoku w:val="0"/>
              <w:autoSpaceDE w:val="0"/>
              <w:autoSpaceDN w:val="0"/>
              <w:adjustRightInd w:val="0"/>
              <w:snapToGrid w:val="0"/>
              <w:spacing w:before="138" w:line="187" w:lineRule="auto"/>
              <w:ind w:left="338" w:firstLine="0" w:firstLineChars="0"/>
              <w:jc w:val="left"/>
              <w:textAlignment w:val="baseline"/>
              <w:rPr>
                <w:rFonts w:ascii="Times New Roman" w:hAnsi="Times New Roman" w:eastAsia="Times New Roman" w:cs="Times New Roman"/>
                <w:snapToGrid w:val="0"/>
                <w:color w:val="auto"/>
                <w:kern w:val="0"/>
                <w:sz w:val="21"/>
                <w:szCs w:val="21"/>
              </w:rPr>
            </w:pPr>
            <w:r>
              <w:rPr>
                <w:rFonts w:ascii="Times New Roman" w:hAnsi="Times New Roman" w:eastAsia="Times New Roman" w:cs="Times New Roman"/>
                <w:snapToGrid w:val="0"/>
                <w:color w:val="auto"/>
                <w:spacing w:val="-6"/>
                <w:kern w:val="0"/>
                <w:sz w:val="21"/>
                <w:szCs w:val="21"/>
              </w:rPr>
              <w:t>13</w:t>
            </w:r>
          </w:p>
        </w:tc>
        <w:tc>
          <w:tcPr>
            <w:tcW w:w="1847" w:type="dxa"/>
            <w:vAlign w:val="top"/>
          </w:tcPr>
          <w:p>
            <w:pPr>
              <w:widowControl/>
              <w:kinsoku w:val="0"/>
              <w:autoSpaceDE w:val="0"/>
              <w:autoSpaceDN w:val="0"/>
              <w:adjustRightInd w:val="0"/>
              <w:snapToGrid w:val="0"/>
              <w:spacing w:before="99" w:line="220" w:lineRule="auto"/>
              <w:ind w:left="611" w:firstLine="0" w:firstLineChars="0"/>
              <w:jc w:val="left"/>
              <w:textAlignment w:val="baseline"/>
              <w:rPr>
                <w:rFonts w:ascii="宋体" w:hAnsi="宋体" w:eastAsia="宋体" w:cs="宋体"/>
                <w:snapToGrid w:val="0"/>
                <w:color w:val="auto"/>
                <w:kern w:val="0"/>
                <w:sz w:val="21"/>
                <w:szCs w:val="21"/>
              </w:rPr>
            </w:pPr>
            <w:r>
              <w:rPr>
                <w:rFonts w:ascii="宋体" w:hAnsi="宋体" w:eastAsia="宋体" w:cs="宋体"/>
                <w:snapToGrid w:val="0"/>
                <w:color w:val="auto"/>
                <w:spacing w:val="-2"/>
                <w:kern w:val="0"/>
                <w:sz w:val="21"/>
                <w:szCs w:val="21"/>
              </w:rPr>
              <w:t>耗</w:t>
            </w:r>
            <w:r>
              <w:rPr>
                <w:rFonts w:ascii="宋体" w:hAnsi="宋体" w:eastAsia="宋体" w:cs="宋体"/>
                <w:snapToGrid w:val="0"/>
                <w:color w:val="auto"/>
                <w:spacing w:val="-1"/>
                <w:kern w:val="0"/>
                <w:sz w:val="21"/>
                <w:szCs w:val="21"/>
              </w:rPr>
              <w:t>氧量</w:t>
            </w:r>
          </w:p>
        </w:tc>
        <w:tc>
          <w:tcPr>
            <w:tcW w:w="1367" w:type="dxa"/>
            <w:vAlign w:val="top"/>
          </w:tcPr>
          <w:p>
            <w:pPr>
              <w:widowControl/>
              <w:kinsoku w:val="0"/>
              <w:autoSpaceDE w:val="0"/>
              <w:autoSpaceDN w:val="0"/>
              <w:adjustRightInd w:val="0"/>
              <w:snapToGrid w:val="0"/>
              <w:spacing w:before="99" w:line="237" w:lineRule="auto"/>
              <w:ind w:left="466" w:firstLine="0" w:firstLineChars="0"/>
              <w:jc w:val="left"/>
              <w:textAlignment w:val="baseline"/>
              <w:rPr>
                <w:rFonts w:ascii="Times New Roman" w:hAnsi="Times New Roman" w:eastAsia="Times New Roman" w:cs="Times New Roman"/>
                <w:snapToGrid w:val="0"/>
                <w:color w:val="auto"/>
                <w:kern w:val="0"/>
                <w:sz w:val="21"/>
                <w:szCs w:val="21"/>
              </w:rPr>
            </w:pPr>
            <w:r>
              <w:rPr>
                <w:rFonts w:ascii="宋体" w:hAnsi="宋体" w:eastAsia="宋体" w:cs="宋体"/>
                <w:snapToGrid w:val="0"/>
                <w:color w:val="auto"/>
                <w:spacing w:val="-6"/>
                <w:kern w:val="0"/>
                <w:sz w:val="21"/>
                <w:szCs w:val="21"/>
              </w:rPr>
              <w:t>≤</w:t>
            </w:r>
            <w:r>
              <w:rPr>
                <w:rFonts w:ascii="Times New Roman" w:hAnsi="Times New Roman" w:eastAsia="Times New Roman" w:cs="Times New Roman"/>
                <w:snapToGrid w:val="0"/>
                <w:color w:val="auto"/>
                <w:spacing w:val="-5"/>
                <w:kern w:val="0"/>
                <w:sz w:val="21"/>
                <w:szCs w:val="21"/>
              </w:rPr>
              <w:t>3.0</w:t>
            </w:r>
          </w:p>
        </w:tc>
        <w:tc>
          <w:tcPr>
            <w:tcW w:w="984" w:type="dxa"/>
            <w:vAlign w:val="top"/>
          </w:tcPr>
          <w:p>
            <w:pPr>
              <w:widowControl/>
              <w:kinsoku w:val="0"/>
              <w:autoSpaceDE w:val="0"/>
              <w:autoSpaceDN w:val="0"/>
              <w:adjustRightInd w:val="0"/>
              <w:snapToGrid w:val="0"/>
              <w:spacing w:before="138" w:line="187" w:lineRule="auto"/>
              <w:ind w:left="388" w:firstLine="0" w:firstLineChars="0"/>
              <w:jc w:val="left"/>
              <w:textAlignment w:val="baseline"/>
              <w:rPr>
                <w:rFonts w:ascii="Times New Roman" w:hAnsi="Times New Roman" w:eastAsia="Times New Roman" w:cs="Times New Roman"/>
                <w:snapToGrid w:val="0"/>
                <w:color w:val="auto"/>
                <w:kern w:val="0"/>
                <w:sz w:val="21"/>
                <w:szCs w:val="21"/>
              </w:rPr>
            </w:pPr>
            <w:r>
              <w:rPr>
                <w:rFonts w:ascii="Times New Roman" w:hAnsi="Times New Roman" w:eastAsia="Times New Roman" w:cs="Times New Roman"/>
                <w:snapToGrid w:val="0"/>
                <w:color w:val="auto"/>
                <w:spacing w:val="-1"/>
                <w:kern w:val="0"/>
                <w:sz w:val="21"/>
                <w:szCs w:val="21"/>
              </w:rPr>
              <w:t>26</w:t>
            </w:r>
          </w:p>
        </w:tc>
        <w:tc>
          <w:tcPr>
            <w:tcW w:w="2027" w:type="dxa"/>
            <w:vAlign w:val="top"/>
          </w:tcPr>
          <w:p>
            <w:pPr>
              <w:widowControl/>
              <w:kinsoku w:val="0"/>
              <w:autoSpaceDE w:val="0"/>
              <w:autoSpaceDN w:val="0"/>
              <w:adjustRightInd w:val="0"/>
              <w:snapToGrid w:val="0"/>
              <w:spacing w:before="99" w:line="225" w:lineRule="auto"/>
              <w:ind w:left="913" w:firstLine="0" w:firstLineChars="0"/>
              <w:jc w:val="left"/>
              <w:textAlignment w:val="baseline"/>
              <w:rPr>
                <w:rFonts w:ascii="宋体" w:hAnsi="宋体" w:eastAsia="宋体" w:cs="宋体"/>
                <w:snapToGrid w:val="0"/>
                <w:color w:val="auto"/>
                <w:kern w:val="0"/>
                <w:sz w:val="21"/>
                <w:szCs w:val="21"/>
              </w:rPr>
            </w:pPr>
            <w:r>
              <w:rPr>
                <w:rFonts w:ascii="宋体" w:hAnsi="宋体" w:eastAsia="宋体" w:cs="宋体"/>
                <w:snapToGrid w:val="0"/>
                <w:color w:val="auto"/>
                <w:kern w:val="0"/>
                <w:sz w:val="21"/>
                <w:szCs w:val="21"/>
              </w:rPr>
              <w:t>铅</w:t>
            </w:r>
          </w:p>
        </w:tc>
        <w:tc>
          <w:tcPr>
            <w:tcW w:w="1228" w:type="dxa"/>
            <w:vAlign w:val="top"/>
          </w:tcPr>
          <w:p>
            <w:pPr>
              <w:widowControl/>
              <w:kinsoku w:val="0"/>
              <w:autoSpaceDE w:val="0"/>
              <w:autoSpaceDN w:val="0"/>
              <w:adjustRightInd w:val="0"/>
              <w:snapToGrid w:val="0"/>
              <w:spacing w:before="135" w:line="219" w:lineRule="auto"/>
              <w:ind w:left="369" w:firstLine="0" w:firstLineChars="0"/>
              <w:jc w:val="left"/>
              <w:textAlignment w:val="baseline"/>
              <w:rPr>
                <w:rFonts w:ascii="Times New Roman" w:hAnsi="Times New Roman" w:eastAsia="Times New Roman" w:cs="Times New Roman"/>
                <w:snapToGrid w:val="0"/>
                <w:color w:val="auto"/>
                <w:kern w:val="0"/>
                <w:sz w:val="21"/>
                <w:szCs w:val="21"/>
              </w:rPr>
            </w:pPr>
            <w:r>
              <w:rPr>
                <w:rFonts w:ascii="Times New Roman" w:hAnsi="Times New Roman" w:eastAsia="Times New Roman" w:cs="Times New Roman"/>
                <w:snapToGrid w:val="0"/>
                <w:color w:val="auto"/>
                <w:spacing w:val="-1"/>
                <w:kern w:val="0"/>
                <w:sz w:val="21"/>
                <w:szCs w:val="21"/>
              </w:rPr>
              <w:t>≤</w:t>
            </w:r>
            <w:r>
              <w:rPr>
                <w:rFonts w:ascii="Times New Roman" w:hAnsi="Times New Roman" w:eastAsia="Times New Roman" w:cs="Times New Roman"/>
                <w:snapToGrid w:val="0"/>
                <w:color w:val="auto"/>
                <w:kern w:val="0"/>
                <w:sz w:val="21"/>
                <w:szCs w:val="21"/>
              </w:rPr>
              <w:t>0.01</w:t>
            </w:r>
          </w:p>
        </w:tc>
      </w:tr>
    </w:tbl>
    <w:p>
      <w:pPr>
        <w:bidi w:val="0"/>
        <w:rPr>
          <w:rFonts w:hint="default"/>
          <w:color w:val="auto"/>
          <w:lang w:val="en-US" w:eastAsia="zh-CN"/>
        </w:rPr>
      </w:pPr>
      <w:r>
        <w:rPr>
          <w:rFonts w:hint="eastAsia"/>
          <w:color w:val="auto"/>
          <w:lang w:val="en-US" w:eastAsia="zh-CN"/>
        </w:rPr>
        <w:t>（4）噪声</w:t>
      </w:r>
    </w:p>
    <w:p>
      <w:pPr>
        <w:keepNext w:val="0"/>
        <w:keepLines w:val="0"/>
        <w:widowControl/>
        <w:suppressLineNumbers w:val="0"/>
        <w:jc w:val="left"/>
        <w:rPr>
          <w:color w:val="auto"/>
        </w:rPr>
      </w:pPr>
      <w:r>
        <w:rPr>
          <w:rFonts w:hint="eastAsia"/>
          <w:color w:val="auto"/>
          <w:lang w:val="en-US" w:eastAsia="zh-CN"/>
        </w:rPr>
        <w:t>本项目所在区域属于</w:t>
      </w:r>
      <w:r>
        <w:rPr>
          <w:rFonts w:hint="default"/>
          <w:color w:val="auto"/>
          <w:lang w:val="en-US" w:eastAsia="zh-CN"/>
        </w:rPr>
        <w:t>GB3096-2008</w:t>
      </w:r>
      <w:r>
        <w:rPr>
          <w:rFonts w:hint="eastAsia"/>
          <w:color w:val="auto"/>
          <w:lang w:val="en-US" w:eastAsia="zh-CN"/>
        </w:rPr>
        <w:t>《声环境质量标准》中的</w:t>
      </w:r>
      <w:r>
        <w:rPr>
          <w:rFonts w:hint="default"/>
          <w:color w:val="auto"/>
          <w:lang w:val="en-US" w:eastAsia="zh-CN"/>
        </w:rPr>
        <w:t>1</w:t>
      </w:r>
      <w:r>
        <w:rPr>
          <w:rFonts w:hint="eastAsia"/>
          <w:color w:val="auto"/>
          <w:lang w:val="en-US" w:eastAsia="zh-CN"/>
        </w:rPr>
        <w:t>类声环境功能区，执行</w:t>
      </w:r>
      <w:r>
        <w:rPr>
          <w:rFonts w:hint="default"/>
          <w:color w:val="auto"/>
          <w:lang w:val="en-US" w:eastAsia="zh-CN"/>
        </w:rPr>
        <w:t>GB3096-2008</w:t>
      </w:r>
      <w:r>
        <w:rPr>
          <w:rFonts w:hint="eastAsia"/>
          <w:color w:val="auto"/>
          <w:lang w:val="en-US" w:eastAsia="zh-CN"/>
        </w:rPr>
        <w:t>《声环境质量标准》中</w:t>
      </w:r>
      <w:r>
        <w:rPr>
          <w:rFonts w:hint="default"/>
          <w:color w:val="auto"/>
          <w:lang w:val="en-US" w:eastAsia="zh-CN"/>
        </w:rPr>
        <w:t>1</w:t>
      </w:r>
      <w:r>
        <w:rPr>
          <w:rFonts w:hint="eastAsia"/>
          <w:color w:val="auto"/>
          <w:lang w:val="en-US" w:eastAsia="zh-CN"/>
        </w:rPr>
        <w:t>类标准。</w:t>
      </w:r>
      <w:r>
        <w:rPr>
          <w:rFonts w:hint="eastAsia" w:ascii="宋体" w:hAnsi="宋体" w:eastAsia="宋体" w:cs="宋体"/>
          <w:color w:val="auto"/>
          <w:kern w:val="0"/>
          <w:sz w:val="24"/>
          <w:szCs w:val="24"/>
          <w:lang w:val="en-US" w:eastAsia="zh-CN" w:bidi="ar"/>
        </w:rPr>
        <w:t>见表</w:t>
      </w:r>
      <w:r>
        <w:rPr>
          <w:rFonts w:hint="default" w:ascii="Times New Roman" w:hAnsi="Times New Roman" w:eastAsia="宋体" w:cs="Times New Roman"/>
          <w:color w:val="auto"/>
          <w:kern w:val="0"/>
          <w:sz w:val="24"/>
          <w:szCs w:val="24"/>
          <w:lang w:val="en-US" w:eastAsia="zh-CN" w:bidi="ar"/>
        </w:rPr>
        <w:t>2.</w:t>
      </w:r>
      <w:r>
        <w:rPr>
          <w:rFonts w:hint="eastAsia" w:ascii="Times New Roman" w:hAnsi="Times New Roman" w:eastAsia="宋体"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w:t>
      </w:r>
    </w:p>
    <w:p>
      <w:pPr>
        <w:bidi w:val="0"/>
        <w:jc w:val="center"/>
        <w:rPr>
          <w:rFonts w:hint="eastAsia"/>
          <w:b/>
          <w:bCs/>
          <w:color w:val="auto"/>
          <w:sz w:val="21"/>
          <w:szCs w:val="21"/>
        </w:rPr>
      </w:pPr>
      <w:r>
        <w:rPr>
          <w:rFonts w:hint="eastAsia"/>
          <w:b/>
          <w:bCs/>
          <w:color w:val="auto"/>
          <w:sz w:val="21"/>
          <w:szCs w:val="21"/>
        </w:rPr>
        <w:t>表2.</w:t>
      </w:r>
      <w:r>
        <w:rPr>
          <w:rFonts w:hint="eastAsia"/>
          <w:b/>
          <w:bCs/>
          <w:color w:val="auto"/>
          <w:sz w:val="21"/>
          <w:szCs w:val="21"/>
          <w:lang w:val="en-US" w:eastAsia="zh-CN"/>
        </w:rPr>
        <w:t>5</w:t>
      </w:r>
      <w:r>
        <w:rPr>
          <w:rFonts w:hint="eastAsia"/>
          <w:b/>
          <w:bCs/>
          <w:color w:val="auto"/>
          <w:sz w:val="21"/>
          <w:szCs w:val="21"/>
        </w:rPr>
        <w:t>-</w:t>
      </w:r>
      <w:r>
        <w:rPr>
          <w:rFonts w:hint="eastAsia"/>
          <w:b/>
          <w:bCs/>
          <w:color w:val="auto"/>
          <w:sz w:val="21"/>
          <w:szCs w:val="21"/>
          <w:lang w:val="en-US" w:eastAsia="zh-CN"/>
        </w:rPr>
        <w:t>3</w:t>
      </w:r>
      <w:r>
        <w:rPr>
          <w:rFonts w:hint="eastAsia"/>
          <w:b/>
          <w:bCs/>
          <w:color w:val="auto"/>
          <w:sz w:val="21"/>
          <w:szCs w:val="21"/>
        </w:rPr>
        <w:t>声环境质量标准</w:t>
      </w:r>
    </w:p>
    <w:tbl>
      <w:tblPr>
        <w:tblStyle w:val="23"/>
        <w:tblW w:w="81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40"/>
        <w:gridCol w:w="720"/>
        <w:gridCol w:w="2520"/>
        <w:gridCol w:w="1720"/>
        <w:gridCol w:w="1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jc w:val="center"/>
        </w:trPr>
        <w:tc>
          <w:tcPr>
            <w:tcW w:w="1440" w:type="dxa"/>
            <w:vMerge w:val="restart"/>
            <w:tcBorders>
              <w:tl2br w:val="nil"/>
              <w:tr2bl w:val="nil"/>
            </w:tcBorders>
            <w:vAlign w:val="center"/>
          </w:tcPr>
          <w:p>
            <w:pPr>
              <w:pStyle w:val="22"/>
              <w:bidi w:val="0"/>
              <w:jc w:val="center"/>
              <w:rPr>
                <w:b/>
                <w:bCs/>
                <w:color w:val="auto"/>
              </w:rPr>
            </w:pPr>
            <w:r>
              <w:rPr>
                <w:b/>
                <w:bCs/>
                <w:color w:val="auto"/>
              </w:rPr>
              <w:t>项目地点</w:t>
            </w:r>
          </w:p>
        </w:tc>
        <w:tc>
          <w:tcPr>
            <w:tcW w:w="720" w:type="dxa"/>
            <w:vMerge w:val="restart"/>
            <w:tcBorders>
              <w:tl2br w:val="nil"/>
              <w:tr2bl w:val="nil"/>
            </w:tcBorders>
            <w:vAlign w:val="center"/>
          </w:tcPr>
          <w:p>
            <w:pPr>
              <w:pStyle w:val="22"/>
              <w:bidi w:val="0"/>
              <w:jc w:val="center"/>
              <w:rPr>
                <w:b/>
                <w:bCs/>
                <w:color w:val="auto"/>
              </w:rPr>
            </w:pPr>
            <w:r>
              <w:rPr>
                <w:b/>
                <w:bCs/>
                <w:color w:val="auto"/>
              </w:rPr>
              <w:t>类别</w:t>
            </w:r>
          </w:p>
        </w:tc>
        <w:tc>
          <w:tcPr>
            <w:tcW w:w="2520" w:type="dxa"/>
            <w:vMerge w:val="restart"/>
            <w:tcBorders>
              <w:tl2br w:val="nil"/>
              <w:tr2bl w:val="nil"/>
            </w:tcBorders>
            <w:vAlign w:val="center"/>
          </w:tcPr>
          <w:p>
            <w:pPr>
              <w:pStyle w:val="22"/>
              <w:bidi w:val="0"/>
              <w:jc w:val="center"/>
              <w:rPr>
                <w:b/>
                <w:bCs/>
                <w:color w:val="auto"/>
              </w:rPr>
            </w:pPr>
            <w:r>
              <w:rPr>
                <w:b/>
                <w:bCs/>
                <w:color w:val="auto"/>
              </w:rPr>
              <w:t>适用评价区域</w:t>
            </w:r>
          </w:p>
        </w:tc>
        <w:tc>
          <w:tcPr>
            <w:tcW w:w="3440" w:type="dxa"/>
            <w:gridSpan w:val="2"/>
            <w:tcBorders>
              <w:tl2br w:val="nil"/>
              <w:tr2bl w:val="nil"/>
            </w:tcBorders>
            <w:vAlign w:val="center"/>
          </w:tcPr>
          <w:p>
            <w:pPr>
              <w:pStyle w:val="22"/>
              <w:bidi w:val="0"/>
              <w:jc w:val="center"/>
              <w:rPr>
                <w:b/>
                <w:bCs/>
                <w:color w:val="auto"/>
              </w:rPr>
            </w:pPr>
            <w:r>
              <w:rPr>
                <w:b/>
                <w:bCs/>
                <w:color w:val="auto"/>
              </w:rPr>
              <w:t>标准值（LAeq(dB)）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jc w:val="center"/>
        </w:trPr>
        <w:tc>
          <w:tcPr>
            <w:tcW w:w="1440" w:type="dxa"/>
            <w:vMerge w:val="continue"/>
            <w:tcBorders>
              <w:tl2br w:val="nil"/>
              <w:tr2bl w:val="nil"/>
            </w:tcBorders>
            <w:vAlign w:val="center"/>
          </w:tcPr>
          <w:p>
            <w:pPr>
              <w:pStyle w:val="22"/>
              <w:bidi w:val="0"/>
              <w:jc w:val="center"/>
              <w:rPr>
                <w:b/>
                <w:bCs/>
                <w:color w:val="auto"/>
              </w:rPr>
            </w:pPr>
          </w:p>
        </w:tc>
        <w:tc>
          <w:tcPr>
            <w:tcW w:w="720" w:type="dxa"/>
            <w:vMerge w:val="continue"/>
            <w:tcBorders>
              <w:tl2br w:val="nil"/>
              <w:tr2bl w:val="nil"/>
            </w:tcBorders>
            <w:vAlign w:val="center"/>
          </w:tcPr>
          <w:p>
            <w:pPr>
              <w:pStyle w:val="22"/>
              <w:bidi w:val="0"/>
              <w:jc w:val="center"/>
              <w:rPr>
                <w:b/>
                <w:bCs/>
                <w:color w:val="auto"/>
              </w:rPr>
            </w:pPr>
          </w:p>
        </w:tc>
        <w:tc>
          <w:tcPr>
            <w:tcW w:w="2520" w:type="dxa"/>
            <w:vMerge w:val="continue"/>
            <w:tcBorders>
              <w:tl2br w:val="nil"/>
              <w:tr2bl w:val="nil"/>
            </w:tcBorders>
            <w:vAlign w:val="center"/>
          </w:tcPr>
          <w:p>
            <w:pPr>
              <w:pStyle w:val="22"/>
              <w:bidi w:val="0"/>
              <w:jc w:val="center"/>
              <w:rPr>
                <w:b/>
                <w:bCs/>
                <w:color w:val="auto"/>
              </w:rPr>
            </w:pPr>
          </w:p>
        </w:tc>
        <w:tc>
          <w:tcPr>
            <w:tcW w:w="1720" w:type="dxa"/>
            <w:tcBorders>
              <w:tl2br w:val="nil"/>
              <w:tr2bl w:val="nil"/>
            </w:tcBorders>
            <w:vAlign w:val="center"/>
          </w:tcPr>
          <w:p>
            <w:pPr>
              <w:pStyle w:val="22"/>
              <w:bidi w:val="0"/>
              <w:jc w:val="center"/>
              <w:rPr>
                <w:b/>
                <w:bCs/>
                <w:color w:val="auto"/>
              </w:rPr>
            </w:pPr>
            <w:r>
              <w:rPr>
                <w:b/>
                <w:bCs/>
                <w:color w:val="auto"/>
              </w:rPr>
              <w:t>昼间</w:t>
            </w:r>
          </w:p>
        </w:tc>
        <w:tc>
          <w:tcPr>
            <w:tcW w:w="1720" w:type="dxa"/>
            <w:tcBorders>
              <w:tl2br w:val="nil"/>
              <w:tr2bl w:val="nil"/>
            </w:tcBorders>
            <w:vAlign w:val="center"/>
          </w:tcPr>
          <w:p>
            <w:pPr>
              <w:pStyle w:val="22"/>
              <w:bidi w:val="0"/>
              <w:jc w:val="center"/>
              <w:rPr>
                <w:b/>
                <w:bCs/>
                <w:color w:val="auto"/>
              </w:rPr>
            </w:pPr>
            <w:r>
              <w:rPr>
                <w:b/>
                <w:bCs/>
                <w:color w:val="auto"/>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jc w:val="center"/>
        </w:trPr>
        <w:tc>
          <w:tcPr>
            <w:tcW w:w="1440" w:type="dxa"/>
            <w:tcBorders>
              <w:tl2br w:val="nil"/>
              <w:tr2bl w:val="nil"/>
            </w:tcBorders>
            <w:vAlign w:val="center"/>
          </w:tcPr>
          <w:p>
            <w:pPr>
              <w:pStyle w:val="22"/>
              <w:bidi w:val="0"/>
              <w:jc w:val="center"/>
              <w:rPr>
                <w:rFonts w:hint="eastAsia" w:eastAsia="宋体"/>
                <w:color w:val="auto"/>
                <w:lang w:eastAsia="zh-CN"/>
              </w:rPr>
            </w:pPr>
            <w:r>
              <w:rPr>
                <w:rFonts w:hint="eastAsia"/>
                <w:color w:val="auto"/>
                <w:lang w:eastAsia="zh-CN"/>
              </w:rPr>
              <w:t>疾控中心</w:t>
            </w:r>
          </w:p>
        </w:tc>
        <w:tc>
          <w:tcPr>
            <w:tcW w:w="720" w:type="dxa"/>
            <w:tcBorders>
              <w:tl2br w:val="nil"/>
              <w:tr2bl w:val="nil"/>
            </w:tcBorders>
            <w:vAlign w:val="center"/>
          </w:tcPr>
          <w:p>
            <w:pPr>
              <w:pStyle w:val="22"/>
              <w:bidi w:val="0"/>
              <w:jc w:val="center"/>
              <w:rPr>
                <w:color w:val="auto"/>
              </w:rPr>
            </w:pPr>
            <w:r>
              <w:rPr>
                <w:color w:val="auto"/>
              </w:rPr>
              <w:t>1</w:t>
            </w:r>
          </w:p>
        </w:tc>
        <w:tc>
          <w:tcPr>
            <w:tcW w:w="2520" w:type="dxa"/>
            <w:tcBorders>
              <w:tl2br w:val="nil"/>
              <w:tr2bl w:val="nil"/>
            </w:tcBorders>
            <w:vAlign w:val="center"/>
          </w:tcPr>
          <w:p>
            <w:pPr>
              <w:pStyle w:val="22"/>
              <w:bidi w:val="0"/>
              <w:jc w:val="center"/>
              <w:rPr>
                <w:color w:val="auto"/>
              </w:rPr>
            </w:pPr>
            <w:r>
              <w:rPr>
                <w:color w:val="auto"/>
              </w:rPr>
              <w:t>四周场界</w:t>
            </w:r>
          </w:p>
        </w:tc>
        <w:tc>
          <w:tcPr>
            <w:tcW w:w="1720" w:type="dxa"/>
            <w:tcBorders>
              <w:tl2br w:val="nil"/>
              <w:tr2bl w:val="nil"/>
            </w:tcBorders>
            <w:vAlign w:val="center"/>
          </w:tcPr>
          <w:p>
            <w:pPr>
              <w:pStyle w:val="22"/>
              <w:bidi w:val="0"/>
              <w:jc w:val="center"/>
              <w:rPr>
                <w:color w:val="auto"/>
              </w:rPr>
            </w:pPr>
            <w:r>
              <w:rPr>
                <w:color w:val="auto"/>
              </w:rPr>
              <w:t>55</w:t>
            </w:r>
          </w:p>
        </w:tc>
        <w:tc>
          <w:tcPr>
            <w:tcW w:w="1720" w:type="dxa"/>
            <w:tcBorders>
              <w:tl2br w:val="nil"/>
              <w:tr2bl w:val="nil"/>
            </w:tcBorders>
            <w:vAlign w:val="center"/>
          </w:tcPr>
          <w:p>
            <w:pPr>
              <w:pStyle w:val="22"/>
              <w:bidi w:val="0"/>
              <w:jc w:val="center"/>
              <w:rPr>
                <w:color w:val="auto"/>
              </w:rPr>
            </w:pPr>
            <w:r>
              <w:rPr>
                <w:color w:val="auto"/>
              </w:rPr>
              <w:t>45</w:t>
            </w:r>
          </w:p>
        </w:tc>
      </w:tr>
    </w:tbl>
    <w:p>
      <w:pPr>
        <w:spacing w:line="44" w:lineRule="exact"/>
        <w:rPr>
          <w:color w:val="auto"/>
        </w:rPr>
      </w:pPr>
    </w:p>
    <w:p>
      <w:pPr>
        <w:pStyle w:val="6"/>
        <w:bidi w:val="0"/>
        <w:outlineLvl w:val="1"/>
        <w:rPr>
          <w:rFonts w:hint="default"/>
          <w:color w:val="auto"/>
          <w:lang w:val="en-US" w:eastAsia="zh-CN"/>
        </w:rPr>
      </w:pPr>
      <w:bookmarkStart w:id="21" w:name="_Toc16987"/>
      <w:r>
        <w:rPr>
          <w:rFonts w:hint="eastAsia"/>
          <w:color w:val="auto"/>
          <w:lang w:val="en-US" w:eastAsia="zh-CN"/>
        </w:rPr>
        <w:t>2.5.2污染物排放标准</w:t>
      </w:r>
      <w:bookmarkEnd w:id="21"/>
    </w:p>
    <w:p>
      <w:pPr>
        <w:bidi w:val="0"/>
        <w:rPr>
          <w:color w:val="auto"/>
        </w:rPr>
      </w:pPr>
      <w:r>
        <w:rPr>
          <w:color w:val="auto"/>
        </w:rPr>
        <w:t>（1）大气污染物排放标准</w:t>
      </w:r>
    </w:p>
    <w:p>
      <w:pPr>
        <w:bidi w:val="0"/>
        <w:rPr>
          <w:color w:val="auto"/>
        </w:rPr>
      </w:pPr>
      <w:r>
        <w:rPr>
          <w:color w:val="auto"/>
        </w:rPr>
        <w:t>①污水处理站污染排放标准</w:t>
      </w:r>
    </w:p>
    <w:p>
      <w:pPr>
        <w:bidi w:val="0"/>
        <w:rPr>
          <w:color w:val="auto"/>
        </w:rPr>
      </w:pPr>
      <w:r>
        <w:rPr>
          <w:color w:val="auto"/>
        </w:rPr>
        <w:t>本次项目新建实验室废水污水处理站，主要负责集中处理疾控中心的实验废水等，污水处理站周边空气污染物执行《医疗机构水污染物排放标准》（GB18466-2005）中表3的排放标准限值，详见下表。</w:t>
      </w:r>
    </w:p>
    <w:p>
      <w:pPr>
        <w:bidi w:val="0"/>
        <w:jc w:val="center"/>
        <w:rPr>
          <w:b/>
          <w:bCs/>
          <w:color w:val="auto"/>
          <w:sz w:val="21"/>
          <w:szCs w:val="21"/>
        </w:rPr>
      </w:pPr>
      <w:r>
        <w:rPr>
          <w:b/>
          <w:bCs/>
          <w:color w:val="auto"/>
          <w:sz w:val="21"/>
          <w:szCs w:val="21"/>
        </w:rPr>
        <w:t>表2.</w:t>
      </w:r>
      <w:r>
        <w:rPr>
          <w:rFonts w:hint="eastAsia"/>
          <w:b/>
          <w:bCs/>
          <w:color w:val="auto"/>
          <w:sz w:val="21"/>
          <w:szCs w:val="21"/>
          <w:lang w:val="en-US" w:eastAsia="zh-CN"/>
        </w:rPr>
        <w:t>5</w:t>
      </w:r>
      <w:r>
        <w:rPr>
          <w:b/>
          <w:bCs/>
          <w:color w:val="auto"/>
          <w:sz w:val="21"/>
          <w:szCs w:val="21"/>
        </w:rPr>
        <w:t>-</w:t>
      </w:r>
      <w:r>
        <w:rPr>
          <w:rFonts w:hint="eastAsia"/>
          <w:b/>
          <w:bCs/>
          <w:color w:val="auto"/>
          <w:sz w:val="21"/>
          <w:szCs w:val="21"/>
          <w:lang w:val="en-US" w:eastAsia="zh-CN"/>
        </w:rPr>
        <w:t>4</w:t>
      </w:r>
      <w:r>
        <w:rPr>
          <w:b/>
          <w:bCs/>
          <w:color w:val="auto"/>
          <w:sz w:val="21"/>
          <w:szCs w:val="21"/>
        </w:rPr>
        <w:t>疾控中心污水处理站周边大气污染物最高允许浓度</w:t>
      </w:r>
    </w:p>
    <w:tbl>
      <w:tblPr>
        <w:tblStyle w:val="23"/>
        <w:tblW w:w="8305"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0"/>
        <w:gridCol w:w="4730"/>
        <w:gridCol w:w="26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900" w:type="dxa"/>
            <w:tcBorders>
              <w:tl2br w:val="nil"/>
              <w:tr2bl w:val="nil"/>
            </w:tcBorders>
            <w:vAlign w:val="center"/>
          </w:tcPr>
          <w:p>
            <w:pPr>
              <w:bidi w:val="0"/>
              <w:ind w:left="0" w:leftChars="0" w:firstLine="0" w:firstLineChars="0"/>
              <w:jc w:val="center"/>
              <w:rPr>
                <w:b/>
                <w:bCs/>
                <w:color w:val="auto"/>
                <w:sz w:val="21"/>
                <w:szCs w:val="21"/>
              </w:rPr>
            </w:pPr>
            <w:r>
              <w:rPr>
                <w:b/>
                <w:bCs/>
                <w:color w:val="auto"/>
                <w:sz w:val="21"/>
                <w:szCs w:val="21"/>
              </w:rPr>
              <w:t>序号</w:t>
            </w:r>
          </w:p>
        </w:tc>
        <w:tc>
          <w:tcPr>
            <w:tcW w:w="4730" w:type="dxa"/>
            <w:tcBorders>
              <w:tl2br w:val="nil"/>
              <w:tr2bl w:val="nil"/>
            </w:tcBorders>
            <w:vAlign w:val="center"/>
          </w:tcPr>
          <w:p>
            <w:pPr>
              <w:bidi w:val="0"/>
              <w:ind w:left="0" w:leftChars="0" w:firstLine="0" w:firstLineChars="0"/>
              <w:jc w:val="center"/>
              <w:rPr>
                <w:b/>
                <w:bCs/>
                <w:color w:val="auto"/>
                <w:sz w:val="21"/>
                <w:szCs w:val="21"/>
              </w:rPr>
            </w:pPr>
            <w:r>
              <w:rPr>
                <w:b/>
                <w:bCs/>
                <w:color w:val="auto"/>
                <w:sz w:val="21"/>
                <w:szCs w:val="21"/>
              </w:rPr>
              <w:t>控制项目</w:t>
            </w:r>
          </w:p>
        </w:tc>
        <w:tc>
          <w:tcPr>
            <w:tcW w:w="2675" w:type="dxa"/>
            <w:tcBorders>
              <w:tl2br w:val="nil"/>
              <w:tr2bl w:val="nil"/>
            </w:tcBorders>
            <w:vAlign w:val="center"/>
          </w:tcPr>
          <w:p>
            <w:pPr>
              <w:bidi w:val="0"/>
              <w:ind w:left="0" w:leftChars="0" w:firstLine="0" w:firstLineChars="0"/>
              <w:jc w:val="center"/>
              <w:rPr>
                <w:b/>
                <w:bCs/>
                <w:color w:val="auto"/>
                <w:sz w:val="21"/>
                <w:szCs w:val="21"/>
              </w:rPr>
            </w:pPr>
            <w:r>
              <w:rPr>
                <w:b/>
                <w:bCs/>
                <w:color w:val="auto"/>
                <w:sz w:val="21"/>
                <w:szCs w:val="21"/>
              </w:rPr>
              <w:t>排放值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900" w:type="dxa"/>
            <w:tcBorders>
              <w:tl2br w:val="nil"/>
              <w:tr2bl w:val="nil"/>
            </w:tcBorders>
            <w:vAlign w:val="center"/>
          </w:tcPr>
          <w:p>
            <w:pPr>
              <w:bidi w:val="0"/>
              <w:jc w:val="both"/>
              <w:rPr>
                <w:color w:val="auto"/>
                <w:sz w:val="21"/>
                <w:szCs w:val="21"/>
              </w:rPr>
            </w:pPr>
            <w:r>
              <w:rPr>
                <w:color w:val="auto"/>
                <w:sz w:val="21"/>
                <w:szCs w:val="21"/>
              </w:rPr>
              <w:t>1</w:t>
            </w:r>
          </w:p>
        </w:tc>
        <w:tc>
          <w:tcPr>
            <w:tcW w:w="4730" w:type="dxa"/>
            <w:tcBorders>
              <w:tl2br w:val="nil"/>
              <w:tr2bl w:val="nil"/>
            </w:tcBorders>
            <w:vAlign w:val="center"/>
          </w:tcPr>
          <w:p>
            <w:pPr>
              <w:bidi w:val="0"/>
              <w:ind w:left="0" w:leftChars="0" w:firstLine="0" w:firstLineChars="0"/>
              <w:jc w:val="center"/>
              <w:rPr>
                <w:color w:val="auto"/>
                <w:sz w:val="21"/>
                <w:szCs w:val="21"/>
              </w:rPr>
            </w:pPr>
            <w:r>
              <w:rPr>
                <w:color w:val="auto"/>
                <w:sz w:val="21"/>
                <w:szCs w:val="21"/>
              </w:rPr>
              <w:t>氨（mg/m</w:t>
            </w:r>
            <w:r>
              <w:rPr>
                <w:color w:val="auto"/>
                <w:sz w:val="21"/>
                <w:szCs w:val="21"/>
                <w:vertAlign w:val="superscript"/>
              </w:rPr>
              <w:t>3</w:t>
            </w:r>
            <w:r>
              <w:rPr>
                <w:color w:val="auto"/>
                <w:sz w:val="21"/>
                <w:szCs w:val="21"/>
              </w:rPr>
              <w:t>）</w:t>
            </w:r>
          </w:p>
        </w:tc>
        <w:tc>
          <w:tcPr>
            <w:tcW w:w="2675" w:type="dxa"/>
            <w:tcBorders>
              <w:tl2br w:val="nil"/>
              <w:tr2bl w:val="nil"/>
            </w:tcBorders>
            <w:vAlign w:val="center"/>
          </w:tcPr>
          <w:p>
            <w:pPr>
              <w:bidi w:val="0"/>
              <w:ind w:left="0" w:leftChars="0" w:firstLine="0" w:firstLineChars="0"/>
              <w:jc w:val="center"/>
              <w:rPr>
                <w:color w:val="auto"/>
                <w:sz w:val="21"/>
                <w:szCs w:val="21"/>
              </w:rPr>
            </w:pPr>
            <w:r>
              <w:rPr>
                <w:color w:val="auto"/>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900" w:type="dxa"/>
            <w:tcBorders>
              <w:tl2br w:val="nil"/>
              <w:tr2bl w:val="nil"/>
            </w:tcBorders>
            <w:vAlign w:val="center"/>
          </w:tcPr>
          <w:p>
            <w:pPr>
              <w:bidi w:val="0"/>
              <w:ind w:left="0" w:leftChars="0" w:firstLine="0" w:firstLineChars="0"/>
              <w:jc w:val="center"/>
              <w:rPr>
                <w:color w:val="auto"/>
                <w:sz w:val="21"/>
                <w:szCs w:val="21"/>
              </w:rPr>
            </w:pPr>
            <w:r>
              <w:rPr>
                <w:color w:val="auto"/>
                <w:sz w:val="21"/>
                <w:szCs w:val="21"/>
              </w:rPr>
              <w:t>2</w:t>
            </w:r>
          </w:p>
        </w:tc>
        <w:tc>
          <w:tcPr>
            <w:tcW w:w="4730" w:type="dxa"/>
            <w:tcBorders>
              <w:tl2br w:val="nil"/>
              <w:tr2bl w:val="nil"/>
            </w:tcBorders>
            <w:vAlign w:val="center"/>
          </w:tcPr>
          <w:p>
            <w:pPr>
              <w:bidi w:val="0"/>
              <w:ind w:left="0" w:leftChars="0" w:firstLine="0" w:firstLineChars="0"/>
              <w:jc w:val="center"/>
              <w:rPr>
                <w:color w:val="auto"/>
                <w:sz w:val="21"/>
                <w:szCs w:val="21"/>
              </w:rPr>
            </w:pPr>
            <w:r>
              <w:rPr>
                <w:color w:val="auto"/>
                <w:sz w:val="21"/>
                <w:szCs w:val="21"/>
              </w:rPr>
              <w:t>硫化氢（mg/m</w:t>
            </w:r>
            <w:r>
              <w:rPr>
                <w:color w:val="auto"/>
                <w:sz w:val="21"/>
                <w:szCs w:val="21"/>
                <w:vertAlign w:val="superscript"/>
              </w:rPr>
              <w:t>3</w:t>
            </w:r>
            <w:r>
              <w:rPr>
                <w:color w:val="auto"/>
                <w:sz w:val="21"/>
                <w:szCs w:val="21"/>
              </w:rPr>
              <w:t>）</w:t>
            </w:r>
          </w:p>
        </w:tc>
        <w:tc>
          <w:tcPr>
            <w:tcW w:w="2675" w:type="dxa"/>
            <w:tcBorders>
              <w:tl2br w:val="nil"/>
              <w:tr2bl w:val="nil"/>
            </w:tcBorders>
            <w:vAlign w:val="center"/>
          </w:tcPr>
          <w:p>
            <w:pPr>
              <w:bidi w:val="0"/>
              <w:ind w:left="0" w:leftChars="0" w:firstLine="0" w:firstLineChars="0"/>
              <w:jc w:val="center"/>
              <w:rPr>
                <w:color w:val="auto"/>
                <w:sz w:val="21"/>
                <w:szCs w:val="21"/>
              </w:rPr>
            </w:pPr>
            <w:r>
              <w:rPr>
                <w:color w:val="auto"/>
                <w:sz w:val="21"/>
                <w:szCs w:val="21"/>
              </w:rPr>
              <w:t>0.03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900" w:type="dxa"/>
            <w:tcBorders>
              <w:tl2br w:val="nil"/>
              <w:tr2bl w:val="nil"/>
            </w:tcBorders>
            <w:vAlign w:val="center"/>
          </w:tcPr>
          <w:p>
            <w:pPr>
              <w:bidi w:val="0"/>
              <w:ind w:left="0" w:leftChars="0" w:firstLine="0" w:firstLineChars="0"/>
              <w:jc w:val="center"/>
              <w:rPr>
                <w:color w:val="auto"/>
                <w:sz w:val="21"/>
                <w:szCs w:val="21"/>
              </w:rPr>
            </w:pPr>
            <w:r>
              <w:rPr>
                <w:color w:val="auto"/>
                <w:sz w:val="21"/>
                <w:szCs w:val="21"/>
              </w:rPr>
              <w:t>3</w:t>
            </w:r>
          </w:p>
        </w:tc>
        <w:tc>
          <w:tcPr>
            <w:tcW w:w="4730" w:type="dxa"/>
            <w:tcBorders>
              <w:tl2br w:val="nil"/>
              <w:tr2bl w:val="nil"/>
            </w:tcBorders>
            <w:vAlign w:val="center"/>
          </w:tcPr>
          <w:p>
            <w:pPr>
              <w:bidi w:val="0"/>
              <w:ind w:left="0" w:leftChars="0" w:firstLine="0" w:firstLineChars="0"/>
              <w:jc w:val="center"/>
              <w:rPr>
                <w:color w:val="auto"/>
                <w:sz w:val="21"/>
                <w:szCs w:val="21"/>
              </w:rPr>
            </w:pPr>
            <w:r>
              <w:rPr>
                <w:color w:val="auto"/>
                <w:sz w:val="21"/>
                <w:szCs w:val="21"/>
              </w:rPr>
              <w:t>臭气浓度（无量纲）</w:t>
            </w:r>
          </w:p>
        </w:tc>
        <w:tc>
          <w:tcPr>
            <w:tcW w:w="2675" w:type="dxa"/>
            <w:tcBorders>
              <w:tl2br w:val="nil"/>
              <w:tr2bl w:val="nil"/>
            </w:tcBorders>
            <w:vAlign w:val="center"/>
          </w:tcPr>
          <w:p>
            <w:pPr>
              <w:bidi w:val="0"/>
              <w:ind w:left="0" w:leftChars="0" w:firstLine="0" w:firstLineChars="0"/>
              <w:jc w:val="center"/>
              <w:rPr>
                <w:color w:val="auto"/>
                <w:sz w:val="21"/>
                <w:szCs w:val="21"/>
              </w:rPr>
            </w:pPr>
            <w:r>
              <w:rPr>
                <w:color w:val="auto"/>
                <w:sz w:val="21"/>
                <w:szCs w:val="21"/>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900" w:type="dxa"/>
            <w:tcBorders>
              <w:tl2br w:val="nil"/>
              <w:tr2bl w:val="nil"/>
            </w:tcBorders>
            <w:vAlign w:val="center"/>
          </w:tcPr>
          <w:p>
            <w:pPr>
              <w:bidi w:val="0"/>
              <w:ind w:left="0" w:leftChars="0" w:firstLine="0" w:firstLineChars="0"/>
              <w:jc w:val="center"/>
              <w:rPr>
                <w:rFonts w:hint="eastAsia" w:eastAsia="宋体"/>
                <w:color w:val="auto"/>
                <w:sz w:val="21"/>
                <w:szCs w:val="21"/>
                <w:lang w:val="en-US" w:eastAsia="zh-CN"/>
              </w:rPr>
            </w:pPr>
            <w:r>
              <w:rPr>
                <w:rFonts w:hint="eastAsia"/>
                <w:color w:val="auto"/>
                <w:sz w:val="21"/>
                <w:szCs w:val="21"/>
                <w:lang w:val="en-US" w:eastAsia="zh-CN"/>
              </w:rPr>
              <w:t>4</w:t>
            </w:r>
          </w:p>
        </w:tc>
        <w:tc>
          <w:tcPr>
            <w:tcW w:w="4730" w:type="dxa"/>
            <w:tcBorders>
              <w:tl2br w:val="nil"/>
              <w:tr2bl w:val="nil"/>
            </w:tcBorders>
            <w:vAlign w:val="center"/>
          </w:tcPr>
          <w:p>
            <w:pPr>
              <w:bidi w:val="0"/>
              <w:ind w:left="0" w:leftChars="0" w:firstLine="0" w:firstLineChars="0"/>
              <w:jc w:val="center"/>
              <w:rPr>
                <w:color w:val="auto"/>
                <w:sz w:val="21"/>
                <w:szCs w:val="21"/>
              </w:rPr>
            </w:pPr>
            <w:r>
              <w:rPr>
                <w:rFonts w:hint="eastAsia"/>
                <w:color w:val="auto"/>
                <w:sz w:val="21"/>
                <w:szCs w:val="21"/>
                <w:lang w:val="en-US" w:eastAsia="zh-CN"/>
              </w:rPr>
              <w:t>氯气</w:t>
            </w:r>
            <w:r>
              <w:rPr>
                <w:color w:val="auto"/>
                <w:sz w:val="21"/>
                <w:szCs w:val="21"/>
                <w:lang w:val="en-US" w:eastAsia="zh-CN"/>
              </w:rPr>
              <w:t>/</w:t>
            </w:r>
            <w:r>
              <w:rPr>
                <w:rFonts w:hint="eastAsia"/>
                <w:color w:val="auto"/>
                <w:sz w:val="21"/>
                <w:szCs w:val="21"/>
                <w:lang w:val="en-US" w:eastAsia="zh-CN"/>
              </w:rPr>
              <w:t>（</w:t>
            </w:r>
            <w:r>
              <w:rPr>
                <w:rFonts w:hint="default"/>
                <w:color w:val="auto"/>
                <w:sz w:val="21"/>
                <w:szCs w:val="21"/>
                <w:lang w:val="en-US" w:eastAsia="zh-CN"/>
              </w:rPr>
              <w:t>mg/m</w:t>
            </w:r>
            <w:r>
              <w:rPr>
                <w:rFonts w:hint="default"/>
                <w:color w:val="auto"/>
                <w:sz w:val="21"/>
                <w:szCs w:val="21"/>
                <w:vertAlign w:val="superscript"/>
                <w:lang w:val="en-US" w:eastAsia="zh-CN"/>
              </w:rPr>
              <w:t>3</w:t>
            </w:r>
            <w:r>
              <w:rPr>
                <w:rFonts w:hint="eastAsia"/>
                <w:color w:val="auto"/>
                <w:sz w:val="21"/>
                <w:szCs w:val="21"/>
                <w:lang w:val="en-US" w:eastAsia="zh-CN"/>
              </w:rPr>
              <w:t>）</w:t>
            </w:r>
          </w:p>
        </w:tc>
        <w:tc>
          <w:tcPr>
            <w:tcW w:w="2675" w:type="dxa"/>
            <w:tcBorders>
              <w:tl2br w:val="nil"/>
              <w:tr2bl w:val="nil"/>
            </w:tcBorders>
            <w:vAlign w:val="center"/>
          </w:tcPr>
          <w:p>
            <w:pPr>
              <w:keepNext w:val="0"/>
              <w:keepLines w:val="0"/>
              <w:widowControl/>
              <w:suppressLineNumbers w:val="0"/>
              <w:ind w:left="0" w:leftChars="0" w:firstLine="0" w:firstLineChars="0"/>
              <w:jc w:val="center"/>
              <w:rPr>
                <w:color w:val="auto"/>
                <w:sz w:val="21"/>
                <w:szCs w:val="21"/>
              </w:rPr>
            </w:pPr>
            <w:r>
              <w:rPr>
                <w:rFonts w:hint="default" w:ascii="Times New Roman" w:hAnsi="Times New Roman" w:eastAsia="宋体" w:cs="Times New Roman"/>
                <w:color w:val="auto"/>
                <w:kern w:val="0"/>
                <w:sz w:val="21"/>
                <w:szCs w:val="21"/>
                <w:lang w:val="en-US" w:eastAsia="zh-CN" w:bidi="ar"/>
              </w:rPr>
              <w:t>0.1</w:t>
            </w:r>
          </w:p>
        </w:tc>
      </w:tr>
    </w:tbl>
    <w:p>
      <w:pPr>
        <w:bidi w:val="0"/>
        <w:rPr>
          <w:color w:val="auto"/>
        </w:rPr>
      </w:pPr>
      <w:r>
        <w:rPr>
          <w:color w:val="auto"/>
        </w:rPr>
        <w:t>②实验室废气污染排放标准</w:t>
      </w:r>
    </w:p>
    <w:p>
      <w:pPr>
        <w:bidi w:val="0"/>
        <w:rPr>
          <w:color w:val="auto"/>
        </w:rPr>
      </w:pPr>
      <w:r>
        <w:rPr>
          <w:color w:val="auto"/>
        </w:rPr>
        <w:t>实验室分析检测过程中需使用酸碱及有机试剂，实验过程产生的废气通过集气罩收集，通过专用电控风道外排，末端有活性炭吸附装置。实验室废气经收集后通过楼顶</w:t>
      </w:r>
      <w:r>
        <w:rPr>
          <w:rFonts w:hint="eastAsia"/>
          <w:color w:val="auto"/>
          <w:lang w:eastAsia="zh-CN"/>
        </w:rPr>
        <w:t>排放</w:t>
      </w:r>
      <w:r>
        <w:rPr>
          <w:color w:val="auto"/>
        </w:rPr>
        <w:t>。其废气主要是酸雾和各种有机溶剂等常见污染物。其污染物执行《大气污染物综合排放标准》中排放标准。</w:t>
      </w:r>
    </w:p>
    <w:p>
      <w:pPr>
        <w:bidi w:val="0"/>
        <w:rPr>
          <w:color w:val="auto"/>
        </w:rPr>
      </w:pPr>
      <w:r>
        <w:rPr>
          <w:color w:val="auto"/>
        </w:rPr>
        <w:t>（2）水污染物排放标准</w:t>
      </w:r>
    </w:p>
    <w:p>
      <w:pPr>
        <w:bidi w:val="0"/>
        <w:rPr>
          <w:rFonts w:hint="default"/>
          <w:color w:val="auto"/>
          <w:lang w:val="en-US" w:eastAsia="zh-CN"/>
        </w:rPr>
      </w:pPr>
      <w:r>
        <w:rPr>
          <w:rFonts w:hint="eastAsia" w:ascii="Times New Roman" w:eastAsia="宋体"/>
          <w:color w:val="auto"/>
          <w:lang w:val="en-US" w:eastAsia="zh-CN"/>
        </w:rPr>
        <w:t>1、实验室废水</w:t>
      </w:r>
    </w:p>
    <w:p>
      <w:pPr>
        <w:bidi w:val="0"/>
        <w:rPr>
          <w:rFonts w:hint="default"/>
          <w:color w:val="auto"/>
          <w:lang w:val="en-US" w:eastAsia="zh-CN"/>
        </w:rPr>
      </w:pPr>
      <w:r>
        <w:rPr>
          <w:color w:val="auto"/>
        </w:rPr>
        <w:t>本项目运营期实验废水经疾控中心污水处理站进行处理达标后排入市政污水管网，最终进入</w:t>
      </w:r>
      <w:r>
        <w:rPr>
          <w:rFonts w:hint="eastAsia"/>
          <w:color w:val="auto"/>
          <w:lang w:val="en-US" w:eastAsia="zh-CN"/>
        </w:rPr>
        <w:t>皮山农场</w:t>
      </w:r>
      <w:r>
        <w:rPr>
          <w:color w:val="auto"/>
        </w:rPr>
        <w:t>污水处理厂进一步处理，项目废水经处理后，执行《</w:t>
      </w:r>
      <w:r>
        <w:rPr>
          <w:rFonts w:hint="eastAsia" w:eastAsia="宋体"/>
          <w:color w:val="auto"/>
          <w:lang w:eastAsia="zh-CN"/>
        </w:rPr>
        <w:t>医疗机构水污染物排放标准</w:t>
      </w:r>
      <w:r>
        <w:rPr>
          <w:color w:val="auto"/>
        </w:rPr>
        <w:t>》（GB18466-2005）中表</w:t>
      </w:r>
      <w:r>
        <w:rPr>
          <w:rFonts w:hint="default"/>
          <w:color w:val="auto"/>
          <w:lang w:val="en-US" w:eastAsia="zh-CN"/>
        </w:rPr>
        <w:t>2</w:t>
      </w:r>
      <w:r>
        <w:rPr>
          <w:rFonts w:hint="eastAsia" w:ascii="Times New Roman" w:eastAsia="宋体"/>
          <w:color w:val="auto"/>
          <w:lang w:val="en-US" w:eastAsia="zh-CN"/>
        </w:rPr>
        <w:t>的“综合医疗机构和其他医疗机构水污染物排放限值”的</w:t>
      </w:r>
      <w:r>
        <w:rPr>
          <w:color w:val="auto"/>
        </w:rPr>
        <w:t>预处理标准。见表</w:t>
      </w:r>
      <w:r>
        <w:rPr>
          <w:rFonts w:hint="eastAsia" w:ascii="Times New Roman" w:eastAsia="宋体"/>
          <w:color w:val="auto"/>
          <w:lang w:val="en-US" w:eastAsia="zh-CN"/>
        </w:rPr>
        <w:t>2.5-</w:t>
      </w:r>
      <w:r>
        <w:rPr>
          <w:rFonts w:hint="eastAsia"/>
          <w:color w:val="auto"/>
          <w:lang w:val="en-US" w:eastAsia="zh-CN"/>
        </w:rPr>
        <w:t>5</w:t>
      </w:r>
    </w:p>
    <w:p>
      <w:pPr>
        <w:pStyle w:val="22"/>
        <w:bidi w:val="0"/>
        <w:rPr>
          <w:rFonts w:hint="default" w:eastAsia="宋体"/>
          <w:b/>
          <w:bCs/>
          <w:color w:val="auto"/>
          <w:highlight w:val="none"/>
          <w:lang w:val="en-US" w:eastAsia="zh-CN"/>
        </w:rPr>
      </w:pPr>
      <w:r>
        <w:rPr>
          <w:b/>
          <w:bCs/>
          <w:color w:val="auto"/>
          <w:highlight w:val="none"/>
        </w:rPr>
        <w:t>表2.</w:t>
      </w:r>
      <w:r>
        <w:rPr>
          <w:rFonts w:hint="eastAsia"/>
          <w:b/>
          <w:bCs/>
          <w:color w:val="auto"/>
          <w:highlight w:val="none"/>
          <w:lang w:val="en-US" w:eastAsia="zh-CN"/>
        </w:rPr>
        <w:t>5</w:t>
      </w:r>
      <w:r>
        <w:rPr>
          <w:b/>
          <w:bCs/>
          <w:color w:val="auto"/>
          <w:highlight w:val="none"/>
        </w:rPr>
        <w:t>-</w:t>
      </w:r>
      <w:r>
        <w:rPr>
          <w:rFonts w:hint="eastAsia"/>
          <w:b/>
          <w:bCs/>
          <w:color w:val="auto"/>
          <w:highlight w:val="none"/>
          <w:lang w:val="en-US" w:eastAsia="zh-CN"/>
        </w:rPr>
        <w:t>5</w:t>
      </w:r>
      <w:r>
        <w:rPr>
          <w:b/>
          <w:bCs/>
          <w:color w:val="auto"/>
          <w:highlight w:val="none"/>
        </w:rPr>
        <w:t>综合医疗机构和其他医疗机构水污染物排放限值（日均值）</w:t>
      </w:r>
    </w:p>
    <w:tbl>
      <w:tblPr>
        <w:tblStyle w:val="23"/>
        <w:tblW w:w="841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33"/>
        <w:gridCol w:w="4601"/>
        <w:gridCol w:w="238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jc w:val="center"/>
        </w:trPr>
        <w:tc>
          <w:tcPr>
            <w:tcW w:w="1433" w:type="dxa"/>
            <w:tcBorders>
              <w:tl2br w:val="nil"/>
              <w:tr2bl w:val="nil"/>
            </w:tcBorders>
            <w:vAlign w:val="center"/>
          </w:tcPr>
          <w:p>
            <w:pPr>
              <w:pStyle w:val="22"/>
              <w:bidi w:val="0"/>
              <w:jc w:val="center"/>
              <w:rPr>
                <w:b/>
                <w:bCs/>
                <w:color w:val="auto"/>
                <w:highlight w:val="none"/>
              </w:rPr>
            </w:pPr>
            <w:r>
              <w:rPr>
                <w:b/>
                <w:bCs/>
                <w:color w:val="auto"/>
                <w:highlight w:val="none"/>
              </w:rPr>
              <w:t>序号</w:t>
            </w:r>
          </w:p>
        </w:tc>
        <w:tc>
          <w:tcPr>
            <w:tcW w:w="4601" w:type="dxa"/>
            <w:tcBorders>
              <w:tl2br w:val="nil"/>
              <w:tr2bl w:val="nil"/>
            </w:tcBorders>
            <w:vAlign w:val="center"/>
          </w:tcPr>
          <w:p>
            <w:pPr>
              <w:pStyle w:val="22"/>
              <w:bidi w:val="0"/>
              <w:jc w:val="center"/>
              <w:rPr>
                <w:b/>
                <w:bCs/>
                <w:color w:val="auto"/>
                <w:highlight w:val="none"/>
              </w:rPr>
            </w:pPr>
            <w:r>
              <w:rPr>
                <w:b/>
                <w:bCs/>
                <w:color w:val="auto"/>
                <w:highlight w:val="none"/>
              </w:rPr>
              <w:t>控制项目</w:t>
            </w:r>
          </w:p>
        </w:tc>
        <w:tc>
          <w:tcPr>
            <w:tcW w:w="2385" w:type="dxa"/>
            <w:tcBorders>
              <w:tl2br w:val="nil"/>
              <w:tr2bl w:val="nil"/>
            </w:tcBorders>
            <w:vAlign w:val="center"/>
          </w:tcPr>
          <w:p>
            <w:pPr>
              <w:pStyle w:val="22"/>
              <w:bidi w:val="0"/>
              <w:jc w:val="center"/>
              <w:rPr>
                <w:b/>
                <w:bCs/>
                <w:color w:val="auto"/>
                <w:highlight w:val="none"/>
              </w:rPr>
            </w:pPr>
            <w:r>
              <w:rPr>
                <w:b/>
                <w:bCs/>
                <w:color w:val="auto"/>
                <w:highlight w:val="none"/>
              </w:rPr>
              <w:t>预处理标准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1433" w:type="dxa"/>
            <w:tcBorders>
              <w:tl2br w:val="nil"/>
              <w:tr2bl w:val="nil"/>
            </w:tcBorders>
            <w:vAlign w:val="center"/>
          </w:tcPr>
          <w:p>
            <w:pPr>
              <w:pStyle w:val="22"/>
              <w:bidi w:val="0"/>
              <w:jc w:val="center"/>
              <w:rPr>
                <w:color w:val="auto"/>
                <w:highlight w:val="none"/>
              </w:rPr>
            </w:pPr>
            <w:r>
              <w:rPr>
                <w:color w:val="auto"/>
                <w:highlight w:val="none"/>
              </w:rPr>
              <w:t>1</w:t>
            </w:r>
          </w:p>
        </w:tc>
        <w:tc>
          <w:tcPr>
            <w:tcW w:w="4601" w:type="dxa"/>
            <w:tcBorders>
              <w:tl2br w:val="nil"/>
              <w:tr2bl w:val="nil"/>
            </w:tcBorders>
            <w:vAlign w:val="center"/>
          </w:tcPr>
          <w:p>
            <w:pPr>
              <w:pStyle w:val="22"/>
              <w:bidi w:val="0"/>
              <w:jc w:val="center"/>
              <w:rPr>
                <w:color w:val="auto"/>
                <w:highlight w:val="none"/>
              </w:rPr>
            </w:pPr>
            <w:r>
              <w:rPr>
                <w:color w:val="auto"/>
                <w:highlight w:val="none"/>
              </w:rPr>
              <w:t>粪大肠菌群数（MPN/L）</w:t>
            </w:r>
          </w:p>
        </w:tc>
        <w:tc>
          <w:tcPr>
            <w:tcW w:w="2385" w:type="dxa"/>
            <w:tcBorders>
              <w:tl2br w:val="nil"/>
              <w:tr2bl w:val="nil"/>
            </w:tcBorders>
            <w:vAlign w:val="center"/>
          </w:tcPr>
          <w:p>
            <w:pPr>
              <w:pStyle w:val="22"/>
              <w:bidi w:val="0"/>
              <w:jc w:val="center"/>
              <w:rPr>
                <w:color w:val="auto"/>
                <w:highlight w:val="none"/>
              </w:rPr>
            </w:pPr>
            <w:r>
              <w:rPr>
                <w:color w:val="auto"/>
                <w:highlight w:val="none"/>
              </w:rPr>
              <w:t>5000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jc w:val="center"/>
        </w:trPr>
        <w:tc>
          <w:tcPr>
            <w:tcW w:w="1433" w:type="dxa"/>
            <w:tcBorders>
              <w:tl2br w:val="nil"/>
              <w:tr2bl w:val="nil"/>
            </w:tcBorders>
            <w:vAlign w:val="center"/>
          </w:tcPr>
          <w:p>
            <w:pPr>
              <w:pStyle w:val="22"/>
              <w:bidi w:val="0"/>
              <w:jc w:val="center"/>
              <w:rPr>
                <w:color w:val="auto"/>
                <w:highlight w:val="none"/>
              </w:rPr>
            </w:pPr>
            <w:r>
              <w:rPr>
                <w:color w:val="auto"/>
                <w:highlight w:val="none"/>
              </w:rPr>
              <w:t>2</w:t>
            </w:r>
          </w:p>
        </w:tc>
        <w:tc>
          <w:tcPr>
            <w:tcW w:w="4601" w:type="dxa"/>
            <w:tcBorders>
              <w:tl2br w:val="nil"/>
              <w:tr2bl w:val="nil"/>
            </w:tcBorders>
            <w:vAlign w:val="center"/>
          </w:tcPr>
          <w:p>
            <w:pPr>
              <w:pStyle w:val="22"/>
              <w:bidi w:val="0"/>
              <w:jc w:val="center"/>
              <w:rPr>
                <w:color w:val="auto"/>
                <w:highlight w:val="none"/>
              </w:rPr>
            </w:pPr>
            <w:r>
              <w:rPr>
                <w:color w:val="auto"/>
                <w:highlight w:val="none"/>
              </w:rPr>
              <w:t>肠道致病菌</w:t>
            </w:r>
          </w:p>
        </w:tc>
        <w:tc>
          <w:tcPr>
            <w:tcW w:w="2385" w:type="dxa"/>
            <w:tcBorders>
              <w:tl2br w:val="nil"/>
              <w:tr2bl w:val="nil"/>
            </w:tcBorders>
            <w:vAlign w:val="center"/>
          </w:tcPr>
          <w:p>
            <w:pPr>
              <w:pStyle w:val="22"/>
              <w:bidi w:val="0"/>
              <w:jc w:val="center"/>
              <w:rPr>
                <w:color w:val="auto"/>
                <w:highlight w:val="none"/>
              </w:rPr>
            </w:pPr>
            <w:r>
              <w:rPr>
                <w:color w:val="auto"/>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 w:hRule="atLeast"/>
          <w:jc w:val="center"/>
        </w:trPr>
        <w:tc>
          <w:tcPr>
            <w:tcW w:w="1433" w:type="dxa"/>
            <w:tcBorders>
              <w:tl2br w:val="nil"/>
              <w:tr2bl w:val="nil"/>
            </w:tcBorders>
            <w:vAlign w:val="center"/>
          </w:tcPr>
          <w:p>
            <w:pPr>
              <w:pStyle w:val="22"/>
              <w:bidi w:val="0"/>
              <w:jc w:val="center"/>
              <w:rPr>
                <w:color w:val="auto"/>
                <w:highlight w:val="none"/>
              </w:rPr>
            </w:pPr>
            <w:r>
              <w:rPr>
                <w:color w:val="auto"/>
                <w:highlight w:val="none"/>
              </w:rPr>
              <w:t>3</w:t>
            </w:r>
          </w:p>
        </w:tc>
        <w:tc>
          <w:tcPr>
            <w:tcW w:w="4601" w:type="dxa"/>
            <w:tcBorders>
              <w:tl2br w:val="nil"/>
              <w:tr2bl w:val="nil"/>
            </w:tcBorders>
            <w:vAlign w:val="center"/>
          </w:tcPr>
          <w:p>
            <w:pPr>
              <w:pStyle w:val="22"/>
              <w:bidi w:val="0"/>
              <w:jc w:val="center"/>
              <w:rPr>
                <w:color w:val="auto"/>
                <w:highlight w:val="none"/>
              </w:rPr>
            </w:pPr>
            <w:r>
              <w:rPr>
                <w:color w:val="auto"/>
                <w:highlight w:val="none"/>
              </w:rPr>
              <w:t>肠道病毒</w:t>
            </w:r>
          </w:p>
        </w:tc>
        <w:tc>
          <w:tcPr>
            <w:tcW w:w="2385" w:type="dxa"/>
            <w:tcBorders>
              <w:tl2br w:val="nil"/>
              <w:tr2bl w:val="nil"/>
            </w:tcBorders>
            <w:vAlign w:val="center"/>
          </w:tcPr>
          <w:p>
            <w:pPr>
              <w:pStyle w:val="22"/>
              <w:bidi w:val="0"/>
              <w:jc w:val="center"/>
              <w:rPr>
                <w:color w:val="auto"/>
                <w:highlight w:val="none"/>
              </w:rPr>
            </w:pPr>
            <w:r>
              <w:rPr>
                <w:color w:val="auto"/>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3" w:hRule="atLeast"/>
          <w:jc w:val="center"/>
        </w:trPr>
        <w:tc>
          <w:tcPr>
            <w:tcW w:w="1433" w:type="dxa"/>
            <w:tcBorders>
              <w:tl2br w:val="nil"/>
              <w:tr2bl w:val="nil"/>
            </w:tcBorders>
            <w:vAlign w:val="center"/>
          </w:tcPr>
          <w:p>
            <w:pPr>
              <w:pStyle w:val="22"/>
              <w:bidi w:val="0"/>
              <w:jc w:val="center"/>
              <w:rPr>
                <w:color w:val="auto"/>
                <w:highlight w:val="none"/>
              </w:rPr>
            </w:pPr>
            <w:r>
              <w:rPr>
                <w:color w:val="auto"/>
                <w:highlight w:val="none"/>
              </w:rPr>
              <w:t>4</w:t>
            </w:r>
          </w:p>
        </w:tc>
        <w:tc>
          <w:tcPr>
            <w:tcW w:w="4601" w:type="dxa"/>
            <w:tcBorders>
              <w:tl2br w:val="nil"/>
              <w:tr2bl w:val="nil"/>
            </w:tcBorders>
            <w:vAlign w:val="center"/>
          </w:tcPr>
          <w:p>
            <w:pPr>
              <w:pStyle w:val="22"/>
              <w:bidi w:val="0"/>
              <w:jc w:val="center"/>
              <w:rPr>
                <w:color w:val="auto"/>
                <w:highlight w:val="none"/>
              </w:rPr>
            </w:pPr>
            <w:r>
              <w:rPr>
                <w:color w:val="auto"/>
                <w:highlight w:val="none"/>
              </w:rPr>
              <w:t>pH</w:t>
            </w:r>
          </w:p>
        </w:tc>
        <w:tc>
          <w:tcPr>
            <w:tcW w:w="2385" w:type="dxa"/>
            <w:tcBorders>
              <w:tl2br w:val="nil"/>
              <w:tr2bl w:val="nil"/>
            </w:tcBorders>
            <w:vAlign w:val="center"/>
          </w:tcPr>
          <w:p>
            <w:pPr>
              <w:pStyle w:val="22"/>
              <w:bidi w:val="0"/>
              <w:jc w:val="center"/>
              <w:rPr>
                <w:color w:val="auto"/>
                <w:highlight w:val="none"/>
              </w:rPr>
            </w:pPr>
            <w:r>
              <w:rPr>
                <w:color w:val="auto"/>
                <w:highlight w:val="none"/>
              </w:rPr>
              <w:t>6-9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0" w:hRule="atLeast"/>
          <w:jc w:val="center"/>
        </w:trPr>
        <w:tc>
          <w:tcPr>
            <w:tcW w:w="1433" w:type="dxa"/>
            <w:tcBorders>
              <w:tl2br w:val="nil"/>
              <w:tr2bl w:val="nil"/>
            </w:tcBorders>
            <w:vAlign w:val="center"/>
          </w:tcPr>
          <w:p>
            <w:pPr>
              <w:pStyle w:val="22"/>
              <w:bidi w:val="0"/>
              <w:jc w:val="center"/>
              <w:rPr>
                <w:color w:val="auto"/>
                <w:highlight w:val="none"/>
              </w:rPr>
            </w:pPr>
          </w:p>
          <w:p>
            <w:pPr>
              <w:pStyle w:val="22"/>
              <w:bidi w:val="0"/>
              <w:jc w:val="center"/>
              <w:rPr>
                <w:color w:val="auto"/>
                <w:highlight w:val="none"/>
              </w:rPr>
            </w:pPr>
            <w:r>
              <w:rPr>
                <w:color w:val="auto"/>
                <w:highlight w:val="none"/>
              </w:rPr>
              <w:t>5</w:t>
            </w:r>
          </w:p>
        </w:tc>
        <w:tc>
          <w:tcPr>
            <w:tcW w:w="4601" w:type="dxa"/>
            <w:tcBorders>
              <w:tl2br w:val="nil"/>
              <w:tr2bl w:val="nil"/>
            </w:tcBorders>
            <w:vAlign w:val="center"/>
          </w:tcPr>
          <w:p>
            <w:pPr>
              <w:pStyle w:val="22"/>
              <w:bidi w:val="0"/>
              <w:jc w:val="center"/>
              <w:rPr>
                <w:color w:val="auto"/>
                <w:highlight w:val="none"/>
              </w:rPr>
            </w:pPr>
            <w:r>
              <w:rPr>
                <w:color w:val="auto"/>
                <w:highlight w:val="none"/>
              </w:rPr>
              <w:t>化学需氧量（COD）</w:t>
            </w:r>
          </w:p>
          <w:p>
            <w:pPr>
              <w:pStyle w:val="22"/>
              <w:bidi w:val="0"/>
              <w:jc w:val="center"/>
              <w:rPr>
                <w:color w:val="auto"/>
                <w:highlight w:val="none"/>
              </w:rPr>
            </w:pPr>
            <w:r>
              <w:rPr>
                <w:color w:val="auto"/>
                <w:highlight w:val="none"/>
              </w:rPr>
              <w:t>浓度（mg/L）</w:t>
            </w:r>
          </w:p>
          <w:p>
            <w:pPr>
              <w:pStyle w:val="22"/>
              <w:bidi w:val="0"/>
              <w:jc w:val="center"/>
              <w:rPr>
                <w:color w:val="auto"/>
                <w:highlight w:val="none"/>
              </w:rPr>
            </w:pPr>
            <w:r>
              <w:rPr>
                <w:color w:val="auto"/>
                <w:highlight w:val="none"/>
              </w:rPr>
              <w:t>最高允许排放负荷（g/床位）</w:t>
            </w:r>
          </w:p>
        </w:tc>
        <w:tc>
          <w:tcPr>
            <w:tcW w:w="2385" w:type="dxa"/>
            <w:tcBorders>
              <w:tl2br w:val="nil"/>
              <w:tr2bl w:val="nil"/>
            </w:tcBorders>
            <w:vAlign w:val="center"/>
          </w:tcPr>
          <w:p>
            <w:pPr>
              <w:pStyle w:val="22"/>
              <w:bidi w:val="0"/>
              <w:jc w:val="center"/>
              <w:rPr>
                <w:color w:val="auto"/>
                <w:highlight w:val="none"/>
              </w:rPr>
            </w:pPr>
            <w:r>
              <w:rPr>
                <w:color w:val="auto"/>
                <w:highlight w:val="none"/>
              </w:rPr>
              <w:t>250</w:t>
            </w:r>
          </w:p>
          <w:p>
            <w:pPr>
              <w:pStyle w:val="22"/>
              <w:bidi w:val="0"/>
              <w:jc w:val="center"/>
              <w:rPr>
                <w:color w:val="auto"/>
                <w:highlight w:val="none"/>
              </w:rPr>
            </w:pPr>
            <w:r>
              <w:rPr>
                <w:color w:val="auto"/>
                <w:highlight w:val="none"/>
              </w:rPr>
              <w:t>250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jc w:val="center"/>
        </w:trPr>
        <w:tc>
          <w:tcPr>
            <w:tcW w:w="1433" w:type="dxa"/>
            <w:tcBorders>
              <w:tl2br w:val="nil"/>
              <w:tr2bl w:val="nil"/>
            </w:tcBorders>
            <w:vAlign w:val="center"/>
          </w:tcPr>
          <w:p>
            <w:pPr>
              <w:pStyle w:val="22"/>
              <w:bidi w:val="0"/>
              <w:jc w:val="center"/>
              <w:rPr>
                <w:color w:val="auto"/>
                <w:highlight w:val="none"/>
              </w:rPr>
            </w:pPr>
          </w:p>
          <w:p>
            <w:pPr>
              <w:pStyle w:val="22"/>
              <w:bidi w:val="0"/>
              <w:jc w:val="center"/>
              <w:rPr>
                <w:color w:val="auto"/>
                <w:highlight w:val="none"/>
              </w:rPr>
            </w:pPr>
            <w:r>
              <w:rPr>
                <w:color w:val="auto"/>
                <w:highlight w:val="none"/>
              </w:rPr>
              <w:t>6</w:t>
            </w:r>
          </w:p>
        </w:tc>
        <w:tc>
          <w:tcPr>
            <w:tcW w:w="4601" w:type="dxa"/>
            <w:tcBorders>
              <w:tl2br w:val="nil"/>
              <w:tr2bl w:val="nil"/>
            </w:tcBorders>
            <w:vAlign w:val="center"/>
          </w:tcPr>
          <w:p>
            <w:pPr>
              <w:pStyle w:val="22"/>
              <w:bidi w:val="0"/>
              <w:jc w:val="center"/>
              <w:rPr>
                <w:color w:val="auto"/>
                <w:highlight w:val="none"/>
              </w:rPr>
            </w:pPr>
            <w:r>
              <w:rPr>
                <w:color w:val="auto"/>
                <w:highlight w:val="none"/>
              </w:rPr>
              <w:t>生化需氧量（BOD）</w:t>
            </w:r>
          </w:p>
          <w:p>
            <w:pPr>
              <w:pStyle w:val="22"/>
              <w:bidi w:val="0"/>
              <w:jc w:val="center"/>
              <w:rPr>
                <w:color w:val="auto"/>
                <w:highlight w:val="none"/>
              </w:rPr>
            </w:pPr>
            <w:r>
              <w:rPr>
                <w:color w:val="auto"/>
                <w:highlight w:val="none"/>
              </w:rPr>
              <w:t>浓度（mg/L）</w:t>
            </w:r>
          </w:p>
          <w:p>
            <w:pPr>
              <w:pStyle w:val="22"/>
              <w:bidi w:val="0"/>
              <w:jc w:val="center"/>
              <w:rPr>
                <w:color w:val="auto"/>
                <w:highlight w:val="none"/>
              </w:rPr>
            </w:pPr>
            <w:r>
              <w:rPr>
                <w:color w:val="auto"/>
                <w:highlight w:val="none"/>
              </w:rPr>
              <w:t>最高允许排放负荷（g/床位）</w:t>
            </w:r>
          </w:p>
        </w:tc>
        <w:tc>
          <w:tcPr>
            <w:tcW w:w="2385" w:type="dxa"/>
            <w:tcBorders>
              <w:tl2br w:val="nil"/>
              <w:tr2bl w:val="nil"/>
            </w:tcBorders>
            <w:vAlign w:val="center"/>
          </w:tcPr>
          <w:p>
            <w:pPr>
              <w:pStyle w:val="22"/>
              <w:bidi w:val="0"/>
              <w:jc w:val="center"/>
              <w:rPr>
                <w:color w:val="auto"/>
                <w:highlight w:val="none"/>
              </w:rPr>
            </w:pPr>
          </w:p>
          <w:p>
            <w:pPr>
              <w:pStyle w:val="22"/>
              <w:bidi w:val="0"/>
              <w:jc w:val="center"/>
              <w:rPr>
                <w:color w:val="auto"/>
                <w:highlight w:val="none"/>
              </w:rPr>
            </w:pPr>
            <w:r>
              <w:rPr>
                <w:color w:val="auto"/>
                <w:highlight w:val="none"/>
              </w:rPr>
              <w:t>100</w:t>
            </w:r>
          </w:p>
          <w:p>
            <w:pPr>
              <w:pStyle w:val="22"/>
              <w:bidi w:val="0"/>
              <w:jc w:val="center"/>
              <w:rPr>
                <w:color w:val="auto"/>
                <w:highlight w:val="none"/>
              </w:rPr>
            </w:pPr>
            <w:r>
              <w:rPr>
                <w:color w:val="auto"/>
                <w:highlight w:val="none"/>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jc w:val="center"/>
        </w:trPr>
        <w:tc>
          <w:tcPr>
            <w:tcW w:w="1433" w:type="dxa"/>
            <w:tcBorders>
              <w:tl2br w:val="nil"/>
              <w:tr2bl w:val="nil"/>
            </w:tcBorders>
            <w:vAlign w:val="center"/>
          </w:tcPr>
          <w:p>
            <w:pPr>
              <w:pStyle w:val="22"/>
              <w:bidi w:val="0"/>
              <w:jc w:val="center"/>
              <w:rPr>
                <w:color w:val="auto"/>
                <w:highlight w:val="none"/>
              </w:rPr>
            </w:pPr>
          </w:p>
          <w:p>
            <w:pPr>
              <w:pStyle w:val="22"/>
              <w:bidi w:val="0"/>
              <w:jc w:val="center"/>
              <w:rPr>
                <w:color w:val="auto"/>
                <w:highlight w:val="none"/>
              </w:rPr>
            </w:pPr>
            <w:r>
              <w:rPr>
                <w:color w:val="auto"/>
                <w:highlight w:val="none"/>
              </w:rPr>
              <w:t>7</w:t>
            </w:r>
          </w:p>
        </w:tc>
        <w:tc>
          <w:tcPr>
            <w:tcW w:w="4601" w:type="dxa"/>
            <w:tcBorders>
              <w:tl2br w:val="nil"/>
              <w:tr2bl w:val="nil"/>
            </w:tcBorders>
            <w:vAlign w:val="center"/>
          </w:tcPr>
          <w:p>
            <w:pPr>
              <w:pStyle w:val="22"/>
              <w:bidi w:val="0"/>
              <w:jc w:val="center"/>
              <w:rPr>
                <w:color w:val="auto"/>
                <w:highlight w:val="none"/>
              </w:rPr>
            </w:pPr>
            <w:r>
              <w:rPr>
                <w:color w:val="auto"/>
                <w:highlight w:val="none"/>
              </w:rPr>
              <w:t>悬浮物（SS）</w:t>
            </w:r>
          </w:p>
          <w:p>
            <w:pPr>
              <w:pStyle w:val="22"/>
              <w:bidi w:val="0"/>
              <w:jc w:val="center"/>
              <w:rPr>
                <w:color w:val="auto"/>
                <w:highlight w:val="none"/>
              </w:rPr>
            </w:pPr>
            <w:r>
              <w:rPr>
                <w:color w:val="auto"/>
                <w:highlight w:val="none"/>
              </w:rPr>
              <w:t>浓度（mg/L）</w:t>
            </w:r>
          </w:p>
          <w:p>
            <w:pPr>
              <w:pStyle w:val="22"/>
              <w:bidi w:val="0"/>
              <w:jc w:val="center"/>
              <w:rPr>
                <w:color w:val="auto"/>
                <w:highlight w:val="none"/>
              </w:rPr>
            </w:pPr>
            <w:r>
              <w:rPr>
                <w:color w:val="auto"/>
                <w:highlight w:val="none"/>
              </w:rPr>
              <w:t>最高允许排放负荷（g/床位）</w:t>
            </w:r>
          </w:p>
        </w:tc>
        <w:tc>
          <w:tcPr>
            <w:tcW w:w="2385" w:type="dxa"/>
            <w:tcBorders>
              <w:tl2br w:val="nil"/>
              <w:tr2bl w:val="nil"/>
            </w:tcBorders>
            <w:vAlign w:val="center"/>
          </w:tcPr>
          <w:p>
            <w:pPr>
              <w:pStyle w:val="22"/>
              <w:bidi w:val="0"/>
              <w:jc w:val="center"/>
              <w:rPr>
                <w:color w:val="auto"/>
                <w:highlight w:val="none"/>
              </w:rPr>
            </w:pPr>
          </w:p>
          <w:p>
            <w:pPr>
              <w:pStyle w:val="22"/>
              <w:bidi w:val="0"/>
              <w:jc w:val="center"/>
              <w:rPr>
                <w:color w:val="auto"/>
                <w:highlight w:val="none"/>
              </w:rPr>
            </w:pPr>
            <w:r>
              <w:rPr>
                <w:color w:val="auto"/>
                <w:highlight w:val="none"/>
              </w:rPr>
              <w:t>60</w:t>
            </w:r>
          </w:p>
          <w:p>
            <w:pPr>
              <w:pStyle w:val="22"/>
              <w:bidi w:val="0"/>
              <w:jc w:val="center"/>
              <w:rPr>
                <w:color w:val="auto"/>
                <w:highlight w:val="none"/>
              </w:rPr>
            </w:pPr>
            <w:r>
              <w:rPr>
                <w:color w:val="auto"/>
                <w:highlight w:val="none"/>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1433" w:type="dxa"/>
            <w:tcBorders>
              <w:tl2br w:val="nil"/>
              <w:tr2bl w:val="nil"/>
            </w:tcBorders>
            <w:vAlign w:val="center"/>
          </w:tcPr>
          <w:p>
            <w:pPr>
              <w:pStyle w:val="22"/>
              <w:bidi w:val="0"/>
              <w:jc w:val="center"/>
              <w:rPr>
                <w:color w:val="auto"/>
                <w:highlight w:val="none"/>
              </w:rPr>
            </w:pPr>
            <w:r>
              <w:rPr>
                <w:color w:val="auto"/>
                <w:highlight w:val="none"/>
              </w:rPr>
              <w:t>8</w:t>
            </w:r>
          </w:p>
        </w:tc>
        <w:tc>
          <w:tcPr>
            <w:tcW w:w="4601" w:type="dxa"/>
            <w:tcBorders>
              <w:tl2br w:val="nil"/>
              <w:tr2bl w:val="nil"/>
            </w:tcBorders>
            <w:vAlign w:val="center"/>
          </w:tcPr>
          <w:p>
            <w:pPr>
              <w:pStyle w:val="22"/>
              <w:bidi w:val="0"/>
              <w:jc w:val="center"/>
              <w:rPr>
                <w:color w:val="auto"/>
                <w:highlight w:val="none"/>
              </w:rPr>
            </w:pPr>
            <w:r>
              <w:rPr>
                <w:color w:val="auto"/>
                <w:highlight w:val="none"/>
              </w:rPr>
              <w:t>氨氮（mg/L）</w:t>
            </w:r>
          </w:p>
        </w:tc>
        <w:tc>
          <w:tcPr>
            <w:tcW w:w="2385" w:type="dxa"/>
            <w:tcBorders>
              <w:tl2br w:val="nil"/>
              <w:tr2bl w:val="nil"/>
            </w:tcBorders>
            <w:vAlign w:val="center"/>
          </w:tcPr>
          <w:p>
            <w:pPr>
              <w:pStyle w:val="22"/>
              <w:bidi w:val="0"/>
              <w:jc w:val="center"/>
              <w:rPr>
                <w:color w:val="auto"/>
                <w:highlight w:val="none"/>
              </w:rPr>
            </w:pPr>
            <w:r>
              <w:rPr>
                <w:color w:val="auto"/>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1433" w:type="dxa"/>
            <w:tcBorders>
              <w:tl2br w:val="nil"/>
              <w:tr2bl w:val="nil"/>
            </w:tcBorders>
            <w:vAlign w:val="center"/>
          </w:tcPr>
          <w:p>
            <w:pPr>
              <w:pStyle w:val="22"/>
              <w:bidi w:val="0"/>
              <w:jc w:val="center"/>
              <w:rPr>
                <w:color w:val="auto"/>
                <w:highlight w:val="none"/>
              </w:rPr>
            </w:pPr>
            <w:r>
              <w:rPr>
                <w:color w:val="auto"/>
                <w:highlight w:val="none"/>
              </w:rPr>
              <w:t>9</w:t>
            </w:r>
          </w:p>
        </w:tc>
        <w:tc>
          <w:tcPr>
            <w:tcW w:w="4601" w:type="dxa"/>
            <w:tcBorders>
              <w:tl2br w:val="nil"/>
              <w:tr2bl w:val="nil"/>
            </w:tcBorders>
            <w:vAlign w:val="center"/>
          </w:tcPr>
          <w:p>
            <w:pPr>
              <w:pStyle w:val="22"/>
              <w:bidi w:val="0"/>
              <w:jc w:val="center"/>
              <w:rPr>
                <w:color w:val="auto"/>
                <w:highlight w:val="none"/>
              </w:rPr>
            </w:pPr>
            <w:r>
              <w:rPr>
                <w:color w:val="auto"/>
                <w:highlight w:val="none"/>
              </w:rPr>
              <w:t>动植物油（mg/L）</w:t>
            </w:r>
          </w:p>
        </w:tc>
        <w:tc>
          <w:tcPr>
            <w:tcW w:w="2385" w:type="dxa"/>
            <w:tcBorders>
              <w:tl2br w:val="nil"/>
              <w:tr2bl w:val="nil"/>
            </w:tcBorders>
            <w:vAlign w:val="center"/>
          </w:tcPr>
          <w:p>
            <w:pPr>
              <w:pStyle w:val="22"/>
              <w:bidi w:val="0"/>
              <w:jc w:val="center"/>
              <w:rPr>
                <w:color w:val="auto"/>
                <w:highlight w:val="none"/>
              </w:rPr>
            </w:pPr>
            <w:r>
              <w:rPr>
                <w:color w:val="auto"/>
                <w:highlight w:val="none"/>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1433" w:type="dxa"/>
            <w:tcBorders>
              <w:tl2br w:val="nil"/>
              <w:tr2bl w:val="nil"/>
            </w:tcBorders>
            <w:vAlign w:val="center"/>
          </w:tcPr>
          <w:p>
            <w:pPr>
              <w:pStyle w:val="22"/>
              <w:bidi w:val="0"/>
              <w:jc w:val="center"/>
              <w:rPr>
                <w:color w:val="auto"/>
                <w:highlight w:val="none"/>
              </w:rPr>
            </w:pPr>
            <w:r>
              <w:rPr>
                <w:color w:val="auto"/>
                <w:highlight w:val="none"/>
              </w:rPr>
              <w:t>10</w:t>
            </w:r>
          </w:p>
        </w:tc>
        <w:tc>
          <w:tcPr>
            <w:tcW w:w="4601" w:type="dxa"/>
            <w:tcBorders>
              <w:tl2br w:val="nil"/>
              <w:tr2bl w:val="nil"/>
            </w:tcBorders>
            <w:vAlign w:val="center"/>
          </w:tcPr>
          <w:p>
            <w:pPr>
              <w:pStyle w:val="22"/>
              <w:bidi w:val="0"/>
              <w:jc w:val="center"/>
              <w:rPr>
                <w:color w:val="auto"/>
                <w:highlight w:val="none"/>
              </w:rPr>
            </w:pPr>
            <w:r>
              <w:rPr>
                <w:color w:val="auto"/>
                <w:highlight w:val="none"/>
              </w:rPr>
              <w:t>石油类（mg/L）</w:t>
            </w:r>
          </w:p>
        </w:tc>
        <w:tc>
          <w:tcPr>
            <w:tcW w:w="2385" w:type="dxa"/>
            <w:tcBorders>
              <w:tl2br w:val="nil"/>
              <w:tr2bl w:val="nil"/>
            </w:tcBorders>
            <w:vAlign w:val="center"/>
          </w:tcPr>
          <w:p>
            <w:pPr>
              <w:pStyle w:val="22"/>
              <w:bidi w:val="0"/>
              <w:jc w:val="center"/>
              <w:rPr>
                <w:color w:val="auto"/>
                <w:highlight w:val="none"/>
              </w:rPr>
            </w:pPr>
            <w:r>
              <w:rPr>
                <w:color w:val="auto"/>
                <w:highlight w:val="none"/>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1433" w:type="dxa"/>
            <w:tcBorders>
              <w:tl2br w:val="nil"/>
              <w:tr2bl w:val="nil"/>
            </w:tcBorders>
            <w:vAlign w:val="center"/>
          </w:tcPr>
          <w:p>
            <w:pPr>
              <w:pStyle w:val="22"/>
              <w:bidi w:val="0"/>
              <w:jc w:val="center"/>
              <w:rPr>
                <w:color w:val="auto"/>
                <w:highlight w:val="none"/>
              </w:rPr>
            </w:pPr>
            <w:r>
              <w:rPr>
                <w:color w:val="auto"/>
                <w:highlight w:val="none"/>
              </w:rPr>
              <w:t>11</w:t>
            </w:r>
          </w:p>
        </w:tc>
        <w:tc>
          <w:tcPr>
            <w:tcW w:w="4601" w:type="dxa"/>
            <w:tcBorders>
              <w:tl2br w:val="nil"/>
              <w:tr2bl w:val="nil"/>
            </w:tcBorders>
            <w:vAlign w:val="center"/>
          </w:tcPr>
          <w:p>
            <w:pPr>
              <w:pStyle w:val="22"/>
              <w:bidi w:val="0"/>
              <w:jc w:val="center"/>
              <w:rPr>
                <w:color w:val="auto"/>
                <w:highlight w:val="none"/>
              </w:rPr>
            </w:pPr>
            <w:r>
              <w:rPr>
                <w:color w:val="auto"/>
                <w:highlight w:val="none"/>
              </w:rPr>
              <w:t>阴离子表面活性剂（mg/L）</w:t>
            </w:r>
          </w:p>
        </w:tc>
        <w:tc>
          <w:tcPr>
            <w:tcW w:w="2385" w:type="dxa"/>
            <w:tcBorders>
              <w:tl2br w:val="nil"/>
              <w:tr2bl w:val="nil"/>
            </w:tcBorders>
            <w:vAlign w:val="center"/>
          </w:tcPr>
          <w:p>
            <w:pPr>
              <w:pStyle w:val="22"/>
              <w:bidi w:val="0"/>
              <w:jc w:val="center"/>
              <w:rPr>
                <w:color w:val="auto"/>
                <w:highlight w:val="none"/>
              </w:rPr>
            </w:pPr>
            <w:r>
              <w:rPr>
                <w:color w:val="auto"/>
                <w:highlight w:val="no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1433" w:type="dxa"/>
            <w:tcBorders>
              <w:tl2br w:val="nil"/>
              <w:tr2bl w:val="nil"/>
            </w:tcBorders>
            <w:vAlign w:val="center"/>
          </w:tcPr>
          <w:p>
            <w:pPr>
              <w:pStyle w:val="22"/>
              <w:bidi w:val="0"/>
              <w:jc w:val="center"/>
              <w:rPr>
                <w:color w:val="auto"/>
                <w:highlight w:val="none"/>
              </w:rPr>
            </w:pPr>
            <w:r>
              <w:rPr>
                <w:color w:val="auto"/>
                <w:highlight w:val="none"/>
              </w:rPr>
              <w:t>12</w:t>
            </w:r>
          </w:p>
        </w:tc>
        <w:tc>
          <w:tcPr>
            <w:tcW w:w="4601" w:type="dxa"/>
            <w:tcBorders>
              <w:tl2br w:val="nil"/>
              <w:tr2bl w:val="nil"/>
            </w:tcBorders>
            <w:vAlign w:val="center"/>
          </w:tcPr>
          <w:p>
            <w:pPr>
              <w:pStyle w:val="22"/>
              <w:bidi w:val="0"/>
              <w:jc w:val="center"/>
              <w:rPr>
                <w:color w:val="auto"/>
                <w:highlight w:val="none"/>
              </w:rPr>
            </w:pPr>
            <w:r>
              <w:rPr>
                <w:color w:val="auto"/>
                <w:highlight w:val="none"/>
              </w:rPr>
              <w:t>色度（稀释倍数）</w:t>
            </w:r>
          </w:p>
        </w:tc>
        <w:tc>
          <w:tcPr>
            <w:tcW w:w="2385" w:type="dxa"/>
            <w:tcBorders>
              <w:tl2br w:val="nil"/>
              <w:tr2bl w:val="nil"/>
            </w:tcBorders>
            <w:vAlign w:val="center"/>
          </w:tcPr>
          <w:p>
            <w:pPr>
              <w:pStyle w:val="22"/>
              <w:bidi w:val="0"/>
              <w:jc w:val="center"/>
              <w:rPr>
                <w:color w:val="auto"/>
                <w:highlight w:val="none"/>
              </w:rPr>
            </w:pPr>
            <w:r>
              <w:rPr>
                <w:color w:val="auto"/>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1433" w:type="dxa"/>
            <w:tcBorders>
              <w:tl2br w:val="nil"/>
              <w:tr2bl w:val="nil"/>
            </w:tcBorders>
            <w:vAlign w:val="center"/>
          </w:tcPr>
          <w:p>
            <w:pPr>
              <w:pStyle w:val="22"/>
              <w:bidi w:val="0"/>
              <w:jc w:val="center"/>
              <w:rPr>
                <w:color w:val="auto"/>
                <w:highlight w:val="none"/>
              </w:rPr>
            </w:pPr>
            <w:r>
              <w:rPr>
                <w:color w:val="auto"/>
                <w:highlight w:val="none"/>
              </w:rPr>
              <w:t>13</w:t>
            </w:r>
          </w:p>
        </w:tc>
        <w:tc>
          <w:tcPr>
            <w:tcW w:w="4601" w:type="dxa"/>
            <w:tcBorders>
              <w:tl2br w:val="nil"/>
              <w:tr2bl w:val="nil"/>
            </w:tcBorders>
            <w:vAlign w:val="center"/>
          </w:tcPr>
          <w:p>
            <w:pPr>
              <w:pStyle w:val="22"/>
              <w:bidi w:val="0"/>
              <w:jc w:val="center"/>
              <w:rPr>
                <w:color w:val="auto"/>
                <w:highlight w:val="none"/>
              </w:rPr>
            </w:pPr>
            <w:r>
              <w:rPr>
                <w:color w:val="auto"/>
                <w:highlight w:val="none"/>
              </w:rPr>
              <w:t>挥发酚（mg/L）</w:t>
            </w:r>
          </w:p>
        </w:tc>
        <w:tc>
          <w:tcPr>
            <w:tcW w:w="2385" w:type="dxa"/>
            <w:tcBorders>
              <w:tl2br w:val="nil"/>
              <w:tr2bl w:val="nil"/>
            </w:tcBorders>
            <w:vAlign w:val="center"/>
          </w:tcPr>
          <w:p>
            <w:pPr>
              <w:pStyle w:val="22"/>
              <w:bidi w:val="0"/>
              <w:jc w:val="center"/>
              <w:rPr>
                <w:color w:val="auto"/>
                <w:highlight w:val="none"/>
              </w:rPr>
            </w:pPr>
            <w:r>
              <w:rPr>
                <w:color w:val="auto"/>
                <w:highlight w:val="no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1433" w:type="dxa"/>
            <w:tcBorders>
              <w:tl2br w:val="nil"/>
              <w:tr2bl w:val="nil"/>
            </w:tcBorders>
            <w:vAlign w:val="center"/>
          </w:tcPr>
          <w:p>
            <w:pPr>
              <w:pStyle w:val="22"/>
              <w:bidi w:val="0"/>
              <w:jc w:val="center"/>
              <w:rPr>
                <w:color w:val="auto"/>
                <w:highlight w:val="none"/>
              </w:rPr>
            </w:pPr>
            <w:r>
              <w:rPr>
                <w:color w:val="auto"/>
                <w:highlight w:val="none"/>
              </w:rPr>
              <w:t>14</w:t>
            </w:r>
          </w:p>
        </w:tc>
        <w:tc>
          <w:tcPr>
            <w:tcW w:w="4601" w:type="dxa"/>
            <w:tcBorders>
              <w:tl2br w:val="nil"/>
              <w:tr2bl w:val="nil"/>
            </w:tcBorders>
            <w:vAlign w:val="center"/>
          </w:tcPr>
          <w:p>
            <w:pPr>
              <w:pStyle w:val="22"/>
              <w:bidi w:val="0"/>
              <w:jc w:val="center"/>
              <w:rPr>
                <w:color w:val="auto"/>
                <w:highlight w:val="none"/>
              </w:rPr>
            </w:pPr>
            <w:r>
              <w:rPr>
                <w:color w:val="auto"/>
                <w:highlight w:val="none"/>
              </w:rPr>
              <w:t>总氰化物（mg/L）</w:t>
            </w:r>
          </w:p>
        </w:tc>
        <w:tc>
          <w:tcPr>
            <w:tcW w:w="2385" w:type="dxa"/>
            <w:tcBorders>
              <w:tl2br w:val="nil"/>
              <w:tr2bl w:val="nil"/>
            </w:tcBorders>
            <w:vAlign w:val="center"/>
          </w:tcPr>
          <w:p>
            <w:pPr>
              <w:pStyle w:val="22"/>
              <w:bidi w:val="0"/>
              <w:jc w:val="center"/>
              <w:rPr>
                <w:color w:val="auto"/>
                <w:highlight w:val="none"/>
              </w:rPr>
            </w:pPr>
            <w:r>
              <w:rPr>
                <w:color w:val="auto"/>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1433" w:type="dxa"/>
            <w:tcBorders>
              <w:tl2br w:val="nil"/>
              <w:tr2bl w:val="nil"/>
            </w:tcBorders>
            <w:vAlign w:val="center"/>
          </w:tcPr>
          <w:p>
            <w:pPr>
              <w:pStyle w:val="22"/>
              <w:bidi w:val="0"/>
              <w:jc w:val="center"/>
              <w:rPr>
                <w:color w:val="auto"/>
                <w:highlight w:val="none"/>
              </w:rPr>
            </w:pPr>
            <w:r>
              <w:rPr>
                <w:color w:val="auto"/>
                <w:highlight w:val="none"/>
              </w:rPr>
              <w:t>15</w:t>
            </w:r>
          </w:p>
        </w:tc>
        <w:tc>
          <w:tcPr>
            <w:tcW w:w="4601" w:type="dxa"/>
            <w:tcBorders>
              <w:tl2br w:val="nil"/>
              <w:tr2bl w:val="nil"/>
            </w:tcBorders>
            <w:vAlign w:val="center"/>
          </w:tcPr>
          <w:p>
            <w:pPr>
              <w:pStyle w:val="22"/>
              <w:bidi w:val="0"/>
              <w:jc w:val="center"/>
              <w:rPr>
                <w:color w:val="auto"/>
                <w:highlight w:val="none"/>
              </w:rPr>
            </w:pPr>
            <w:r>
              <w:rPr>
                <w:color w:val="auto"/>
                <w:highlight w:val="none"/>
              </w:rPr>
              <w:t>总汞（mg/L）</w:t>
            </w:r>
          </w:p>
        </w:tc>
        <w:tc>
          <w:tcPr>
            <w:tcW w:w="2385" w:type="dxa"/>
            <w:tcBorders>
              <w:tl2br w:val="nil"/>
              <w:tr2bl w:val="nil"/>
            </w:tcBorders>
            <w:vAlign w:val="center"/>
          </w:tcPr>
          <w:p>
            <w:pPr>
              <w:pStyle w:val="22"/>
              <w:bidi w:val="0"/>
              <w:jc w:val="center"/>
              <w:rPr>
                <w:color w:val="auto"/>
                <w:highlight w:val="none"/>
              </w:rPr>
            </w:pPr>
            <w:r>
              <w:rPr>
                <w:color w:val="auto"/>
                <w:highlight w:val="none"/>
              </w:rPr>
              <w:t>0.05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1433" w:type="dxa"/>
            <w:tcBorders>
              <w:tl2br w:val="nil"/>
              <w:tr2bl w:val="nil"/>
            </w:tcBorders>
            <w:vAlign w:val="center"/>
          </w:tcPr>
          <w:p>
            <w:pPr>
              <w:pStyle w:val="22"/>
              <w:bidi w:val="0"/>
              <w:jc w:val="center"/>
              <w:rPr>
                <w:color w:val="auto"/>
                <w:highlight w:val="none"/>
              </w:rPr>
            </w:pPr>
            <w:r>
              <w:rPr>
                <w:color w:val="auto"/>
                <w:highlight w:val="none"/>
              </w:rPr>
              <w:t>16</w:t>
            </w:r>
          </w:p>
        </w:tc>
        <w:tc>
          <w:tcPr>
            <w:tcW w:w="4601" w:type="dxa"/>
            <w:tcBorders>
              <w:tl2br w:val="nil"/>
              <w:tr2bl w:val="nil"/>
            </w:tcBorders>
            <w:vAlign w:val="center"/>
          </w:tcPr>
          <w:p>
            <w:pPr>
              <w:pStyle w:val="22"/>
              <w:bidi w:val="0"/>
              <w:jc w:val="center"/>
              <w:rPr>
                <w:color w:val="auto"/>
                <w:highlight w:val="none"/>
              </w:rPr>
            </w:pPr>
            <w:r>
              <w:rPr>
                <w:color w:val="auto"/>
                <w:highlight w:val="none"/>
              </w:rPr>
              <w:t>总镉（mg/L）</w:t>
            </w:r>
          </w:p>
        </w:tc>
        <w:tc>
          <w:tcPr>
            <w:tcW w:w="2385" w:type="dxa"/>
            <w:tcBorders>
              <w:tl2br w:val="nil"/>
              <w:tr2bl w:val="nil"/>
            </w:tcBorders>
            <w:vAlign w:val="center"/>
          </w:tcPr>
          <w:p>
            <w:pPr>
              <w:pStyle w:val="22"/>
              <w:bidi w:val="0"/>
              <w:jc w:val="center"/>
              <w:rPr>
                <w:color w:val="auto"/>
                <w:highlight w:val="none"/>
              </w:rPr>
            </w:pPr>
            <w:r>
              <w:rPr>
                <w:color w:val="auto"/>
                <w:highlight w:val="none"/>
              </w:rPr>
              <w:t>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1433" w:type="dxa"/>
            <w:tcBorders>
              <w:tl2br w:val="nil"/>
              <w:tr2bl w:val="nil"/>
            </w:tcBorders>
            <w:vAlign w:val="center"/>
          </w:tcPr>
          <w:p>
            <w:pPr>
              <w:pStyle w:val="22"/>
              <w:bidi w:val="0"/>
              <w:jc w:val="center"/>
              <w:rPr>
                <w:color w:val="auto"/>
                <w:highlight w:val="none"/>
              </w:rPr>
            </w:pPr>
            <w:r>
              <w:rPr>
                <w:color w:val="auto"/>
                <w:highlight w:val="none"/>
              </w:rPr>
              <w:t>17</w:t>
            </w:r>
          </w:p>
        </w:tc>
        <w:tc>
          <w:tcPr>
            <w:tcW w:w="4601" w:type="dxa"/>
            <w:tcBorders>
              <w:tl2br w:val="nil"/>
              <w:tr2bl w:val="nil"/>
            </w:tcBorders>
            <w:vAlign w:val="center"/>
          </w:tcPr>
          <w:p>
            <w:pPr>
              <w:pStyle w:val="22"/>
              <w:bidi w:val="0"/>
              <w:jc w:val="center"/>
              <w:rPr>
                <w:color w:val="auto"/>
                <w:highlight w:val="none"/>
              </w:rPr>
            </w:pPr>
            <w:r>
              <w:rPr>
                <w:color w:val="auto"/>
                <w:highlight w:val="none"/>
              </w:rPr>
              <w:t>总铬（mg/L）</w:t>
            </w:r>
          </w:p>
        </w:tc>
        <w:tc>
          <w:tcPr>
            <w:tcW w:w="2385" w:type="dxa"/>
            <w:tcBorders>
              <w:tl2br w:val="nil"/>
              <w:tr2bl w:val="nil"/>
            </w:tcBorders>
            <w:vAlign w:val="center"/>
          </w:tcPr>
          <w:p>
            <w:pPr>
              <w:pStyle w:val="22"/>
              <w:bidi w:val="0"/>
              <w:jc w:val="center"/>
              <w:rPr>
                <w:color w:val="auto"/>
                <w:highlight w:val="none"/>
              </w:rPr>
            </w:pPr>
            <w:r>
              <w:rPr>
                <w:color w:val="auto"/>
                <w:highlight w:val="none"/>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1433" w:type="dxa"/>
            <w:tcBorders>
              <w:tl2br w:val="nil"/>
              <w:tr2bl w:val="nil"/>
            </w:tcBorders>
            <w:vAlign w:val="center"/>
          </w:tcPr>
          <w:p>
            <w:pPr>
              <w:pStyle w:val="22"/>
              <w:bidi w:val="0"/>
              <w:jc w:val="center"/>
              <w:rPr>
                <w:color w:val="auto"/>
                <w:highlight w:val="none"/>
              </w:rPr>
            </w:pPr>
            <w:r>
              <w:rPr>
                <w:color w:val="auto"/>
                <w:highlight w:val="none"/>
              </w:rPr>
              <w:t>18</w:t>
            </w:r>
          </w:p>
        </w:tc>
        <w:tc>
          <w:tcPr>
            <w:tcW w:w="4601" w:type="dxa"/>
            <w:tcBorders>
              <w:tl2br w:val="nil"/>
              <w:tr2bl w:val="nil"/>
            </w:tcBorders>
            <w:vAlign w:val="center"/>
          </w:tcPr>
          <w:p>
            <w:pPr>
              <w:pStyle w:val="22"/>
              <w:bidi w:val="0"/>
              <w:jc w:val="center"/>
              <w:rPr>
                <w:color w:val="auto"/>
                <w:highlight w:val="none"/>
              </w:rPr>
            </w:pPr>
            <w:r>
              <w:rPr>
                <w:color w:val="auto"/>
                <w:highlight w:val="none"/>
              </w:rPr>
              <w:t>六价铬（mg/L）</w:t>
            </w:r>
          </w:p>
        </w:tc>
        <w:tc>
          <w:tcPr>
            <w:tcW w:w="2385" w:type="dxa"/>
            <w:tcBorders>
              <w:tl2br w:val="nil"/>
              <w:tr2bl w:val="nil"/>
            </w:tcBorders>
            <w:vAlign w:val="center"/>
          </w:tcPr>
          <w:p>
            <w:pPr>
              <w:pStyle w:val="22"/>
              <w:bidi w:val="0"/>
              <w:jc w:val="center"/>
              <w:rPr>
                <w:color w:val="auto"/>
                <w:highlight w:val="none"/>
              </w:rPr>
            </w:pPr>
            <w:r>
              <w:rPr>
                <w:color w:val="auto"/>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1433" w:type="dxa"/>
            <w:tcBorders>
              <w:tl2br w:val="nil"/>
              <w:tr2bl w:val="nil"/>
            </w:tcBorders>
            <w:vAlign w:val="center"/>
          </w:tcPr>
          <w:p>
            <w:pPr>
              <w:pStyle w:val="22"/>
              <w:bidi w:val="0"/>
              <w:jc w:val="center"/>
              <w:rPr>
                <w:color w:val="auto"/>
                <w:highlight w:val="none"/>
              </w:rPr>
            </w:pPr>
            <w:r>
              <w:rPr>
                <w:color w:val="auto"/>
                <w:highlight w:val="none"/>
              </w:rPr>
              <w:t>19</w:t>
            </w:r>
          </w:p>
        </w:tc>
        <w:tc>
          <w:tcPr>
            <w:tcW w:w="4601" w:type="dxa"/>
            <w:tcBorders>
              <w:tl2br w:val="nil"/>
              <w:tr2bl w:val="nil"/>
            </w:tcBorders>
            <w:vAlign w:val="center"/>
          </w:tcPr>
          <w:p>
            <w:pPr>
              <w:pStyle w:val="22"/>
              <w:bidi w:val="0"/>
              <w:jc w:val="center"/>
              <w:rPr>
                <w:color w:val="auto"/>
                <w:highlight w:val="none"/>
              </w:rPr>
            </w:pPr>
            <w:r>
              <w:rPr>
                <w:color w:val="auto"/>
                <w:highlight w:val="none"/>
              </w:rPr>
              <w:t>总砷（mg/L）</w:t>
            </w:r>
          </w:p>
        </w:tc>
        <w:tc>
          <w:tcPr>
            <w:tcW w:w="2385" w:type="dxa"/>
            <w:tcBorders>
              <w:tl2br w:val="nil"/>
              <w:tr2bl w:val="nil"/>
            </w:tcBorders>
            <w:vAlign w:val="center"/>
          </w:tcPr>
          <w:p>
            <w:pPr>
              <w:pStyle w:val="22"/>
              <w:bidi w:val="0"/>
              <w:jc w:val="center"/>
              <w:rPr>
                <w:color w:val="auto"/>
                <w:highlight w:val="none"/>
              </w:rPr>
            </w:pPr>
            <w:r>
              <w:rPr>
                <w:color w:val="auto"/>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1433" w:type="dxa"/>
            <w:tcBorders>
              <w:tl2br w:val="nil"/>
              <w:tr2bl w:val="nil"/>
            </w:tcBorders>
            <w:vAlign w:val="center"/>
          </w:tcPr>
          <w:p>
            <w:pPr>
              <w:pStyle w:val="22"/>
              <w:bidi w:val="0"/>
              <w:jc w:val="center"/>
              <w:rPr>
                <w:color w:val="auto"/>
                <w:highlight w:val="none"/>
              </w:rPr>
            </w:pPr>
            <w:r>
              <w:rPr>
                <w:color w:val="auto"/>
                <w:highlight w:val="none"/>
              </w:rPr>
              <w:t>20</w:t>
            </w:r>
          </w:p>
        </w:tc>
        <w:tc>
          <w:tcPr>
            <w:tcW w:w="4601" w:type="dxa"/>
            <w:tcBorders>
              <w:tl2br w:val="nil"/>
              <w:tr2bl w:val="nil"/>
            </w:tcBorders>
            <w:vAlign w:val="center"/>
          </w:tcPr>
          <w:p>
            <w:pPr>
              <w:pStyle w:val="22"/>
              <w:bidi w:val="0"/>
              <w:jc w:val="center"/>
              <w:rPr>
                <w:color w:val="auto"/>
                <w:highlight w:val="none"/>
              </w:rPr>
            </w:pPr>
            <w:r>
              <w:rPr>
                <w:color w:val="auto"/>
                <w:highlight w:val="none"/>
              </w:rPr>
              <w:t>总铅（mg/L）</w:t>
            </w:r>
          </w:p>
        </w:tc>
        <w:tc>
          <w:tcPr>
            <w:tcW w:w="2385" w:type="dxa"/>
            <w:tcBorders>
              <w:tl2br w:val="nil"/>
              <w:tr2bl w:val="nil"/>
            </w:tcBorders>
            <w:vAlign w:val="center"/>
          </w:tcPr>
          <w:p>
            <w:pPr>
              <w:pStyle w:val="22"/>
              <w:bidi w:val="0"/>
              <w:jc w:val="center"/>
              <w:rPr>
                <w:color w:val="auto"/>
                <w:highlight w:val="none"/>
              </w:rPr>
            </w:pPr>
            <w:r>
              <w:rPr>
                <w:color w:val="auto"/>
                <w:highlight w:val="no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6" w:hRule="atLeast"/>
          <w:jc w:val="center"/>
        </w:trPr>
        <w:tc>
          <w:tcPr>
            <w:tcW w:w="1433" w:type="dxa"/>
            <w:tcBorders>
              <w:tl2br w:val="nil"/>
              <w:tr2bl w:val="nil"/>
            </w:tcBorders>
            <w:vAlign w:val="center"/>
          </w:tcPr>
          <w:p>
            <w:pPr>
              <w:pStyle w:val="22"/>
              <w:bidi w:val="0"/>
              <w:jc w:val="center"/>
              <w:rPr>
                <w:color w:val="auto"/>
                <w:highlight w:val="none"/>
              </w:rPr>
            </w:pPr>
            <w:r>
              <w:rPr>
                <w:color w:val="auto"/>
                <w:highlight w:val="none"/>
              </w:rPr>
              <w:t>21</w:t>
            </w:r>
          </w:p>
        </w:tc>
        <w:tc>
          <w:tcPr>
            <w:tcW w:w="4601" w:type="dxa"/>
            <w:tcBorders>
              <w:tl2br w:val="nil"/>
              <w:tr2bl w:val="nil"/>
            </w:tcBorders>
            <w:vAlign w:val="center"/>
          </w:tcPr>
          <w:p>
            <w:pPr>
              <w:pStyle w:val="22"/>
              <w:bidi w:val="0"/>
              <w:jc w:val="center"/>
              <w:rPr>
                <w:color w:val="auto"/>
                <w:highlight w:val="none"/>
              </w:rPr>
            </w:pPr>
            <w:r>
              <w:rPr>
                <w:color w:val="auto"/>
                <w:highlight w:val="none"/>
              </w:rPr>
              <w:t>总银（mg/L）</w:t>
            </w:r>
          </w:p>
        </w:tc>
        <w:tc>
          <w:tcPr>
            <w:tcW w:w="2385" w:type="dxa"/>
            <w:tcBorders>
              <w:tl2br w:val="nil"/>
              <w:tr2bl w:val="nil"/>
            </w:tcBorders>
            <w:vAlign w:val="center"/>
          </w:tcPr>
          <w:p>
            <w:pPr>
              <w:pStyle w:val="22"/>
              <w:bidi w:val="0"/>
              <w:jc w:val="center"/>
              <w:rPr>
                <w:color w:val="auto"/>
                <w:highlight w:val="none"/>
              </w:rPr>
            </w:pPr>
            <w:r>
              <w:rPr>
                <w:color w:val="auto"/>
                <w:highlight w:val="none"/>
              </w:rPr>
              <w:t>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1433" w:type="dxa"/>
            <w:tcBorders>
              <w:tl2br w:val="nil"/>
              <w:tr2bl w:val="nil"/>
            </w:tcBorders>
            <w:vAlign w:val="center"/>
          </w:tcPr>
          <w:p>
            <w:pPr>
              <w:pStyle w:val="22"/>
              <w:bidi w:val="0"/>
              <w:jc w:val="center"/>
              <w:rPr>
                <w:color w:val="auto"/>
                <w:highlight w:val="none"/>
              </w:rPr>
            </w:pPr>
            <w:r>
              <w:rPr>
                <w:color w:val="auto"/>
                <w:highlight w:val="none"/>
              </w:rPr>
              <w:t>22</w:t>
            </w:r>
          </w:p>
        </w:tc>
        <w:tc>
          <w:tcPr>
            <w:tcW w:w="4601" w:type="dxa"/>
            <w:tcBorders>
              <w:tl2br w:val="nil"/>
              <w:tr2bl w:val="nil"/>
            </w:tcBorders>
            <w:vAlign w:val="center"/>
          </w:tcPr>
          <w:p>
            <w:pPr>
              <w:pStyle w:val="22"/>
              <w:bidi w:val="0"/>
              <w:jc w:val="center"/>
              <w:rPr>
                <w:color w:val="auto"/>
                <w:highlight w:val="none"/>
              </w:rPr>
            </w:pPr>
            <w:r>
              <w:rPr>
                <w:color w:val="auto"/>
                <w:highlight w:val="none"/>
              </w:rPr>
              <w:t>总Α(Bq/L)</w:t>
            </w:r>
          </w:p>
        </w:tc>
        <w:tc>
          <w:tcPr>
            <w:tcW w:w="2385" w:type="dxa"/>
            <w:tcBorders>
              <w:tl2br w:val="nil"/>
              <w:tr2bl w:val="nil"/>
            </w:tcBorders>
            <w:vAlign w:val="center"/>
          </w:tcPr>
          <w:p>
            <w:pPr>
              <w:pStyle w:val="22"/>
              <w:bidi w:val="0"/>
              <w:jc w:val="center"/>
              <w:rPr>
                <w:color w:val="auto"/>
                <w:highlight w:val="none"/>
              </w:rPr>
            </w:pPr>
            <w:r>
              <w:rPr>
                <w:color w:val="auto"/>
                <w:highlight w:val="none"/>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1" w:hRule="atLeast"/>
          <w:jc w:val="center"/>
        </w:trPr>
        <w:tc>
          <w:tcPr>
            <w:tcW w:w="1433" w:type="dxa"/>
            <w:tcBorders>
              <w:tl2br w:val="nil"/>
              <w:tr2bl w:val="nil"/>
            </w:tcBorders>
            <w:vAlign w:val="center"/>
          </w:tcPr>
          <w:p>
            <w:pPr>
              <w:pStyle w:val="22"/>
              <w:bidi w:val="0"/>
              <w:jc w:val="center"/>
              <w:rPr>
                <w:color w:val="auto"/>
                <w:highlight w:val="none"/>
              </w:rPr>
            </w:pPr>
            <w:r>
              <w:rPr>
                <w:color w:val="auto"/>
                <w:highlight w:val="none"/>
              </w:rPr>
              <w:t>23</w:t>
            </w:r>
          </w:p>
        </w:tc>
        <w:tc>
          <w:tcPr>
            <w:tcW w:w="4601" w:type="dxa"/>
            <w:tcBorders>
              <w:tl2br w:val="nil"/>
              <w:tr2bl w:val="nil"/>
            </w:tcBorders>
            <w:vAlign w:val="center"/>
          </w:tcPr>
          <w:p>
            <w:pPr>
              <w:pStyle w:val="22"/>
              <w:bidi w:val="0"/>
              <w:jc w:val="center"/>
              <w:rPr>
                <w:color w:val="auto"/>
                <w:highlight w:val="none"/>
              </w:rPr>
            </w:pPr>
            <w:r>
              <w:rPr>
                <w:color w:val="auto"/>
                <w:highlight w:val="none"/>
              </w:rPr>
              <w:t>总Β(Bq/L)</w:t>
            </w:r>
          </w:p>
        </w:tc>
        <w:tc>
          <w:tcPr>
            <w:tcW w:w="2385" w:type="dxa"/>
            <w:tcBorders>
              <w:tl2br w:val="nil"/>
              <w:tr2bl w:val="nil"/>
            </w:tcBorders>
            <w:vAlign w:val="center"/>
          </w:tcPr>
          <w:p>
            <w:pPr>
              <w:pStyle w:val="22"/>
              <w:bidi w:val="0"/>
              <w:jc w:val="center"/>
              <w:rPr>
                <w:color w:val="auto"/>
                <w:highlight w:val="none"/>
              </w:rPr>
            </w:pPr>
            <w:r>
              <w:rPr>
                <w:color w:val="auto"/>
                <w:highlight w:val="none"/>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1433" w:type="dxa"/>
            <w:tcBorders>
              <w:tl2br w:val="nil"/>
              <w:tr2bl w:val="nil"/>
            </w:tcBorders>
            <w:vAlign w:val="center"/>
          </w:tcPr>
          <w:p>
            <w:pPr>
              <w:pStyle w:val="22"/>
              <w:bidi w:val="0"/>
              <w:jc w:val="center"/>
              <w:rPr>
                <w:color w:val="auto"/>
                <w:highlight w:val="none"/>
              </w:rPr>
            </w:pPr>
            <w:r>
              <w:rPr>
                <w:color w:val="auto"/>
                <w:highlight w:val="none"/>
              </w:rPr>
              <w:t>24</w:t>
            </w:r>
          </w:p>
        </w:tc>
        <w:tc>
          <w:tcPr>
            <w:tcW w:w="4601" w:type="dxa"/>
            <w:tcBorders>
              <w:tl2br w:val="nil"/>
              <w:tr2bl w:val="nil"/>
            </w:tcBorders>
            <w:vAlign w:val="center"/>
          </w:tcPr>
          <w:p>
            <w:pPr>
              <w:pStyle w:val="22"/>
              <w:bidi w:val="0"/>
              <w:jc w:val="center"/>
              <w:rPr>
                <w:color w:val="auto"/>
                <w:highlight w:val="none"/>
              </w:rPr>
            </w:pPr>
            <w:r>
              <w:rPr>
                <w:color w:val="auto"/>
                <w:highlight w:val="none"/>
              </w:rPr>
              <w:t>总余氯</w:t>
            </w:r>
            <w:r>
              <w:rPr>
                <w:color w:val="auto"/>
                <w:highlight w:val="none"/>
                <w:vertAlign w:val="superscript"/>
              </w:rPr>
              <w:t>1）2）</w:t>
            </w:r>
            <w:r>
              <w:rPr>
                <w:color w:val="auto"/>
                <w:highlight w:val="none"/>
              </w:rPr>
              <w:t>（mg/L）</w:t>
            </w:r>
          </w:p>
        </w:tc>
        <w:tc>
          <w:tcPr>
            <w:tcW w:w="2385" w:type="dxa"/>
            <w:tcBorders>
              <w:tl2br w:val="nil"/>
              <w:tr2bl w:val="nil"/>
            </w:tcBorders>
            <w:vAlign w:val="center"/>
          </w:tcPr>
          <w:p>
            <w:pPr>
              <w:pStyle w:val="22"/>
              <w:bidi w:val="0"/>
              <w:jc w:val="center"/>
              <w:rPr>
                <w:color w:val="auto"/>
                <w:highlight w:val="none"/>
              </w:rPr>
            </w:pPr>
            <w:r>
              <w:rPr>
                <w:color w:val="auto"/>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1433" w:type="dxa"/>
            <w:tcBorders>
              <w:tl2br w:val="nil"/>
              <w:tr2bl w:val="nil"/>
            </w:tcBorders>
            <w:vAlign w:val="center"/>
          </w:tcPr>
          <w:p>
            <w:pPr>
              <w:pStyle w:val="22"/>
              <w:bidi w:val="0"/>
              <w:jc w:val="center"/>
              <w:rPr>
                <w:rFonts w:hint="eastAsia" w:eastAsia="宋体"/>
                <w:color w:val="auto"/>
                <w:highlight w:val="none"/>
                <w:lang w:val="en-US" w:eastAsia="zh-CN"/>
              </w:rPr>
            </w:pPr>
            <w:r>
              <w:rPr>
                <w:rFonts w:hint="eastAsia"/>
                <w:color w:val="auto"/>
                <w:highlight w:val="none"/>
                <w:lang w:val="en-US" w:eastAsia="zh-CN"/>
              </w:rPr>
              <w:t>备注</w:t>
            </w:r>
          </w:p>
        </w:tc>
        <w:tc>
          <w:tcPr>
            <w:tcW w:w="6986" w:type="dxa"/>
            <w:gridSpan w:val="2"/>
            <w:tcBorders>
              <w:tl2br w:val="nil"/>
              <w:tr2bl w:val="nil"/>
            </w:tcBorders>
            <w:vAlign w:val="center"/>
          </w:tcPr>
          <w:p>
            <w:pPr>
              <w:pStyle w:val="22"/>
              <w:bidi w:val="0"/>
              <w:jc w:val="both"/>
              <w:rPr>
                <w:color w:val="auto"/>
                <w:highlight w:val="none"/>
              </w:rPr>
            </w:pPr>
            <w:r>
              <w:rPr>
                <w:rFonts w:hint="default"/>
                <w:color w:val="auto"/>
                <w:highlight w:val="none"/>
                <w:lang w:val="en-US" w:eastAsia="zh-CN"/>
              </w:rPr>
              <w:t>1</w:t>
            </w:r>
            <w:r>
              <w:rPr>
                <w:rFonts w:hint="eastAsia"/>
                <w:color w:val="auto"/>
                <w:highlight w:val="none"/>
                <w:lang w:val="en-US" w:eastAsia="zh-CN"/>
              </w:rPr>
              <w:t>）采用含氯消毒剂消毒的工艺控制要求为：</w:t>
            </w:r>
          </w:p>
          <w:p>
            <w:pPr>
              <w:pStyle w:val="22"/>
              <w:bidi w:val="0"/>
              <w:jc w:val="left"/>
              <w:rPr>
                <w:color w:val="auto"/>
                <w:highlight w:val="none"/>
              </w:rPr>
            </w:pPr>
            <w:r>
              <w:rPr>
                <w:rFonts w:hint="eastAsia"/>
                <w:color w:val="auto"/>
                <w:highlight w:val="none"/>
                <w:lang w:val="en-US" w:eastAsia="zh-CN"/>
              </w:rPr>
              <w:t>预处理标准：消毒接触池接触时间</w:t>
            </w:r>
            <w:r>
              <w:rPr>
                <w:rFonts w:hint="default"/>
                <w:color w:val="auto"/>
                <w:highlight w:val="none"/>
                <w:lang w:val="en-US" w:eastAsia="zh-CN"/>
              </w:rPr>
              <w:t>≥1h</w:t>
            </w:r>
            <w:r>
              <w:rPr>
                <w:rFonts w:hint="eastAsia"/>
                <w:color w:val="auto"/>
                <w:highlight w:val="none"/>
                <w:lang w:val="en-US" w:eastAsia="zh-CN"/>
              </w:rPr>
              <w:t>，接触池出口总余氯</w:t>
            </w:r>
            <w:r>
              <w:rPr>
                <w:rFonts w:hint="default"/>
                <w:color w:val="auto"/>
                <w:highlight w:val="none"/>
                <w:lang w:val="en-US" w:eastAsia="zh-CN"/>
              </w:rPr>
              <w:t>2</w:t>
            </w:r>
            <w:r>
              <w:rPr>
                <w:rFonts w:hint="default"/>
                <w:color w:val="auto"/>
                <w:highlight w:val="none"/>
                <w:vertAlign w:val="superscript"/>
                <w:lang w:val="en-US" w:eastAsia="zh-CN"/>
              </w:rPr>
              <w:t>-8</w:t>
            </w:r>
            <w:r>
              <w:rPr>
                <w:rFonts w:hint="default"/>
                <w:color w:val="auto"/>
                <w:highlight w:val="none"/>
                <w:lang w:val="en-US" w:eastAsia="zh-CN"/>
              </w:rPr>
              <w:t>mg/L</w:t>
            </w:r>
            <w:r>
              <w:rPr>
                <w:rFonts w:hint="eastAsia"/>
                <w:color w:val="auto"/>
                <w:highlight w:val="none"/>
                <w:lang w:val="en-US" w:eastAsia="zh-CN"/>
              </w:rPr>
              <w:t>。</w:t>
            </w:r>
          </w:p>
          <w:p>
            <w:pPr>
              <w:pStyle w:val="22"/>
              <w:bidi w:val="0"/>
              <w:jc w:val="both"/>
              <w:rPr>
                <w:color w:val="auto"/>
                <w:highlight w:val="none"/>
              </w:rPr>
            </w:pPr>
            <w:r>
              <w:rPr>
                <w:rFonts w:hint="default"/>
                <w:color w:val="auto"/>
                <w:highlight w:val="none"/>
                <w:lang w:val="en-US" w:eastAsia="zh-CN"/>
              </w:rPr>
              <w:t>2</w:t>
            </w:r>
            <w:r>
              <w:rPr>
                <w:rFonts w:hint="eastAsia"/>
                <w:color w:val="auto"/>
                <w:highlight w:val="none"/>
                <w:lang w:val="en-US" w:eastAsia="zh-CN"/>
              </w:rPr>
              <w:t>）采用其他消毒剂对总余氯不作要求。</w:t>
            </w:r>
          </w:p>
        </w:tc>
      </w:tr>
    </w:tbl>
    <w:p>
      <w:pPr>
        <w:bidi w:val="0"/>
        <w:rPr>
          <w:rFonts w:hint="eastAsia"/>
          <w:color w:val="auto"/>
          <w:lang w:val="en-US" w:eastAsia="zh-CN"/>
        </w:rPr>
      </w:pPr>
      <w:r>
        <w:rPr>
          <w:rFonts w:hint="eastAsia" w:ascii="Times New Roman" w:eastAsia="宋体"/>
          <w:color w:val="auto"/>
          <w:lang w:val="en-US" w:eastAsia="zh-CN"/>
        </w:rPr>
        <w:t>2、办公楼生活废水</w:t>
      </w:r>
    </w:p>
    <w:p>
      <w:pPr>
        <w:bidi w:val="0"/>
        <w:rPr>
          <w:rFonts w:hint="default"/>
          <w:color w:val="auto"/>
          <w:lang w:val="en-US" w:eastAsia="zh-CN"/>
        </w:rPr>
      </w:pPr>
      <w:r>
        <w:rPr>
          <w:color w:val="auto"/>
        </w:rPr>
        <w:t>办公楼生活污水经化粪池处理后</w:t>
      </w:r>
      <w:r>
        <w:rPr>
          <w:rFonts w:hint="eastAsia" w:ascii="Times New Roman" w:eastAsia="宋体"/>
          <w:color w:val="auto"/>
          <w:lang w:val="en-US" w:eastAsia="zh-CN"/>
        </w:rPr>
        <w:t>达到</w:t>
      </w:r>
      <w:r>
        <w:rPr>
          <w:color w:val="auto"/>
        </w:rPr>
        <w:t>《污水综合排放标准》（GB8978-1996）</w:t>
      </w:r>
      <w:r>
        <w:rPr>
          <w:rFonts w:hint="eastAsia" w:ascii="Times New Roman" w:eastAsia="宋体"/>
          <w:color w:val="auto"/>
          <w:lang w:val="en-US" w:eastAsia="zh-CN"/>
        </w:rPr>
        <w:t>三级标准后</w:t>
      </w:r>
      <w:r>
        <w:rPr>
          <w:color w:val="auto"/>
        </w:rPr>
        <w:t>与</w:t>
      </w:r>
      <w:r>
        <w:rPr>
          <w:rFonts w:hint="eastAsia" w:ascii="Times New Roman" w:eastAsia="宋体"/>
          <w:color w:val="auto"/>
          <w:lang w:val="en-US" w:eastAsia="zh-CN"/>
        </w:rPr>
        <w:t>实验室废水</w:t>
      </w:r>
      <w:r>
        <w:rPr>
          <w:color w:val="auto"/>
        </w:rPr>
        <w:t>一同经市政污水管网排入</w:t>
      </w:r>
      <w:r>
        <w:rPr>
          <w:rFonts w:hint="eastAsia"/>
          <w:color w:val="auto"/>
          <w:lang w:val="en-US" w:eastAsia="zh-CN"/>
        </w:rPr>
        <w:t>皮山农场</w:t>
      </w:r>
      <w:r>
        <w:rPr>
          <w:color w:val="auto"/>
        </w:rPr>
        <w:t>污水处理厂进行进一步处理。</w:t>
      </w:r>
    </w:p>
    <w:p>
      <w:pPr>
        <w:pStyle w:val="22"/>
        <w:bidi w:val="0"/>
        <w:rPr>
          <w:color w:val="auto"/>
          <w:highlight w:val="none"/>
        </w:rPr>
      </w:pPr>
      <w:r>
        <w:rPr>
          <w:b/>
          <w:bCs/>
          <w:color w:val="auto"/>
          <w:highlight w:val="none"/>
        </w:rPr>
        <w:t>表2.</w:t>
      </w:r>
      <w:r>
        <w:rPr>
          <w:rFonts w:hint="eastAsia"/>
          <w:b/>
          <w:bCs/>
          <w:color w:val="auto"/>
          <w:highlight w:val="none"/>
          <w:lang w:val="en-US" w:eastAsia="zh-CN"/>
        </w:rPr>
        <w:t>5</w:t>
      </w:r>
      <w:r>
        <w:rPr>
          <w:b/>
          <w:bCs/>
          <w:color w:val="auto"/>
          <w:highlight w:val="none"/>
        </w:rPr>
        <w:t>-</w:t>
      </w:r>
      <w:r>
        <w:rPr>
          <w:rFonts w:hint="eastAsia"/>
          <w:b/>
          <w:bCs/>
          <w:color w:val="auto"/>
          <w:highlight w:val="none"/>
          <w:lang w:val="en-US" w:eastAsia="zh-CN"/>
        </w:rPr>
        <w:t>6</w:t>
      </w:r>
      <w:r>
        <w:rPr>
          <w:b/>
          <w:bCs/>
          <w:color w:val="auto"/>
          <w:highlight w:val="none"/>
        </w:rPr>
        <w:t>《污水综合排放标准》（GB8978-1996）</w:t>
      </w:r>
    </w:p>
    <w:tbl>
      <w:tblPr>
        <w:tblStyle w:val="23"/>
        <w:tblW w:w="8372" w:type="dxa"/>
        <w:tblInd w:w="7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771"/>
        <w:gridCol w:w="2766"/>
        <w:gridCol w:w="28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771" w:type="dxa"/>
            <w:tcBorders>
              <w:top w:val="single" w:color="000000" w:sz="2" w:space="0"/>
              <w:left w:val="single" w:color="000000" w:sz="2" w:space="0"/>
              <w:right w:val="single" w:color="000000" w:sz="2" w:space="0"/>
            </w:tcBorders>
            <w:vAlign w:val="top"/>
          </w:tcPr>
          <w:p>
            <w:pPr>
              <w:pStyle w:val="22"/>
              <w:bidi w:val="0"/>
              <w:rPr>
                <w:b/>
                <w:bCs/>
                <w:color w:val="auto"/>
                <w:highlight w:val="none"/>
              </w:rPr>
            </w:pPr>
            <w:r>
              <w:rPr>
                <w:b/>
                <w:bCs/>
                <w:color w:val="auto"/>
                <w:highlight w:val="none"/>
              </w:rPr>
              <w:t>污染物</w:t>
            </w:r>
          </w:p>
        </w:tc>
        <w:tc>
          <w:tcPr>
            <w:tcW w:w="2766" w:type="dxa"/>
            <w:tcBorders>
              <w:top w:val="single" w:color="000000" w:sz="2" w:space="0"/>
              <w:left w:val="single" w:color="000000" w:sz="2" w:space="0"/>
            </w:tcBorders>
            <w:vAlign w:val="top"/>
          </w:tcPr>
          <w:p>
            <w:pPr>
              <w:pStyle w:val="22"/>
              <w:bidi w:val="0"/>
              <w:rPr>
                <w:b/>
                <w:bCs/>
                <w:color w:val="auto"/>
                <w:highlight w:val="none"/>
              </w:rPr>
            </w:pPr>
            <w:r>
              <w:rPr>
                <w:b/>
                <w:bCs/>
                <w:color w:val="auto"/>
                <w:highlight w:val="none"/>
              </w:rPr>
              <w:t>单位</w:t>
            </w:r>
          </w:p>
        </w:tc>
        <w:tc>
          <w:tcPr>
            <w:tcW w:w="2835" w:type="dxa"/>
            <w:tcBorders>
              <w:top w:val="single" w:color="000000" w:sz="2" w:space="0"/>
              <w:right w:val="single" w:color="000000" w:sz="2" w:space="0"/>
            </w:tcBorders>
            <w:vAlign w:val="top"/>
          </w:tcPr>
          <w:p>
            <w:pPr>
              <w:pStyle w:val="22"/>
              <w:bidi w:val="0"/>
              <w:rPr>
                <w:b/>
                <w:bCs/>
                <w:color w:val="auto"/>
                <w:highlight w:val="none"/>
              </w:rPr>
            </w:pPr>
            <w:r>
              <w:rPr>
                <w:b/>
                <w:bCs/>
                <w:color w:val="auto"/>
                <w:highlight w:val="none"/>
              </w:rPr>
              <w:t>标准值（三级排放标准）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2771" w:type="dxa"/>
            <w:tcBorders>
              <w:left w:val="single" w:color="000000" w:sz="2" w:space="0"/>
              <w:right w:val="single" w:color="000000" w:sz="2" w:space="0"/>
            </w:tcBorders>
            <w:vAlign w:val="top"/>
          </w:tcPr>
          <w:p>
            <w:pPr>
              <w:pStyle w:val="22"/>
              <w:bidi w:val="0"/>
              <w:rPr>
                <w:color w:val="auto"/>
                <w:highlight w:val="none"/>
              </w:rPr>
            </w:pPr>
            <w:r>
              <w:rPr>
                <w:color w:val="auto"/>
                <w:highlight w:val="none"/>
              </w:rPr>
              <w:t>SS</w:t>
            </w:r>
          </w:p>
        </w:tc>
        <w:tc>
          <w:tcPr>
            <w:tcW w:w="2766" w:type="dxa"/>
            <w:tcBorders>
              <w:left w:val="single" w:color="000000" w:sz="2" w:space="0"/>
            </w:tcBorders>
            <w:vAlign w:val="top"/>
          </w:tcPr>
          <w:p>
            <w:pPr>
              <w:pStyle w:val="22"/>
              <w:bidi w:val="0"/>
              <w:rPr>
                <w:color w:val="auto"/>
                <w:highlight w:val="none"/>
              </w:rPr>
            </w:pPr>
            <w:r>
              <w:rPr>
                <w:color w:val="auto"/>
                <w:highlight w:val="none"/>
              </w:rPr>
              <w:t>mg/L</w:t>
            </w:r>
          </w:p>
        </w:tc>
        <w:tc>
          <w:tcPr>
            <w:tcW w:w="2835" w:type="dxa"/>
            <w:tcBorders>
              <w:right w:val="single" w:color="000000" w:sz="2" w:space="0"/>
            </w:tcBorders>
            <w:vAlign w:val="top"/>
          </w:tcPr>
          <w:p>
            <w:pPr>
              <w:pStyle w:val="22"/>
              <w:bidi w:val="0"/>
              <w:rPr>
                <w:color w:val="auto"/>
                <w:highlight w:val="none"/>
              </w:rPr>
            </w:pPr>
            <w:r>
              <w:rPr>
                <w:color w:val="auto"/>
                <w:highlight w:val="none"/>
              </w:rPr>
              <w:t>400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2771" w:type="dxa"/>
            <w:tcBorders>
              <w:left w:val="single" w:color="000000" w:sz="2" w:space="0"/>
              <w:right w:val="single" w:color="000000" w:sz="2" w:space="0"/>
            </w:tcBorders>
            <w:vAlign w:val="top"/>
          </w:tcPr>
          <w:p>
            <w:pPr>
              <w:pStyle w:val="22"/>
              <w:bidi w:val="0"/>
              <w:rPr>
                <w:color w:val="auto"/>
                <w:highlight w:val="none"/>
              </w:rPr>
            </w:pPr>
            <w:r>
              <w:rPr>
                <w:color w:val="auto"/>
                <w:highlight w:val="none"/>
              </w:rPr>
              <w:t>COD</w:t>
            </w:r>
          </w:p>
        </w:tc>
        <w:tc>
          <w:tcPr>
            <w:tcW w:w="2766" w:type="dxa"/>
            <w:tcBorders>
              <w:left w:val="single" w:color="000000" w:sz="2" w:space="0"/>
            </w:tcBorders>
            <w:vAlign w:val="top"/>
          </w:tcPr>
          <w:p>
            <w:pPr>
              <w:pStyle w:val="22"/>
              <w:bidi w:val="0"/>
              <w:rPr>
                <w:color w:val="auto"/>
                <w:highlight w:val="none"/>
              </w:rPr>
            </w:pPr>
            <w:r>
              <w:rPr>
                <w:color w:val="auto"/>
                <w:highlight w:val="none"/>
              </w:rPr>
              <w:t>mg/L</w:t>
            </w:r>
          </w:p>
        </w:tc>
        <w:tc>
          <w:tcPr>
            <w:tcW w:w="2835" w:type="dxa"/>
            <w:tcBorders>
              <w:right w:val="single" w:color="000000" w:sz="2" w:space="0"/>
            </w:tcBorders>
            <w:vAlign w:val="top"/>
          </w:tcPr>
          <w:p>
            <w:pPr>
              <w:pStyle w:val="22"/>
              <w:bidi w:val="0"/>
              <w:rPr>
                <w:color w:val="auto"/>
                <w:highlight w:val="none"/>
              </w:rPr>
            </w:pPr>
            <w:r>
              <w:rPr>
                <w:color w:val="auto"/>
                <w:highlight w:val="none"/>
              </w:rPr>
              <w:t>500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6" w:hRule="atLeast"/>
        </w:trPr>
        <w:tc>
          <w:tcPr>
            <w:tcW w:w="2771" w:type="dxa"/>
            <w:tcBorders>
              <w:left w:val="single" w:color="000000" w:sz="2" w:space="0"/>
              <w:right w:val="single" w:color="000000" w:sz="2" w:space="0"/>
            </w:tcBorders>
            <w:vAlign w:val="top"/>
          </w:tcPr>
          <w:p>
            <w:pPr>
              <w:pStyle w:val="22"/>
              <w:bidi w:val="0"/>
              <w:rPr>
                <w:color w:val="auto"/>
                <w:highlight w:val="none"/>
              </w:rPr>
            </w:pPr>
            <w:r>
              <w:rPr>
                <w:color w:val="auto"/>
                <w:highlight w:val="none"/>
              </w:rPr>
              <w:t>BOD</w:t>
            </w:r>
            <w:r>
              <w:rPr>
                <w:color w:val="auto"/>
                <w:highlight w:val="none"/>
                <w:vertAlign w:val="subscript"/>
              </w:rPr>
              <w:t>5</w:t>
            </w:r>
          </w:p>
        </w:tc>
        <w:tc>
          <w:tcPr>
            <w:tcW w:w="2766" w:type="dxa"/>
            <w:tcBorders>
              <w:left w:val="single" w:color="000000" w:sz="2" w:space="0"/>
            </w:tcBorders>
            <w:vAlign w:val="top"/>
          </w:tcPr>
          <w:p>
            <w:pPr>
              <w:pStyle w:val="22"/>
              <w:bidi w:val="0"/>
              <w:rPr>
                <w:color w:val="auto"/>
                <w:highlight w:val="none"/>
              </w:rPr>
            </w:pPr>
            <w:r>
              <w:rPr>
                <w:color w:val="auto"/>
                <w:highlight w:val="none"/>
              </w:rPr>
              <w:t>mg/L</w:t>
            </w:r>
          </w:p>
        </w:tc>
        <w:tc>
          <w:tcPr>
            <w:tcW w:w="2835" w:type="dxa"/>
            <w:tcBorders>
              <w:right w:val="single" w:color="000000" w:sz="2" w:space="0"/>
            </w:tcBorders>
            <w:vAlign w:val="top"/>
          </w:tcPr>
          <w:p>
            <w:pPr>
              <w:pStyle w:val="22"/>
              <w:bidi w:val="0"/>
              <w:rPr>
                <w:color w:val="auto"/>
                <w:highlight w:val="none"/>
              </w:rPr>
            </w:pPr>
            <w:r>
              <w:rPr>
                <w:color w:val="auto"/>
                <w:highlight w:val="none"/>
              </w:rPr>
              <w:t>300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5" w:hRule="atLeast"/>
        </w:trPr>
        <w:tc>
          <w:tcPr>
            <w:tcW w:w="2771" w:type="dxa"/>
            <w:tcBorders>
              <w:left w:val="single" w:color="000000" w:sz="2" w:space="0"/>
              <w:right w:val="single" w:color="000000" w:sz="2" w:space="0"/>
            </w:tcBorders>
            <w:vAlign w:val="top"/>
          </w:tcPr>
          <w:p>
            <w:pPr>
              <w:pStyle w:val="22"/>
              <w:bidi w:val="0"/>
              <w:rPr>
                <w:color w:val="auto"/>
                <w:highlight w:val="none"/>
              </w:rPr>
            </w:pPr>
            <w:r>
              <w:rPr>
                <w:color w:val="auto"/>
                <w:highlight w:val="none"/>
              </w:rPr>
              <w:t>NH</w:t>
            </w:r>
            <w:r>
              <w:rPr>
                <w:color w:val="auto"/>
                <w:highlight w:val="none"/>
                <w:vertAlign w:val="subscript"/>
              </w:rPr>
              <w:t>3-</w:t>
            </w:r>
            <w:r>
              <w:rPr>
                <w:color w:val="auto"/>
                <w:highlight w:val="none"/>
              </w:rPr>
              <w:t>N</w:t>
            </w:r>
          </w:p>
        </w:tc>
        <w:tc>
          <w:tcPr>
            <w:tcW w:w="2766" w:type="dxa"/>
            <w:tcBorders>
              <w:left w:val="single" w:color="000000" w:sz="2" w:space="0"/>
            </w:tcBorders>
            <w:vAlign w:val="top"/>
          </w:tcPr>
          <w:p>
            <w:pPr>
              <w:pStyle w:val="22"/>
              <w:bidi w:val="0"/>
              <w:rPr>
                <w:color w:val="auto"/>
                <w:highlight w:val="none"/>
              </w:rPr>
            </w:pPr>
            <w:r>
              <w:rPr>
                <w:color w:val="auto"/>
                <w:highlight w:val="none"/>
              </w:rPr>
              <w:t>mg/L</w:t>
            </w:r>
          </w:p>
        </w:tc>
        <w:tc>
          <w:tcPr>
            <w:tcW w:w="2835" w:type="dxa"/>
            <w:tcBorders>
              <w:right w:val="single" w:color="000000" w:sz="2" w:space="0"/>
            </w:tcBorders>
            <w:vAlign w:val="top"/>
          </w:tcPr>
          <w:p>
            <w:pPr>
              <w:pStyle w:val="22"/>
              <w:bidi w:val="0"/>
              <w:rPr>
                <w:color w:val="auto"/>
                <w:highlight w:val="none"/>
              </w:rPr>
            </w:pPr>
            <w:r>
              <w:rPr>
                <w:color w:val="auto"/>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7" w:hRule="atLeast"/>
        </w:trPr>
        <w:tc>
          <w:tcPr>
            <w:tcW w:w="2771" w:type="dxa"/>
            <w:tcBorders>
              <w:left w:val="single" w:color="000000" w:sz="2" w:space="0"/>
              <w:right w:val="single" w:color="000000" w:sz="2" w:space="0"/>
            </w:tcBorders>
            <w:vAlign w:val="top"/>
          </w:tcPr>
          <w:p>
            <w:pPr>
              <w:pStyle w:val="22"/>
              <w:bidi w:val="0"/>
              <w:rPr>
                <w:color w:val="auto"/>
                <w:highlight w:val="none"/>
              </w:rPr>
            </w:pPr>
            <w:r>
              <w:rPr>
                <w:color w:val="auto"/>
                <w:highlight w:val="none"/>
              </w:rPr>
              <w:t>动植物油</w:t>
            </w:r>
          </w:p>
        </w:tc>
        <w:tc>
          <w:tcPr>
            <w:tcW w:w="2766" w:type="dxa"/>
            <w:tcBorders>
              <w:left w:val="single" w:color="000000" w:sz="2" w:space="0"/>
            </w:tcBorders>
            <w:vAlign w:val="top"/>
          </w:tcPr>
          <w:p>
            <w:pPr>
              <w:pStyle w:val="22"/>
              <w:bidi w:val="0"/>
              <w:rPr>
                <w:color w:val="auto"/>
                <w:highlight w:val="none"/>
              </w:rPr>
            </w:pPr>
            <w:r>
              <w:rPr>
                <w:color w:val="auto"/>
                <w:highlight w:val="none"/>
              </w:rPr>
              <w:t>mg/L</w:t>
            </w:r>
          </w:p>
        </w:tc>
        <w:tc>
          <w:tcPr>
            <w:tcW w:w="2835" w:type="dxa"/>
            <w:tcBorders>
              <w:right w:val="single" w:color="000000" w:sz="2" w:space="0"/>
            </w:tcBorders>
            <w:vAlign w:val="top"/>
          </w:tcPr>
          <w:p>
            <w:pPr>
              <w:pStyle w:val="22"/>
              <w:bidi w:val="0"/>
              <w:rPr>
                <w:color w:val="auto"/>
                <w:highlight w:val="none"/>
              </w:rPr>
            </w:pPr>
            <w:r>
              <w:rPr>
                <w:color w:val="auto"/>
                <w:highlight w:val="none"/>
              </w:rPr>
              <w:t>100</w:t>
            </w:r>
          </w:p>
        </w:tc>
      </w:tr>
    </w:tbl>
    <w:p>
      <w:pPr>
        <w:bidi w:val="0"/>
        <w:rPr>
          <w:color w:val="auto"/>
        </w:rPr>
      </w:pPr>
      <w:r>
        <w:rPr>
          <w:color w:val="auto"/>
        </w:rPr>
        <w:t>（3）噪声</w:t>
      </w:r>
    </w:p>
    <w:p>
      <w:pPr>
        <w:bidi w:val="0"/>
        <w:rPr>
          <w:rFonts w:hint="eastAsia"/>
          <w:color w:val="auto"/>
          <w:lang w:val="en-US" w:eastAsia="zh-CN"/>
        </w:rPr>
      </w:pPr>
      <w:r>
        <w:rPr>
          <w:color w:val="auto"/>
        </w:rPr>
        <w:t>项目运营期噪声排放执行《声环境质量标准》（GB3096-2008）中</w:t>
      </w:r>
      <w:r>
        <w:rPr>
          <w:rFonts w:hint="eastAsia" w:ascii="Times New Roman" w:eastAsia="宋体"/>
          <w:color w:val="auto"/>
          <w:lang w:val="en-US" w:eastAsia="zh-CN"/>
        </w:rPr>
        <w:t>1</w:t>
      </w:r>
      <w:r>
        <w:rPr>
          <w:color w:val="auto"/>
        </w:rPr>
        <w:t>类标准</w:t>
      </w:r>
      <w:r>
        <w:rPr>
          <w:rFonts w:hint="eastAsia" w:eastAsia="宋体"/>
          <w:color w:val="auto"/>
          <w:lang w:eastAsia="zh-CN"/>
        </w:rPr>
        <w:t>，</w:t>
      </w:r>
      <w:r>
        <w:rPr>
          <w:color w:val="auto"/>
        </w:rPr>
        <w:t>标准值见表2.</w:t>
      </w:r>
      <w:r>
        <w:rPr>
          <w:rFonts w:hint="eastAsia" w:ascii="Times New Roman" w:eastAsia="宋体"/>
          <w:color w:val="auto"/>
          <w:lang w:val="en-US" w:eastAsia="zh-CN"/>
        </w:rPr>
        <w:t>5</w:t>
      </w:r>
      <w:r>
        <w:rPr>
          <w:color w:val="auto"/>
        </w:rPr>
        <w:t>-</w:t>
      </w:r>
      <w:r>
        <w:rPr>
          <w:rFonts w:hint="eastAsia"/>
          <w:color w:val="auto"/>
          <w:lang w:val="en-US" w:eastAsia="zh-CN"/>
        </w:rPr>
        <w:t>7</w:t>
      </w:r>
      <w:r>
        <w:rPr>
          <w:color w:val="auto"/>
        </w:rPr>
        <w:t>。</w:t>
      </w:r>
    </w:p>
    <w:p>
      <w:pPr>
        <w:pStyle w:val="22"/>
        <w:bidi w:val="0"/>
        <w:rPr>
          <w:b/>
          <w:bCs/>
          <w:color w:val="auto"/>
        </w:rPr>
      </w:pPr>
      <w:r>
        <w:rPr>
          <w:b/>
          <w:bCs/>
          <w:color w:val="auto"/>
        </w:rPr>
        <w:t>表2.</w:t>
      </w:r>
      <w:r>
        <w:rPr>
          <w:rFonts w:hint="eastAsia"/>
          <w:b/>
          <w:bCs/>
          <w:color w:val="auto"/>
          <w:lang w:val="en-US" w:eastAsia="zh-CN"/>
        </w:rPr>
        <w:t>5</w:t>
      </w:r>
      <w:r>
        <w:rPr>
          <w:b/>
          <w:bCs/>
          <w:color w:val="auto"/>
        </w:rPr>
        <w:t>-</w:t>
      </w:r>
      <w:r>
        <w:rPr>
          <w:rFonts w:hint="eastAsia"/>
          <w:b/>
          <w:bCs/>
          <w:color w:val="auto"/>
          <w:lang w:val="en-US" w:eastAsia="zh-CN"/>
        </w:rPr>
        <w:t>7《声环境质量标准》（GB3096-2008）</w:t>
      </w:r>
      <w:r>
        <w:rPr>
          <w:b/>
          <w:bCs/>
          <w:color w:val="auto"/>
        </w:rPr>
        <w:t>单位：dB（A）</w:t>
      </w:r>
    </w:p>
    <w:p>
      <w:pPr>
        <w:spacing w:line="18" w:lineRule="exact"/>
        <w:rPr>
          <w:color w:val="auto"/>
        </w:rPr>
      </w:pPr>
    </w:p>
    <w:tbl>
      <w:tblPr>
        <w:tblStyle w:val="23"/>
        <w:tblW w:w="852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839"/>
        <w:gridCol w:w="2840"/>
        <w:gridCol w:w="28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jc w:val="center"/>
        </w:trPr>
        <w:tc>
          <w:tcPr>
            <w:tcW w:w="2839" w:type="dxa"/>
            <w:vMerge w:val="restart"/>
            <w:tcBorders>
              <w:tl2br w:val="nil"/>
              <w:tr2bl w:val="nil"/>
            </w:tcBorders>
            <w:vAlign w:val="center"/>
          </w:tcPr>
          <w:p>
            <w:pPr>
              <w:pStyle w:val="22"/>
              <w:bidi w:val="0"/>
              <w:jc w:val="center"/>
              <w:rPr>
                <w:b/>
                <w:bCs/>
                <w:color w:val="auto"/>
              </w:rPr>
            </w:pPr>
          </w:p>
          <w:p>
            <w:pPr>
              <w:pStyle w:val="22"/>
              <w:bidi w:val="0"/>
              <w:jc w:val="center"/>
              <w:rPr>
                <w:b/>
                <w:bCs/>
                <w:color w:val="auto"/>
              </w:rPr>
            </w:pPr>
            <w:r>
              <w:rPr>
                <w:b/>
                <w:bCs/>
                <w:color w:val="auto"/>
              </w:rPr>
              <w:t>边界外声环境功能区类别</w:t>
            </w:r>
          </w:p>
        </w:tc>
        <w:tc>
          <w:tcPr>
            <w:tcW w:w="5683" w:type="dxa"/>
            <w:gridSpan w:val="2"/>
            <w:tcBorders>
              <w:tl2br w:val="nil"/>
              <w:tr2bl w:val="nil"/>
            </w:tcBorders>
            <w:vAlign w:val="center"/>
          </w:tcPr>
          <w:p>
            <w:pPr>
              <w:pStyle w:val="22"/>
              <w:bidi w:val="0"/>
              <w:jc w:val="center"/>
              <w:rPr>
                <w:b/>
                <w:bCs/>
                <w:color w:val="auto"/>
              </w:rPr>
            </w:pPr>
            <w:r>
              <w:rPr>
                <w:b/>
                <w:bCs/>
                <w:color w:val="auto"/>
              </w:rPr>
              <w:t>时段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2839" w:type="dxa"/>
            <w:vMerge w:val="continue"/>
            <w:tcBorders>
              <w:tl2br w:val="nil"/>
              <w:tr2bl w:val="nil"/>
            </w:tcBorders>
            <w:vAlign w:val="center"/>
          </w:tcPr>
          <w:p>
            <w:pPr>
              <w:pStyle w:val="22"/>
              <w:bidi w:val="0"/>
              <w:jc w:val="center"/>
              <w:rPr>
                <w:b/>
                <w:bCs/>
                <w:color w:val="auto"/>
              </w:rPr>
            </w:pPr>
          </w:p>
        </w:tc>
        <w:tc>
          <w:tcPr>
            <w:tcW w:w="2840" w:type="dxa"/>
            <w:tcBorders>
              <w:tl2br w:val="nil"/>
              <w:tr2bl w:val="nil"/>
            </w:tcBorders>
            <w:vAlign w:val="center"/>
          </w:tcPr>
          <w:p>
            <w:pPr>
              <w:pStyle w:val="22"/>
              <w:bidi w:val="0"/>
              <w:jc w:val="center"/>
              <w:rPr>
                <w:b/>
                <w:bCs/>
                <w:color w:val="auto"/>
              </w:rPr>
            </w:pPr>
            <w:r>
              <w:rPr>
                <w:b/>
                <w:bCs/>
                <w:color w:val="auto"/>
              </w:rPr>
              <w:t>昼间</w:t>
            </w:r>
          </w:p>
        </w:tc>
        <w:tc>
          <w:tcPr>
            <w:tcW w:w="2843" w:type="dxa"/>
            <w:tcBorders>
              <w:tl2br w:val="nil"/>
              <w:tr2bl w:val="nil"/>
            </w:tcBorders>
            <w:vAlign w:val="center"/>
          </w:tcPr>
          <w:p>
            <w:pPr>
              <w:pStyle w:val="22"/>
              <w:bidi w:val="0"/>
              <w:jc w:val="center"/>
              <w:rPr>
                <w:b/>
                <w:bCs/>
                <w:color w:val="auto"/>
              </w:rPr>
            </w:pPr>
            <w:r>
              <w:rPr>
                <w:b/>
                <w:bCs/>
                <w:color w:val="auto"/>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jc w:val="center"/>
        </w:trPr>
        <w:tc>
          <w:tcPr>
            <w:tcW w:w="2839" w:type="dxa"/>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1（四周厂界）</w:t>
            </w:r>
          </w:p>
        </w:tc>
        <w:tc>
          <w:tcPr>
            <w:tcW w:w="2840"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55</w:t>
            </w:r>
          </w:p>
        </w:tc>
        <w:tc>
          <w:tcPr>
            <w:tcW w:w="2843"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45</w:t>
            </w:r>
          </w:p>
        </w:tc>
      </w:tr>
    </w:tbl>
    <w:p>
      <w:pPr>
        <w:bidi w:val="0"/>
        <w:rPr>
          <w:color w:val="auto"/>
        </w:rPr>
      </w:pPr>
      <w:r>
        <w:rPr>
          <w:color w:val="auto"/>
        </w:rPr>
        <w:t>（4）固废</w:t>
      </w:r>
    </w:p>
    <w:p>
      <w:pPr>
        <w:bidi w:val="0"/>
        <w:rPr>
          <w:color w:val="auto"/>
        </w:rPr>
      </w:pPr>
      <w:r>
        <w:rPr>
          <w:color w:val="auto"/>
        </w:rPr>
        <w:t>①医疗垃圾、实验废液、废活性炭、废滤芯属于危险废物，执行《关于危险废物转移联单管理办法》、《危险废物贮存污染控制标准》（GB18597-2001）（2013修订）等有关规定；</w:t>
      </w:r>
    </w:p>
    <w:p>
      <w:pPr>
        <w:bidi w:val="0"/>
        <w:rPr>
          <w:color w:val="auto"/>
        </w:rPr>
      </w:pPr>
      <w:r>
        <w:rPr>
          <w:color w:val="auto"/>
        </w:rPr>
        <w:t>②</w:t>
      </w:r>
      <w:r>
        <w:rPr>
          <w:rFonts w:hint="eastAsia" w:ascii="Times New Roman" w:eastAsia="宋体"/>
          <w:color w:val="auto"/>
          <w:lang w:val="en-US" w:eastAsia="zh-CN"/>
        </w:rPr>
        <w:t>本项目排放的一般固体废物执行《一般工业固体废物贮存和填埋污染控制标准》（</w:t>
      </w:r>
      <w:r>
        <w:rPr>
          <w:rFonts w:hint="default"/>
          <w:color w:val="auto"/>
          <w:lang w:val="en-US" w:eastAsia="zh-CN"/>
        </w:rPr>
        <w:t>GB18599-2020</w:t>
      </w:r>
      <w:r>
        <w:rPr>
          <w:rFonts w:hint="eastAsia" w:ascii="Times New Roman" w:eastAsia="宋体"/>
          <w:color w:val="auto"/>
          <w:lang w:val="en-US" w:eastAsia="zh-CN"/>
        </w:rPr>
        <w:t>）要求，“在固体废物的产生、收集、运输、利用、处理、处置过程中，必须严格控制”。</w:t>
      </w:r>
    </w:p>
    <w:p>
      <w:pPr>
        <w:bidi w:val="0"/>
        <w:rPr>
          <w:rFonts w:hint="eastAsia"/>
          <w:color w:val="auto"/>
          <w:lang w:eastAsia="zh-CN"/>
        </w:rPr>
      </w:pPr>
      <w:r>
        <w:rPr>
          <w:color w:val="auto"/>
        </w:rPr>
        <w:t>③污水处理设施产生的少量污泥属于危废，应按危险废物进行处理和处置。污泥清掏前应进行监测，执行《</w:t>
      </w:r>
      <w:r>
        <w:rPr>
          <w:rFonts w:hint="eastAsia" w:eastAsia="宋体"/>
          <w:color w:val="auto"/>
          <w:lang w:eastAsia="zh-CN"/>
        </w:rPr>
        <w:t>医疗机构水污染物排放标准</w:t>
      </w:r>
      <w:r>
        <w:rPr>
          <w:color w:val="auto"/>
        </w:rPr>
        <w:t>》（GB18466-2005）</w:t>
      </w:r>
      <w:r>
        <w:rPr>
          <w:rFonts w:hint="eastAsia" w:ascii="Times New Roman" w:eastAsia="宋体"/>
          <w:color w:val="auto"/>
          <w:lang w:val="en-US" w:eastAsia="zh-CN"/>
        </w:rPr>
        <w:t>中表4</w:t>
      </w:r>
      <w:r>
        <w:rPr>
          <w:color w:val="auto"/>
        </w:rPr>
        <w:t>医疗机构污泥控制标准，详见表2.</w:t>
      </w:r>
      <w:r>
        <w:rPr>
          <w:rFonts w:hint="eastAsia" w:ascii="Times New Roman" w:eastAsia="宋体"/>
          <w:color w:val="auto"/>
          <w:lang w:val="en-US" w:eastAsia="zh-CN"/>
        </w:rPr>
        <w:t>5</w:t>
      </w:r>
      <w:r>
        <w:rPr>
          <w:color w:val="auto"/>
        </w:rPr>
        <w:t>-</w:t>
      </w:r>
      <w:r>
        <w:rPr>
          <w:rFonts w:hint="eastAsia"/>
          <w:color w:val="auto"/>
          <w:lang w:val="en-US" w:eastAsia="zh-CN"/>
        </w:rPr>
        <w:t>8</w:t>
      </w:r>
    </w:p>
    <w:p>
      <w:pPr>
        <w:pStyle w:val="22"/>
        <w:bidi w:val="0"/>
        <w:jc w:val="center"/>
        <w:rPr>
          <w:b/>
          <w:color w:val="auto"/>
          <w:sz w:val="6"/>
        </w:rPr>
      </w:pPr>
      <w:r>
        <w:rPr>
          <w:b/>
          <w:bCs/>
          <w:color w:val="auto"/>
        </w:rPr>
        <w:t>表</w:t>
      </w:r>
      <w:r>
        <w:rPr>
          <w:rFonts w:hint="eastAsia"/>
          <w:b/>
          <w:bCs/>
          <w:color w:val="auto"/>
          <w:lang w:val="en-US" w:eastAsia="zh-CN"/>
        </w:rPr>
        <w:t>2.5-8</w:t>
      </w:r>
      <w:r>
        <w:rPr>
          <w:b/>
          <w:bCs/>
          <w:color w:val="auto"/>
        </w:rPr>
        <w:t>污水处理站污泥排放标准</w:t>
      </w:r>
    </w:p>
    <w:tbl>
      <w:tblPr>
        <w:tblStyle w:val="18"/>
        <w:tblW w:w="90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61"/>
        <w:gridCol w:w="1417"/>
        <w:gridCol w:w="1282"/>
        <w:gridCol w:w="2278"/>
        <w:gridCol w:w="1282"/>
        <w:gridCol w:w="11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jc w:val="center"/>
        </w:trPr>
        <w:tc>
          <w:tcPr>
            <w:tcW w:w="1661" w:type="dxa"/>
            <w:tcBorders>
              <w:tl2br w:val="nil"/>
              <w:tr2bl w:val="nil"/>
            </w:tcBorders>
            <w:noWrap w:val="0"/>
            <w:vAlign w:val="center"/>
          </w:tcPr>
          <w:p>
            <w:pPr>
              <w:pStyle w:val="22"/>
              <w:bidi w:val="0"/>
              <w:jc w:val="center"/>
              <w:rPr>
                <w:b/>
                <w:bCs/>
                <w:color w:val="auto"/>
              </w:rPr>
            </w:pPr>
            <w:r>
              <w:rPr>
                <w:b/>
                <w:bCs/>
                <w:color w:val="auto"/>
              </w:rPr>
              <w:t>标准号</w:t>
            </w:r>
          </w:p>
        </w:tc>
        <w:tc>
          <w:tcPr>
            <w:tcW w:w="1417" w:type="dxa"/>
            <w:tcBorders>
              <w:tl2br w:val="nil"/>
              <w:tr2bl w:val="nil"/>
            </w:tcBorders>
            <w:noWrap w:val="0"/>
            <w:vAlign w:val="center"/>
          </w:tcPr>
          <w:p>
            <w:pPr>
              <w:pStyle w:val="22"/>
              <w:bidi w:val="0"/>
              <w:jc w:val="center"/>
              <w:rPr>
                <w:b/>
                <w:bCs/>
                <w:color w:val="auto"/>
              </w:rPr>
            </w:pPr>
            <w:r>
              <w:rPr>
                <w:b/>
                <w:bCs/>
                <w:color w:val="auto"/>
              </w:rPr>
              <w:t>排放标准</w:t>
            </w:r>
          </w:p>
        </w:tc>
        <w:tc>
          <w:tcPr>
            <w:tcW w:w="1282" w:type="dxa"/>
            <w:tcBorders>
              <w:tl2br w:val="nil"/>
              <w:tr2bl w:val="nil"/>
            </w:tcBorders>
            <w:noWrap w:val="0"/>
            <w:vAlign w:val="center"/>
          </w:tcPr>
          <w:p>
            <w:pPr>
              <w:pStyle w:val="22"/>
              <w:bidi w:val="0"/>
              <w:jc w:val="center"/>
              <w:rPr>
                <w:b/>
                <w:bCs/>
                <w:color w:val="auto"/>
              </w:rPr>
            </w:pPr>
            <w:r>
              <w:rPr>
                <w:b/>
                <w:bCs/>
                <w:color w:val="auto"/>
              </w:rPr>
              <w:t>类别</w:t>
            </w:r>
          </w:p>
        </w:tc>
        <w:tc>
          <w:tcPr>
            <w:tcW w:w="2278" w:type="dxa"/>
            <w:tcBorders>
              <w:tl2br w:val="nil"/>
              <w:tr2bl w:val="nil"/>
            </w:tcBorders>
            <w:noWrap w:val="0"/>
            <w:vAlign w:val="center"/>
          </w:tcPr>
          <w:p>
            <w:pPr>
              <w:pStyle w:val="22"/>
              <w:bidi w:val="0"/>
              <w:jc w:val="center"/>
              <w:rPr>
                <w:b/>
                <w:bCs/>
                <w:color w:val="auto"/>
              </w:rPr>
            </w:pPr>
            <w:r>
              <w:rPr>
                <w:b/>
                <w:bCs/>
                <w:color w:val="auto"/>
              </w:rPr>
              <w:t>控制项目</w:t>
            </w:r>
          </w:p>
        </w:tc>
        <w:tc>
          <w:tcPr>
            <w:tcW w:w="1282" w:type="dxa"/>
            <w:tcBorders>
              <w:tl2br w:val="nil"/>
              <w:tr2bl w:val="nil"/>
            </w:tcBorders>
            <w:noWrap w:val="0"/>
            <w:vAlign w:val="center"/>
          </w:tcPr>
          <w:p>
            <w:pPr>
              <w:pStyle w:val="22"/>
              <w:bidi w:val="0"/>
              <w:jc w:val="center"/>
              <w:rPr>
                <w:b/>
                <w:bCs/>
                <w:color w:val="auto"/>
              </w:rPr>
            </w:pPr>
            <w:r>
              <w:rPr>
                <w:b/>
                <w:bCs/>
                <w:color w:val="auto"/>
              </w:rPr>
              <w:t>排放限值</w:t>
            </w:r>
          </w:p>
        </w:tc>
        <w:tc>
          <w:tcPr>
            <w:tcW w:w="1156" w:type="dxa"/>
            <w:tcBorders>
              <w:tl2br w:val="nil"/>
              <w:tr2bl w:val="nil"/>
            </w:tcBorders>
            <w:noWrap w:val="0"/>
            <w:vAlign w:val="center"/>
          </w:tcPr>
          <w:p>
            <w:pPr>
              <w:pStyle w:val="22"/>
              <w:bidi w:val="0"/>
              <w:jc w:val="center"/>
              <w:rPr>
                <w:b/>
                <w:bCs/>
                <w:color w:val="auto"/>
              </w:rPr>
            </w:pPr>
            <w:r>
              <w:rPr>
                <w:b/>
                <w:bCs/>
                <w:color w:val="auto"/>
              </w:rPr>
              <w:t>评价对象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661" w:type="dxa"/>
            <w:vMerge w:val="restart"/>
            <w:tcBorders>
              <w:tl2br w:val="nil"/>
              <w:tr2bl w:val="nil"/>
            </w:tcBorders>
            <w:noWrap w:val="0"/>
            <w:vAlign w:val="center"/>
          </w:tcPr>
          <w:p>
            <w:pPr>
              <w:pStyle w:val="22"/>
              <w:bidi w:val="0"/>
              <w:jc w:val="center"/>
              <w:rPr>
                <w:color w:val="auto"/>
              </w:rPr>
            </w:pPr>
            <w:r>
              <w:rPr>
                <w:color w:val="auto"/>
              </w:rPr>
              <w:t>GB18466—2005</w:t>
            </w:r>
          </w:p>
        </w:tc>
        <w:tc>
          <w:tcPr>
            <w:tcW w:w="1417" w:type="dxa"/>
            <w:vMerge w:val="restart"/>
            <w:tcBorders>
              <w:tl2br w:val="nil"/>
              <w:tr2bl w:val="nil"/>
            </w:tcBorders>
            <w:noWrap w:val="0"/>
            <w:vAlign w:val="center"/>
          </w:tcPr>
          <w:p>
            <w:pPr>
              <w:pStyle w:val="22"/>
              <w:bidi w:val="0"/>
              <w:jc w:val="center"/>
              <w:rPr>
                <w:color w:val="auto"/>
              </w:rPr>
            </w:pPr>
            <w:r>
              <w:rPr>
                <w:color w:val="auto"/>
              </w:rPr>
              <w:t>《医疗机构水污染物</w:t>
            </w:r>
          </w:p>
          <w:p>
            <w:pPr>
              <w:pStyle w:val="22"/>
              <w:bidi w:val="0"/>
              <w:jc w:val="center"/>
              <w:rPr>
                <w:color w:val="auto"/>
              </w:rPr>
            </w:pPr>
            <w:r>
              <w:rPr>
                <w:color w:val="auto"/>
              </w:rPr>
              <w:t>排放标准》</w:t>
            </w:r>
          </w:p>
        </w:tc>
        <w:tc>
          <w:tcPr>
            <w:tcW w:w="1282" w:type="dxa"/>
            <w:vMerge w:val="restart"/>
            <w:tcBorders>
              <w:tl2br w:val="nil"/>
              <w:tr2bl w:val="nil"/>
            </w:tcBorders>
            <w:noWrap w:val="0"/>
            <w:vAlign w:val="center"/>
          </w:tcPr>
          <w:p>
            <w:pPr>
              <w:pStyle w:val="22"/>
              <w:bidi w:val="0"/>
              <w:jc w:val="center"/>
              <w:rPr>
                <w:color w:val="auto"/>
              </w:rPr>
            </w:pPr>
            <w:r>
              <w:rPr>
                <w:color w:val="auto"/>
              </w:rPr>
              <w:t>综合医疗机构及其他医</w:t>
            </w:r>
          </w:p>
          <w:p>
            <w:pPr>
              <w:pStyle w:val="22"/>
              <w:bidi w:val="0"/>
              <w:jc w:val="center"/>
              <w:rPr>
                <w:color w:val="auto"/>
              </w:rPr>
            </w:pPr>
            <w:r>
              <w:rPr>
                <w:color w:val="auto"/>
              </w:rPr>
              <w:t>疗机构</w:t>
            </w:r>
          </w:p>
        </w:tc>
        <w:tc>
          <w:tcPr>
            <w:tcW w:w="2278" w:type="dxa"/>
            <w:tcBorders>
              <w:tl2br w:val="nil"/>
              <w:tr2bl w:val="nil"/>
            </w:tcBorders>
            <w:noWrap w:val="0"/>
            <w:vAlign w:val="center"/>
          </w:tcPr>
          <w:p>
            <w:pPr>
              <w:pStyle w:val="22"/>
              <w:bidi w:val="0"/>
              <w:jc w:val="center"/>
              <w:rPr>
                <w:color w:val="auto"/>
              </w:rPr>
            </w:pPr>
            <w:r>
              <w:rPr>
                <w:color w:val="auto"/>
              </w:rPr>
              <w:t>粪大肠菌群</w:t>
            </w:r>
          </w:p>
        </w:tc>
        <w:tc>
          <w:tcPr>
            <w:tcW w:w="1282" w:type="dxa"/>
            <w:tcBorders>
              <w:tl2br w:val="nil"/>
              <w:tr2bl w:val="nil"/>
            </w:tcBorders>
            <w:noWrap w:val="0"/>
            <w:vAlign w:val="center"/>
          </w:tcPr>
          <w:p>
            <w:pPr>
              <w:pStyle w:val="22"/>
              <w:bidi w:val="0"/>
              <w:jc w:val="center"/>
              <w:rPr>
                <w:color w:val="auto"/>
              </w:rPr>
            </w:pPr>
            <w:r>
              <w:rPr>
                <w:color w:val="auto"/>
              </w:rPr>
              <w:t>≤100MPN/g</w:t>
            </w:r>
          </w:p>
        </w:tc>
        <w:tc>
          <w:tcPr>
            <w:tcW w:w="1156" w:type="dxa"/>
            <w:vMerge w:val="restart"/>
            <w:tcBorders>
              <w:tl2br w:val="nil"/>
              <w:tr2bl w:val="nil"/>
            </w:tcBorders>
            <w:noWrap w:val="0"/>
            <w:vAlign w:val="center"/>
          </w:tcPr>
          <w:p>
            <w:pPr>
              <w:pStyle w:val="22"/>
              <w:bidi w:val="0"/>
              <w:jc w:val="center"/>
              <w:rPr>
                <w:color w:val="auto"/>
              </w:rPr>
            </w:pPr>
            <w:r>
              <w:rPr>
                <w:color w:val="auto"/>
              </w:rPr>
              <w:t>污水处理站污泥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jc w:val="center"/>
        </w:trPr>
        <w:tc>
          <w:tcPr>
            <w:tcW w:w="1661" w:type="dxa"/>
            <w:vMerge w:val="continue"/>
            <w:tcBorders>
              <w:tl2br w:val="nil"/>
              <w:tr2bl w:val="nil"/>
            </w:tcBorders>
            <w:noWrap w:val="0"/>
            <w:vAlign w:val="center"/>
          </w:tcPr>
          <w:p>
            <w:pPr>
              <w:pStyle w:val="22"/>
              <w:bidi w:val="0"/>
              <w:jc w:val="center"/>
              <w:rPr>
                <w:color w:val="auto"/>
              </w:rPr>
            </w:pPr>
          </w:p>
        </w:tc>
        <w:tc>
          <w:tcPr>
            <w:tcW w:w="1417" w:type="dxa"/>
            <w:vMerge w:val="continue"/>
            <w:tcBorders>
              <w:tl2br w:val="nil"/>
              <w:tr2bl w:val="nil"/>
            </w:tcBorders>
            <w:noWrap w:val="0"/>
            <w:vAlign w:val="center"/>
          </w:tcPr>
          <w:p>
            <w:pPr>
              <w:pStyle w:val="22"/>
              <w:bidi w:val="0"/>
              <w:jc w:val="center"/>
              <w:rPr>
                <w:color w:val="auto"/>
              </w:rPr>
            </w:pPr>
          </w:p>
        </w:tc>
        <w:tc>
          <w:tcPr>
            <w:tcW w:w="1282" w:type="dxa"/>
            <w:vMerge w:val="continue"/>
            <w:tcBorders>
              <w:tl2br w:val="nil"/>
              <w:tr2bl w:val="nil"/>
            </w:tcBorders>
            <w:noWrap w:val="0"/>
            <w:vAlign w:val="center"/>
          </w:tcPr>
          <w:p>
            <w:pPr>
              <w:pStyle w:val="22"/>
              <w:bidi w:val="0"/>
              <w:jc w:val="center"/>
              <w:rPr>
                <w:color w:val="auto"/>
              </w:rPr>
            </w:pPr>
          </w:p>
        </w:tc>
        <w:tc>
          <w:tcPr>
            <w:tcW w:w="2278" w:type="dxa"/>
            <w:tcBorders>
              <w:tl2br w:val="nil"/>
              <w:tr2bl w:val="nil"/>
            </w:tcBorders>
            <w:noWrap w:val="0"/>
            <w:vAlign w:val="center"/>
          </w:tcPr>
          <w:p>
            <w:pPr>
              <w:pStyle w:val="22"/>
              <w:bidi w:val="0"/>
              <w:jc w:val="center"/>
              <w:rPr>
                <w:color w:val="auto"/>
              </w:rPr>
            </w:pPr>
            <w:r>
              <w:rPr>
                <w:color w:val="auto"/>
              </w:rPr>
              <w:t>蛔虫卵死亡率</w:t>
            </w:r>
          </w:p>
        </w:tc>
        <w:tc>
          <w:tcPr>
            <w:tcW w:w="1282" w:type="dxa"/>
            <w:tcBorders>
              <w:tl2br w:val="nil"/>
              <w:tr2bl w:val="nil"/>
            </w:tcBorders>
            <w:noWrap w:val="0"/>
            <w:vAlign w:val="center"/>
          </w:tcPr>
          <w:p>
            <w:pPr>
              <w:pStyle w:val="22"/>
              <w:bidi w:val="0"/>
              <w:jc w:val="center"/>
              <w:rPr>
                <w:color w:val="auto"/>
              </w:rPr>
            </w:pPr>
            <w:r>
              <w:rPr>
                <w:color w:val="auto"/>
              </w:rPr>
              <w:t>95%</w:t>
            </w:r>
          </w:p>
        </w:tc>
        <w:tc>
          <w:tcPr>
            <w:tcW w:w="1156" w:type="dxa"/>
            <w:vMerge w:val="continue"/>
            <w:tcBorders>
              <w:tl2br w:val="nil"/>
              <w:tr2bl w:val="nil"/>
            </w:tcBorders>
            <w:noWrap w:val="0"/>
            <w:vAlign w:val="center"/>
          </w:tcPr>
          <w:p>
            <w:pPr>
              <w:pStyle w:val="22"/>
              <w:bidi w:val="0"/>
              <w:jc w:val="center"/>
              <w:rPr>
                <w:color w:val="auto"/>
              </w:rPr>
            </w:pPr>
          </w:p>
        </w:tc>
      </w:tr>
    </w:tbl>
    <w:p>
      <w:pPr>
        <w:pStyle w:val="5"/>
        <w:bidi w:val="0"/>
        <w:outlineLvl w:val="0"/>
        <w:rPr>
          <w:rFonts w:hint="default"/>
          <w:color w:val="auto"/>
          <w:lang w:val="en-US" w:eastAsia="zh-CN"/>
        </w:rPr>
      </w:pPr>
      <w:bookmarkStart w:id="22" w:name="_Toc7960"/>
      <w:r>
        <w:rPr>
          <w:rFonts w:hint="eastAsia"/>
          <w:color w:val="auto"/>
          <w:lang w:val="en-US" w:eastAsia="zh-CN"/>
        </w:rPr>
        <w:t>2.6评价工作等级</w:t>
      </w:r>
      <w:bookmarkEnd w:id="22"/>
    </w:p>
    <w:p>
      <w:pPr>
        <w:pStyle w:val="5"/>
        <w:bidi w:val="0"/>
        <w:rPr>
          <w:color w:val="auto"/>
          <w:sz w:val="24"/>
          <w:szCs w:val="24"/>
        </w:rPr>
      </w:pPr>
      <w:bookmarkStart w:id="23" w:name="_Toc4701"/>
      <w:r>
        <w:rPr>
          <w:rFonts w:hint="eastAsia"/>
          <w:color w:val="auto"/>
          <w:sz w:val="24"/>
          <w:szCs w:val="24"/>
          <w:lang w:val="en-US" w:eastAsia="zh-CN"/>
        </w:rPr>
        <w:t>2.6.1</w:t>
      </w:r>
      <w:r>
        <w:rPr>
          <w:color w:val="auto"/>
          <w:sz w:val="24"/>
          <w:szCs w:val="24"/>
        </w:rPr>
        <w:t>大气环境评价等级</w:t>
      </w:r>
      <w:bookmarkEnd w:id="23"/>
    </w:p>
    <w:p>
      <w:pPr>
        <w:bidi w:val="0"/>
        <w:rPr>
          <w:color w:val="auto"/>
          <w:highlight w:val="none"/>
        </w:rPr>
      </w:pPr>
      <w:r>
        <w:rPr>
          <w:rFonts w:hint="eastAsia"/>
          <w:color w:val="auto"/>
          <w:highlight w:val="none"/>
          <w:lang w:val="en-US" w:eastAsia="zh-CN"/>
        </w:rPr>
        <w:t>根据</w:t>
      </w:r>
      <w:r>
        <w:rPr>
          <w:rFonts w:hint="default"/>
          <w:color w:val="auto"/>
          <w:highlight w:val="none"/>
          <w:lang w:val="en-US" w:eastAsia="zh-CN"/>
        </w:rPr>
        <w:t>HJ2.2-2018</w:t>
      </w:r>
      <w:r>
        <w:rPr>
          <w:rFonts w:hint="eastAsia"/>
          <w:color w:val="auto"/>
          <w:highlight w:val="none"/>
          <w:lang w:val="en-US" w:eastAsia="zh-CN"/>
        </w:rPr>
        <w:t>《环境影响评价技术导则大气环境》规定，选择推荐模式中的</w:t>
      </w:r>
      <w:r>
        <w:rPr>
          <w:rFonts w:hint="default"/>
          <w:color w:val="auto"/>
          <w:highlight w:val="none"/>
          <w:lang w:val="en-US" w:eastAsia="zh-CN"/>
        </w:rPr>
        <w:t>AERSCREEN</w:t>
      </w:r>
      <w:r>
        <w:rPr>
          <w:rFonts w:hint="eastAsia"/>
          <w:color w:val="auto"/>
          <w:highlight w:val="none"/>
          <w:lang w:val="en-US" w:eastAsia="zh-CN"/>
        </w:rPr>
        <w:t>对项目的大气环境评价工作进行分级。</w:t>
      </w:r>
    </w:p>
    <w:p>
      <w:pPr>
        <w:bidi w:val="0"/>
        <w:rPr>
          <w:color w:val="auto"/>
          <w:highlight w:val="none"/>
        </w:rPr>
      </w:pPr>
      <w:r>
        <w:rPr>
          <w:rFonts w:hint="eastAsia"/>
          <w:color w:val="auto"/>
          <w:highlight w:val="none"/>
          <w:lang w:val="en-US" w:eastAsia="zh-CN"/>
        </w:rPr>
        <w:t>根据项目污染源初步调查结果，分别计算项目排放主要污染物的最大地面空气质量浓度占标率</w:t>
      </w:r>
      <w:r>
        <w:rPr>
          <w:rFonts w:hint="default"/>
          <w:color w:val="auto"/>
          <w:highlight w:val="none"/>
          <w:lang w:val="en-US" w:eastAsia="zh-CN"/>
        </w:rPr>
        <w:t>Pi</w:t>
      </w:r>
      <w:r>
        <w:rPr>
          <w:rFonts w:hint="eastAsia"/>
          <w:color w:val="auto"/>
          <w:highlight w:val="none"/>
          <w:lang w:val="en-US" w:eastAsia="zh-CN"/>
        </w:rPr>
        <w:t>（第</w:t>
      </w:r>
      <w:r>
        <w:rPr>
          <w:rFonts w:hint="default"/>
          <w:color w:val="auto"/>
          <w:highlight w:val="none"/>
          <w:lang w:val="en-US" w:eastAsia="zh-CN"/>
        </w:rPr>
        <w:t>i</w:t>
      </w:r>
      <w:r>
        <w:rPr>
          <w:rFonts w:hint="eastAsia"/>
          <w:color w:val="auto"/>
          <w:highlight w:val="none"/>
          <w:lang w:val="en-US" w:eastAsia="zh-CN"/>
        </w:rPr>
        <w:t>个污染物，简称“最大浓度占标率”），及第</w:t>
      </w:r>
      <w:r>
        <w:rPr>
          <w:rFonts w:hint="default"/>
          <w:color w:val="auto"/>
          <w:highlight w:val="none"/>
          <w:lang w:val="en-US" w:eastAsia="zh-CN"/>
        </w:rPr>
        <w:t>i</w:t>
      </w:r>
      <w:r>
        <w:rPr>
          <w:rFonts w:hint="eastAsia"/>
          <w:color w:val="auto"/>
          <w:highlight w:val="none"/>
          <w:lang w:val="en-US" w:eastAsia="zh-CN"/>
        </w:rPr>
        <w:t>个污染物的地面空气质量浓度达到标准值的</w:t>
      </w:r>
      <w:r>
        <w:rPr>
          <w:rFonts w:hint="default"/>
          <w:color w:val="auto"/>
          <w:highlight w:val="none"/>
          <w:lang w:val="en-US" w:eastAsia="zh-CN"/>
        </w:rPr>
        <w:t>10%</w:t>
      </w:r>
      <w:r>
        <w:rPr>
          <w:rFonts w:hint="eastAsia"/>
          <w:color w:val="auto"/>
          <w:highlight w:val="none"/>
          <w:lang w:val="en-US" w:eastAsia="zh-CN"/>
        </w:rPr>
        <w:t>时所对应的最远距离</w:t>
      </w:r>
      <w:r>
        <w:rPr>
          <w:rFonts w:hint="default"/>
          <w:color w:val="auto"/>
          <w:highlight w:val="none"/>
          <w:lang w:val="en-US" w:eastAsia="zh-CN"/>
        </w:rPr>
        <w:t>D10%</w:t>
      </w:r>
      <w:r>
        <w:rPr>
          <w:rFonts w:hint="eastAsia"/>
          <w:color w:val="auto"/>
          <w:highlight w:val="none"/>
          <w:lang w:val="en-US" w:eastAsia="zh-CN"/>
        </w:rPr>
        <w:t>。其中</w:t>
      </w:r>
      <w:r>
        <w:rPr>
          <w:rFonts w:hint="default"/>
          <w:color w:val="auto"/>
          <w:highlight w:val="none"/>
          <w:lang w:val="en-US" w:eastAsia="zh-CN"/>
        </w:rPr>
        <w:t>Pi</w:t>
      </w:r>
      <w:r>
        <w:rPr>
          <w:rFonts w:hint="eastAsia"/>
          <w:color w:val="auto"/>
          <w:highlight w:val="none"/>
          <w:lang w:val="en-US" w:eastAsia="zh-CN"/>
        </w:rPr>
        <w:t>定义见公式：</w:t>
      </w:r>
    </w:p>
    <w:p>
      <w:pPr>
        <w:bidi w:val="0"/>
        <w:jc w:val="center"/>
        <w:rPr>
          <w:rFonts w:hint="eastAsia"/>
          <w:color w:val="auto"/>
          <w:highlight w:val="none"/>
          <w:lang w:val="en-US" w:eastAsia="zh-CN"/>
        </w:rPr>
      </w:pPr>
      <w:r>
        <w:rPr>
          <w:rFonts w:hint="eastAsia"/>
          <w:color w:val="auto"/>
          <w:highlight w:val="none"/>
        </w:rPr>
        <w:t>Pi=Ci/Coi×100%</w:t>
      </w:r>
    </w:p>
    <w:p>
      <w:pPr>
        <w:bidi w:val="0"/>
        <w:rPr>
          <w:color w:val="auto"/>
          <w:highlight w:val="none"/>
        </w:rPr>
      </w:pPr>
      <w:r>
        <w:rPr>
          <w:rFonts w:hint="eastAsia"/>
          <w:color w:val="auto"/>
          <w:highlight w:val="none"/>
          <w:lang w:val="en-US" w:eastAsia="zh-CN"/>
        </w:rPr>
        <w:t>式中：</w:t>
      </w:r>
      <w:r>
        <w:rPr>
          <w:rFonts w:hint="default"/>
          <w:color w:val="auto"/>
          <w:highlight w:val="none"/>
          <w:lang w:val="en-US" w:eastAsia="zh-CN"/>
        </w:rPr>
        <w:t>Pi</w:t>
      </w:r>
      <w:r>
        <w:rPr>
          <w:rFonts w:hint="eastAsia"/>
          <w:color w:val="auto"/>
          <w:highlight w:val="none"/>
          <w:lang w:val="en-US" w:eastAsia="zh-CN"/>
        </w:rPr>
        <w:t>—第</w:t>
      </w:r>
      <w:r>
        <w:rPr>
          <w:rFonts w:hint="default"/>
          <w:color w:val="auto"/>
          <w:highlight w:val="none"/>
          <w:lang w:val="en-US" w:eastAsia="zh-CN"/>
        </w:rPr>
        <w:t>i</w:t>
      </w:r>
      <w:r>
        <w:rPr>
          <w:rFonts w:hint="eastAsia"/>
          <w:color w:val="auto"/>
          <w:highlight w:val="none"/>
          <w:lang w:val="en-US" w:eastAsia="zh-CN"/>
        </w:rPr>
        <w:t>个污染物的最大地面浓度占标率，</w:t>
      </w:r>
      <w:r>
        <w:rPr>
          <w:rFonts w:hint="default"/>
          <w:color w:val="auto"/>
          <w:highlight w:val="none"/>
          <w:lang w:val="en-US" w:eastAsia="zh-CN"/>
        </w:rPr>
        <w:t>%</w:t>
      </w:r>
      <w:r>
        <w:rPr>
          <w:rFonts w:hint="eastAsia"/>
          <w:color w:val="auto"/>
          <w:highlight w:val="none"/>
          <w:lang w:val="en-US" w:eastAsia="zh-CN"/>
        </w:rPr>
        <w:t>；</w:t>
      </w:r>
    </w:p>
    <w:p>
      <w:pPr>
        <w:bidi w:val="0"/>
        <w:rPr>
          <w:color w:val="auto"/>
          <w:highlight w:val="none"/>
        </w:rPr>
      </w:pPr>
      <w:r>
        <w:rPr>
          <w:rFonts w:hint="default"/>
          <w:color w:val="auto"/>
          <w:highlight w:val="none"/>
          <w:lang w:val="en-US" w:eastAsia="zh-CN"/>
        </w:rPr>
        <w:t>Ci</w:t>
      </w:r>
      <w:r>
        <w:rPr>
          <w:rFonts w:hint="eastAsia"/>
          <w:color w:val="auto"/>
          <w:highlight w:val="none"/>
          <w:lang w:val="en-US" w:eastAsia="zh-CN"/>
        </w:rPr>
        <w:t>—采用估算模型计算出的第</w:t>
      </w:r>
      <w:r>
        <w:rPr>
          <w:rFonts w:hint="default"/>
          <w:color w:val="auto"/>
          <w:highlight w:val="none"/>
          <w:lang w:val="en-US" w:eastAsia="zh-CN"/>
        </w:rPr>
        <w:t>i</w:t>
      </w:r>
      <w:r>
        <w:rPr>
          <w:rFonts w:hint="eastAsia"/>
          <w:color w:val="auto"/>
          <w:highlight w:val="none"/>
          <w:lang w:val="en-US" w:eastAsia="zh-CN"/>
        </w:rPr>
        <w:t>个污染物的最大</w:t>
      </w:r>
      <w:r>
        <w:rPr>
          <w:rFonts w:hint="default"/>
          <w:color w:val="auto"/>
          <w:highlight w:val="none"/>
          <w:lang w:val="en-US" w:eastAsia="zh-CN"/>
        </w:rPr>
        <w:t>1h</w:t>
      </w:r>
      <w:r>
        <w:rPr>
          <w:rFonts w:hint="eastAsia"/>
          <w:color w:val="auto"/>
          <w:highlight w:val="none"/>
          <w:lang w:val="en-US" w:eastAsia="zh-CN"/>
        </w:rPr>
        <w:t>地面空气质量浓度，</w:t>
      </w:r>
      <w:r>
        <w:rPr>
          <w:rFonts w:hint="default"/>
          <w:color w:val="auto"/>
          <w:highlight w:val="none"/>
          <w:lang w:val="en-US" w:eastAsia="zh-CN"/>
        </w:rPr>
        <w:t>ug/</w:t>
      </w:r>
      <w:r>
        <w:rPr>
          <w:color w:val="auto"/>
          <w:highlight w:val="none"/>
        </w:rPr>
        <w:t>m</w:t>
      </w:r>
      <w:r>
        <w:rPr>
          <w:color w:val="auto"/>
          <w:highlight w:val="none"/>
          <w:vertAlign w:val="superscript"/>
        </w:rPr>
        <w:t>3</w:t>
      </w:r>
      <w:r>
        <w:rPr>
          <w:rFonts w:hint="eastAsia"/>
          <w:color w:val="auto"/>
          <w:highlight w:val="none"/>
          <w:lang w:val="en-US" w:eastAsia="zh-CN"/>
        </w:rPr>
        <w:t>；</w:t>
      </w:r>
    </w:p>
    <w:p>
      <w:pPr>
        <w:bidi w:val="0"/>
        <w:rPr>
          <w:color w:val="auto"/>
          <w:highlight w:val="none"/>
        </w:rPr>
      </w:pPr>
      <w:r>
        <w:rPr>
          <w:rFonts w:hint="default"/>
          <w:color w:val="auto"/>
          <w:highlight w:val="none"/>
          <w:lang w:val="en-US" w:eastAsia="zh-CN"/>
        </w:rPr>
        <w:t>C0i</w:t>
      </w:r>
      <w:r>
        <w:rPr>
          <w:rFonts w:hint="eastAsia"/>
          <w:color w:val="auto"/>
          <w:highlight w:val="none"/>
          <w:lang w:val="en-US" w:eastAsia="zh-CN"/>
        </w:rPr>
        <w:t>—第</w:t>
      </w:r>
      <w:r>
        <w:rPr>
          <w:rFonts w:hint="default"/>
          <w:color w:val="auto"/>
          <w:highlight w:val="none"/>
          <w:lang w:val="en-US" w:eastAsia="zh-CN"/>
        </w:rPr>
        <w:t>i</w:t>
      </w:r>
      <w:r>
        <w:rPr>
          <w:rFonts w:hint="eastAsia"/>
          <w:color w:val="auto"/>
          <w:highlight w:val="none"/>
          <w:lang w:val="en-US" w:eastAsia="zh-CN"/>
        </w:rPr>
        <w:t>个污染物的环境空气质量浓度标准，</w:t>
      </w:r>
      <w:r>
        <w:rPr>
          <w:rFonts w:hint="default"/>
          <w:color w:val="auto"/>
          <w:highlight w:val="none"/>
          <w:lang w:val="en-US" w:eastAsia="zh-CN"/>
        </w:rPr>
        <w:t>ug/m</w:t>
      </w:r>
      <w:r>
        <w:rPr>
          <w:rFonts w:hint="eastAsia"/>
          <w:color w:val="auto"/>
          <w:highlight w:val="none"/>
          <w:vertAlign w:val="superscript"/>
          <w:lang w:val="en-US" w:eastAsia="zh-CN"/>
        </w:rPr>
        <w:t>3</w:t>
      </w:r>
      <w:r>
        <w:rPr>
          <w:rFonts w:hint="eastAsia"/>
          <w:color w:val="auto"/>
          <w:highlight w:val="none"/>
          <w:lang w:val="en-US" w:eastAsia="zh-CN"/>
        </w:rPr>
        <w:t>。一般选用</w:t>
      </w:r>
      <w:r>
        <w:rPr>
          <w:rFonts w:hint="default"/>
          <w:color w:val="auto"/>
          <w:highlight w:val="none"/>
          <w:lang w:val="en-US" w:eastAsia="zh-CN"/>
        </w:rPr>
        <w:t>GB3095</w:t>
      </w:r>
      <w:r>
        <w:rPr>
          <w:rFonts w:hint="eastAsia"/>
          <w:color w:val="auto"/>
          <w:highlight w:val="none"/>
          <w:lang w:val="en-US" w:eastAsia="zh-CN"/>
        </w:rPr>
        <w:t>中</w:t>
      </w:r>
      <w:r>
        <w:rPr>
          <w:rFonts w:hint="default"/>
          <w:color w:val="auto"/>
          <w:highlight w:val="none"/>
          <w:lang w:val="en-US" w:eastAsia="zh-CN"/>
        </w:rPr>
        <w:t>1h</w:t>
      </w:r>
      <w:r>
        <w:rPr>
          <w:rFonts w:hint="eastAsia"/>
          <w:color w:val="auto"/>
          <w:highlight w:val="none"/>
          <w:lang w:val="en-US" w:eastAsia="zh-CN"/>
        </w:rPr>
        <w:t>平均质量浓度的二级浓度限值，如项目位于一类环境空气功能区，应选择相应的一级浓度限值；</w:t>
      </w:r>
    </w:p>
    <w:p>
      <w:pPr>
        <w:bidi w:val="0"/>
        <w:rPr>
          <w:color w:val="auto"/>
          <w:highlight w:val="none"/>
        </w:rPr>
      </w:pPr>
      <w:r>
        <w:rPr>
          <w:rFonts w:hint="eastAsia"/>
          <w:color w:val="auto"/>
          <w:highlight w:val="none"/>
          <w:lang w:val="en-US" w:eastAsia="zh-CN"/>
        </w:rPr>
        <w:t>对该标准中未包含的污染物，使用</w:t>
      </w:r>
      <w:r>
        <w:rPr>
          <w:rFonts w:hint="default"/>
          <w:color w:val="auto"/>
          <w:highlight w:val="none"/>
          <w:lang w:val="en-US" w:eastAsia="zh-CN"/>
        </w:rPr>
        <w:t>5.2</w:t>
      </w:r>
      <w:r>
        <w:rPr>
          <w:rFonts w:hint="eastAsia"/>
          <w:color w:val="auto"/>
          <w:highlight w:val="none"/>
          <w:lang w:val="en-US" w:eastAsia="zh-CN"/>
        </w:rPr>
        <w:t>确定的评价因子</w:t>
      </w:r>
      <w:r>
        <w:rPr>
          <w:rFonts w:hint="default"/>
          <w:color w:val="auto"/>
          <w:highlight w:val="none"/>
          <w:lang w:val="en-US" w:eastAsia="zh-CN"/>
        </w:rPr>
        <w:t>1h</w:t>
      </w:r>
      <w:r>
        <w:rPr>
          <w:rFonts w:hint="eastAsia"/>
          <w:color w:val="auto"/>
          <w:highlight w:val="none"/>
          <w:lang w:val="en-US" w:eastAsia="zh-CN"/>
        </w:rPr>
        <w:t>平均质量浓度限值。对仅有</w:t>
      </w:r>
      <w:r>
        <w:rPr>
          <w:rFonts w:hint="default"/>
          <w:color w:val="auto"/>
          <w:highlight w:val="none"/>
          <w:lang w:val="en-US" w:eastAsia="zh-CN"/>
        </w:rPr>
        <w:t>8h</w:t>
      </w:r>
      <w:r>
        <w:rPr>
          <w:rFonts w:hint="eastAsia"/>
          <w:color w:val="auto"/>
          <w:highlight w:val="none"/>
          <w:lang w:val="en-US" w:eastAsia="zh-CN"/>
        </w:rPr>
        <w:t>平均质量浓度限值、日平均质量浓度限值或年平均质量浓度限值的，可分别按</w:t>
      </w:r>
      <w:r>
        <w:rPr>
          <w:rFonts w:hint="default"/>
          <w:color w:val="auto"/>
          <w:highlight w:val="none"/>
          <w:lang w:val="en-US" w:eastAsia="zh-CN"/>
        </w:rPr>
        <w:t>2</w:t>
      </w:r>
      <w:r>
        <w:rPr>
          <w:rFonts w:hint="eastAsia"/>
          <w:color w:val="auto"/>
          <w:highlight w:val="none"/>
          <w:lang w:val="en-US" w:eastAsia="zh-CN"/>
        </w:rPr>
        <w:t>倍、</w:t>
      </w:r>
      <w:r>
        <w:rPr>
          <w:rFonts w:hint="default"/>
          <w:color w:val="auto"/>
          <w:highlight w:val="none"/>
          <w:lang w:val="en-US" w:eastAsia="zh-CN"/>
        </w:rPr>
        <w:t>3</w:t>
      </w:r>
      <w:r>
        <w:rPr>
          <w:rFonts w:hint="eastAsia"/>
          <w:color w:val="auto"/>
          <w:highlight w:val="none"/>
          <w:lang w:val="en-US" w:eastAsia="zh-CN"/>
        </w:rPr>
        <w:t>倍、</w:t>
      </w:r>
      <w:r>
        <w:rPr>
          <w:rFonts w:hint="default"/>
          <w:color w:val="auto"/>
          <w:highlight w:val="none"/>
          <w:lang w:val="en-US" w:eastAsia="zh-CN"/>
        </w:rPr>
        <w:t>6</w:t>
      </w:r>
      <w:r>
        <w:rPr>
          <w:rFonts w:hint="eastAsia"/>
          <w:color w:val="auto"/>
          <w:highlight w:val="none"/>
          <w:lang w:val="en-US" w:eastAsia="zh-CN"/>
        </w:rPr>
        <w:t>倍折算为</w:t>
      </w:r>
      <w:r>
        <w:rPr>
          <w:rFonts w:hint="default"/>
          <w:color w:val="auto"/>
          <w:highlight w:val="none"/>
          <w:lang w:val="en-US" w:eastAsia="zh-CN"/>
        </w:rPr>
        <w:t>1h</w:t>
      </w:r>
      <w:r>
        <w:rPr>
          <w:rFonts w:hint="eastAsia"/>
          <w:color w:val="auto"/>
          <w:highlight w:val="none"/>
          <w:lang w:val="en-US" w:eastAsia="zh-CN"/>
        </w:rPr>
        <w:t>平均质量浓度限值。</w:t>
      </w:r>
    </w:p>
    <w:p>
      <w:pPr>
        <w:bidi w:val="0"/>
        <w:rPr>
          <w:color w:val="auto"/>
          <w:highlight w:val="none"/>
        </w:rPr>
      </w:pPr>
      <w:r>
        <w:rPr>
          <w:rFonts w:hint="eastAsia"/>
          <w:color w:val="auto"/>
          <w:highlight w:val="none"/>
          <w:lang w:val="en-US" w:eastAsia="zh-CN"/>
        </w:rPr>
        <w:t>最大地面空气质量浓度占标率</w:t>
      </w:r>
      <w:r>
        <w:rPr>
          <w:rFonts w:hint="default"/>
          <w:color w:val="auto"/>
          <w:highlight w:val="none"/>
          <w:lang w:val="en-US" w:eastAsia="zh-CN"/>
        </w:rPr>
        <w:t>Pi</w:t>
      </w:r>
      <w:r>
        <w:rPr>
          <w:rFonts w:hint="eastAsia"/>
          <w:color w:val="auto"/>
          <w:highlight w:val="none"/>
          <w:lang w:val="en-US" w:eastAsia="zh-CN"/>
        </w:rPr>
        <w:t>按上述公式计算，如污染物数</w:t>
      </w:r>
      <w:r>
        <w:rPr>
          <w:rFonts w:hint="default"/>
          <w:color w:val="auto"/>
          <w:highlight w:val="none"/>
          <w:lang w:val="en-US" w:eastAsia="zh-CN"/>
        </w:rPr>
        <w:t>i</w:t>
      </w:r>
      <w:r>
        <w:rPr>
          <w:rFonts w:hint="eastAsia"/>
          <w:color w:val="auto"/>
          <w:highlight w:val="none"/>
          <w:lang w:val="en-US" w:eastAsia="zh-CN"/>
        </w:rPr>
        <w:t>大于</w:t>
      </w:r>
      <w:r>
        <w:rPr>
          <w:rFonts w:hint="default"/>
          <w:color w:val="auto"/>
          <w:highlight w:val="none"/>
          <w:lang w:val="en-US" w:eastAsia="zh-CN"/>
        </w:rPr>
        <w:t>1</w:t>
      </w:r>
      <w:r>
        <w:rPr>
          <w:rFonts w:hint="eastAsia"/>
          <w:color w:val="auto"/>
          <w:highlight w:val="none"/>
          <w:lang w:val="en-US" w:eastAsia="zh-CN"/>
        </w:rPr>
        <w:t>，取</w:t>
      </w:r>
      <w:r>
        <w:rPr>
          <w:rFonts w:hint="default"/>
          <w:color w:val="auto"/>
          <w:highlight w:val="none"/>
          <w:lang w:val="en-US" w:eastAsia="zh-CN"/>
        </w:rPr>
        <w:t>P</w:t>
      </w:r>
      <w:r>
        <w:rPr>
          <w:rFonts w:hint="eastAsia"/>
          <w:color w:val="auto"/>
          <w:highlight w:val="none"/>
          <w:lang w:val="en-US" w:eastAsia="zh-CN"/>
        </w:rPr>
        <w:t>值中最大者</w:t>
      </w:r>
      <w:r>
        <w:rPr>
          <w:rFonts w:hint="default"/>
          <w:color w:val="auto"/>
          <w:highlight w:val="none"/>
          <w:lang w:val="en-US" w:eastAsia="zh-CN"/>
        </w:rPr>
        <w:t>Pmax</w:t>
      </w:r>
      <w:r>
        <w:rPr>
          <w:rFonts w:hint="eastAsia"/>
          <w:color w:val="auto"/>
          <w:highlight w:val="none"/>
          <w:lang w:val="en-US" w:eastAsia="zh-CN"/>
        </w:rPr>
        <w:t>评价工作等级判据详见下表。</w:t>
      </w:r>
    </w:p>
    <w:p>
      <w:pPr>
        <w:pStyle w:val="22"/>
        <w:bidi w:val="0"/>
        <w:rPr>
          <w:rFonts w:hint="eastAsia"/>
          <w:b/>
          <w:bCs/>
          <w:color w:val="auto"/>
          <w:highlight w:val="none"/>
        </w:rPr>
      </w:pPr>
      <w:r>
        <w:rPr>
          <w:rFonts w:hint="eastAsia"/>
          <w:b/>
          <w:bCs/>
          <w:color w:val="auto"/>
          <w:highlight w:val="none"/>
        </w:rPr>
        <w:t>表2</w:t>
      </w:r>
      <w:r>
        <w:rPr>
          <w:rFonts w:hint="eastAsia"/>
          <w:b/>
          <w:bCs/>
          <w:color w:val="auto"/>
          <w:highlight w:val="none"/>
          <w:lang w:val="en-US" w:eastAsia="zh-CN"/>
        </w:rPr>
        <w:t>.6-1</w:t>
      </w:r>
      <w:r>
        <w:rPr>
          <w:rFonts w:hint="eastAsia"/>
          <w:b/>
          <w:bCs/>
          <w:color w:val="auto"/>
          <w:highlight w:val="none"/>
        </w:rPr>
        <w:t>大气环境影响评价工作等级</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30"/>
        <w:gridCol w:w="4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0" w:type="dxa"/>
            <w:tcBorders>
              <w:tl2br w:val="nil"/>
              <w:tr2bl w:val="nil"/>
            </w:tcBorders>
            <w:noWrap w:val="0"/>
            <w:vAlign w:val="center"/>
          </w:tcPr>
          <w:p>
            <w:pPr>
              <w:pStyle w:val="22"/>
              <w:bidi w:val="0"/>
              <w:rPr>
                <w:rFonts w:hint="eastAsia"/>
                <w:b/>
                <w:bCs/>
                <w:color w:val="auto"/>
                <w:highlight w:val="none"/>
              </w:rPr>
            </w:pPr>
            <w:r>
              <w:rPr>
                <w:rFonts w:hint="eastAsia"/>
                <w:b/>
                <w:bCs/>
                <w:color w:val="auto"/>
                <w:highlight w:val="none"/>
              </w:rPr>
              <w:t>评价工作等级</w:t>
            </w:r>
          </w:p>
        </w:tc>
        <w:tc>
          <w:tcPr>
            <w:tcW w:w="4792" w:type="dxa"/>
            <w:tcBorders>
              <w:tl2br w:val="nil"/>
              <w:tr2bl w:val="nil"/>
            </w:tcBorders>
            <w:noWrap w:val="0"/>
            <w:vAlign w:val="center"/>
          </w:tcPr>
          <w:p>
            <w:pPr>
              <w:pStyle w:val="22"/>
              <w:bidi w:val="0"/>
              <w:rPr>
                <w:rFonts w:hint="eastAsia"/>
                <w:b/>
                <w:bCs/>
                <w:color w:val="auto"/>
                <w:highlight w:val="none"/>
              </w:rPr>
            </w:pPr>
            <w:r>
              <w:rPr>
                <w:rFonts w:hint="eastAsia"/>
                <w:b/>
                <w:bCs/>
                <w:color w:val="auto"/>
                <w:highlight w:val="none"/>
              </w:rPr>
              <w:t>评价工作分级判据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0" w:type="dxa"/>
            <w:tcBorders>
              <w:tl2br w:val="nil"/>
              <w:tr2bl w:val="nil"/>
            </w:tcBorders>
            <w:noWrap w:val="0"/>
            <w:vAlign w:val="center"/>
          </w:tcPr>
          <w:p>
            <w:pPr>
              <w:pStyle w:val="22"/>
              <w:bidi w:val="0"/>
              <w:rPr>
                <w:rFonts w:hint="eastAsia"/>
                <w:color w:val="auto"/>
                <w:highlight w:val="none"/>
              </w:rPr>
            </w:pPr>
            <w:r>
              <w:rPr>
                <w:rFonts w:hint="eastAsia"/>
                <w:color w:val="auto"/>
                <w:highlight w:val="none"/>
              </w:rPr>
              <w:t>一级</w:t>
            </w:r>
          </w:p>
        </w:tc>
        <w:tc>
          <w:tcPr>
            <w:tcW w:w="4792" w:type="dxa"/>
            <w:tcBorders>
              <w:tl2br w:val="nil"/>
              <w:tr2bl w:val="nil"/>
            </w:tcBorders>
            <w:noWrap w:val="0"/>
            <w:vAlign w:val="center"/>
          </w:tcPr>
          <w:p>
            <w:pPr>
              <w:pStyle w:val="22"/>
              <w:bidi w:val="0"/>
              <w:rPr>
                <w:rFonts w:hint="eastAsia"/>
                <w:color w:val="auto"/>
                <w:highlight w:val="none"/>
              </w:rPr>
            </w:pPr>
            <w:r>
              <w:rPr>
                <w:rFonts w:hint="eastAsia"/>
                <w:color w:val="auto"/>
                <w:highlight w:val="none"/>
              </w:rPr>
              <w:t>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0" w:type="dxa"/>
            <w:tcBorders>
              <w:tl2br w:val="nil"/>
              <w:tr2bl w:val="nil"/>
            </w:tcBorders>
            <w:noWrap w:val="0"/>
            <w:vAlign w:val="center"/>
          </w:tcPr>
          <w:p>
            <w:pPr>
              <w:pStyle w:val="22"/>
              <w:bidi w:val="0"/>
              <w:rPr>
                <w:rFonts w:hint="eastAsia"/>
                <w:color w:val="auto"/>
                <w:highlight w:val="none"/>
              </w:rPr>
            </w:pPr>
            <w:r>
              <w:rPr>
                <w:rFonts w:hint="eastAsia"/>
                <w:color w:val="auto"/>
                <w:highlight w:val="none"/>
              </w:rPr>
              <w:t>二级</w:t>
            </w:r>
          </w:p>
        </w:tc>
        <w:tc>
          <w:tcPr>
            <w:tcW w:w="4792" w:type="dxa"/>
            <w:tcBorders>
              <w:tl2br w:val="nil"/>
              <w:tr2bl w:val="nil"/>
            </w:tcBorders>
            <w:noWrap w:val="0"/>
            <w:vAlign w:val="center"/>
          </w:tcPr>
          <w:p>
            <w:pPr>
              <w:pStyle w:val="22"/>
              <w:bidi w:val="0"/>
              <w:rPr>
                <w:rFonts w:hint="eastAsia"/>
                <w:color w:val="auto"/>
                <w:highlight w:val="none"/>
              </w:rPr>
            </w:pPr>
            <w:r>
              <w:rPr>
                <w:rFonts w:hint="eastAsia"/>
                <w:color w:val="auto"/>
                <w:highlight w:val="none"/>
              </w:rPr>
              <w:t>1%≤Pmax＜10%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30" w:type="dxa"/>
            <w:tcBorders>
              <w:tl2br w:val="nil"/>
              <w:tr2bl w:val="nil"/>
            </w:tcBorders>
            <w:noWrap w:val="0"/>
            <w:vAlign w:val="center"/>
          </w:tcPr>
          <w:p>
            <w:pPr>
              <w:pStyle w:val="22"/>
              <w:bidi w:val="0"/>
              <w:rPr>
                <w:rFonts w:hint="eastAsia"/>
                <w:color w:val="auto"/>
                <w:highlight w:val="none"/>
              </w:rPr>
            </w:pPr>
            <w:r>
              <w:rPr>
                <w:rFonts w:hint="eastAsia"/>
                <w:color w:val="auto"/>
                <w:highlight w:val="none"/>
              </w:rPr>
              <w:t>三级</w:t>
            </w:r>
          </w:p>
        </w:tc>
        <w:tc>
          <w:tcPr>
            <w:tcW w:w="4792" w:type="dxa"/>
            <w:tcBorders>
              <w:tl2br w:val="nil"/>
              <w:tr2bl w:val="nil"/>
            </w:tcBorders>
            <w:noWrap w:val="0"/>
            <w:vAlign w:val="center"/>
          </w:tcPr>
          <w:p>
            <w:pPr>
              <w:pStyle w:val="22"/>
              <w:bidi w:val="0"/>
              <w:rPr>
                <w:rFonts w:hint="eastAsia"/>
                <w:color w:val="auto"/>
                <w:highlight w:val="none"/>
              </w:rPr>
            </w:pPr>
            <w:r>
              <w:rPr>
                <w:rFonts w:hint="eastAsia"/>
                <w:color w:val="auto"/>
                <w:highlight w:val="none"/>
              </w:rPr>
              <w:t>Pmax&lt;1%</w:t>
            </w:r>
          </w:p>
        </w:tc>
      </w:tr>
    </w:tbl>
    <w:p>
      <w:pPr>
        <w:bidi w:val="0"/>
        <w:rPr>
          <w:color w:val="auto"/>
          <w:highlight w:val="none"/>
        </w:rPr>
      </w:pPr>
      <w:r>
        <w:rPr>
          <w:rFonts w:hint="eastAsia"/>
          <w:color w:val="auto"/>
          <w:highlight w:val="none"/>
          <w:lang w:val="en-US" w:eastAsia="zh-CN"/>
        </w:rPr>
        <w:t>根据本项目的主要大气污染物排放量，按照《环境影响评价技术导则大气环境》（</w:t>
      </w:r>
      <w:r>
        <w:rPr>
          <w:rFonts w:hint="default"/>
          <w:color w:val="auto"/>
          <w:highlight w:val="none"/>
          <w:lang w:val="en-US" w:eastAsia="zh-CN"/>
        </w:rPr>
        <w:t>HJ2.2-2018</w:t>
      </w:r>
      <w:r>
        <w:rPr>
          <w:rFonts w:hint="eastAsia"/>
          <w:color w:val="auto"/>
          <w:highlight w:val="none"/>
          <w:lang w:val="en-US" w:eastAsia="zh-CN"/>
        </w:rPr>
        <w:t>）中提供的估算模式</w:t>
      </w:r>
      <w:r>
        <w:rPr>
          <w:rFonts w:hint="default"/>
          <w:color w:val="auto"/>
          <w:highlight w:val="none"/>
          <w:lang w:val="en-US" w:eastAsia="zh-CN"/>
        </w:rPr>
        <w:t>AERSCREEN</w:t>
      </w:r>
      <w:r>
        <w:rPr>
          <w:rFonts w:hint="eastAsia"/>
          <w:color w:val="auto"/>
          <w:highlight w:val="none"/>
          <w:lang w:val="en-US" w:eastAsia="zh-CN"/>
        </w:rPr>
        <w:t>进行初步预测，以表</w:t>
      </w:r>
      <w:r>
        <w:rPr>
          <w:rFonts w:hint="default"/>
          <w:color w:val="auto"/>
          <w:highlight w:val="none"/>
          <w:lang w:val="en-US" w:eastAsia="zh-CN"/>
        </w:rPr>
        <w:t>2.</w:t>
      </w:r>
      <w:r>
        <w:rPr>
          <w:rFonts w:hint="eastAsia"/>
          <w:color w:val="auto"/>
          <w:highlight w:val="none"/>
          <w:lang w:val="en-US" w:eastAsia="zh-CN"/>
        </w:rPr>
        <w:t>6</w:t>
      </w:r>
      <w:r>
        <w:rPr>
          <w:rFonts w:hint="default"/>
          <w:color w:val="auto"/>
          <w:highlight w:val="none"/>
          <w:lang w:val="en-US" w:eastAsia="zh-CN"/>
        </w:rPr>
        <w:t>-1</w:t>
      </w:r>
      <w:r>
        <w:rPr>
          <w:rFonts w:hint="eastAsia"/>
          <w:color w:val="auto"/>
          <w:highlight w:val="none"/>
          <w:lang w:val="en-US" w:eastAsia="zh-CN"/>
        </w:rPr>
        <w:t>标准计算，估算模型参数见表</w:t>
      </w:r>
      <w:r>
        <w:rPr>
          <w:rFonts w:hint="default"/>
          <w:color w:val="auto"/>
          <w:highlight w:val="none"/>
          <w:lang w:val="en-US" w:eastAsia="zh-CN"/>
        </w:rPr>
        <w:t>2.</w:t>
      </w:r>
      <w:r>
        <w:rPr>
          <w:rFonts w:hint="eastAsia"/>
          <w:color w:val="auto"/>
          <w:highlight w:val="none"/>
          <w:lang w:val="en-US" w:eastAsia="zh-CN"/>
        </w:rPr>
        <w:t>6</w:t>
      </w:r>
      <w:r>
        <w:rPr>
          <w:rFonts w:hint="default"/>
          <w:color w:val="auto"/>
          <w:highlight w:val="none"/>
          <w:lang w:val="en-US" w:eastAsia="zh-CN"/>
        </w:rPr>
        <w:t>-2</w:t>
      </w:r>
      <w:r>
        <w:rPr>
          <w:rFonts w:hint="eastAsia"/>
          <w:color w:val="auto"/>
          <w:highlight w:val="none"/>
          <w:lang w:val="en-US" w:eastAsia="zh-CN"/>
        </w:rPr>
        <w:t>，废气污染源正常排放的源强特征参数列于表</w:t>
      </w:r>
      <w:r>
        <w:rPr>
          <w:rFonts w:hint="default"/>
          <w:color w:val="auto"/>
          <w:highlight w:val="none"/>
          <w:lang w:val="en-US" w:eastAsia="zh-CN"/>
        </w:rPr>
        <w:t>2.</w:t>
      </w:r>
      <w:r>
        <w:rPr>
          <w:rFonts w:hint="eastAsia"/>
          <w:color w:val="auto"/>
          <w:highlight w:val="none"/>
          <w:lang w:val="en-US" w:eastAsia="zh-CN"/>
        </w:rPr>
        <w:t>6</w:t>
      </w:r>
      <w:r>
        <w:rPr>
          <w:rFonts w:hint="default"/>
          <w:color w:val="auto"/>
          <w:highlight w:val="none"/>
          <w:lang w:val="en-US" w:eastAsia="zh-CN"/>
        </w:rPr>
        <w:t>-3</w:t>
      </w:r>
      <w:r>
        <w:rPr>
          <w:rFonts w:hint="eastAsia"/>
          <w:color w:val="auto"/>
          <w:highlight w:val="none"/>
          <w:lang w:val="en-US" w:eastAsia="zh-CN"/>
        </w:rPr>
        <w:t>中。</w:t>
      </w:r>
    </w:p>
    <w:p>
      <w:pPr>
        <w:bidi w:val="0"/>
        <w:rPr>
          <w:rFonts w:hint="eastAsia"/>
          <w:color w:val="auto"/>
          <w:highlight w:val="none"/>
          <w:lang w:val="en-US" w:eastAsia="zh-CN"/>
        </w:rPr>
      </w:pPr>
      <w:r>
        <w:rPr>
          <w:rFonts w:hint="eastAsia"/>
          <w:color w:val="auto"/>
          <w:highlight w:val="none"/>
          <w:lang w:val="en-US" w:eastAsia="zh-CN"/>
        </w:rPr>
        <w:t>以表</w:t>
      </w:r>
      <w:r>
        <w:rPr>
          <w:rFonts w:hint="default"/>
          <w:color w:val="auto"/>
          <w:highlight w:val="none"/>
          <w:lang w:val="en-US" w:eastAsia="zh-CN"/>
        </w:rPr>
        <w:t>2.</w:t>
      </w:r>
      <w:r>
        <w:rPr>
          <w:rFonts w:hint="eastAsia"/>
          <w:color w:val="auto"/>
          <w:highlight w:val="none"/>
          <w:lang w:val="en-US" w:eastAsia="zh-CN"/>
        </w:rPr>
        <w:t>6</w:t>
      </w:r>
      <w:r>
        <w:rPr>
          <w:rFonts w:hint="default"/>
          <w:color w:val="auto"/>
          <w:highlight w:val="none"/>
          <w:lang w:val="en-US" w:eastAsia="zh-CN"/>
        </w:rPr>
        <w:t>-1</w:t>
      </w:r>
      <w:r>
        <w:rPr>
          <w:rFonts w:hint="eastAsia"/>
          <w:color w:val="auto"/>
          <w:highlight w:val="none"/>
          <w:lang w:val="en-US" w:eastAsia="zh-CN"/>
        </w:rPr>
        <w:t>标准计算，估算模式选取的气象条件为较为不利的气象条件。主要大气污染物的最大地面浓度占标率见表</w:t>
      </w:r>
      <w:r>
        <w:rPr>
          <w:rFonts w:hint="default"/>
          <w:color w:val="auto"/>
          <w:highlight w:val="none"/>
          <w:lang w:val="en-US" w:eastAsia="zh-CN"/>
        </w:rPr>
        <w:t>2.</w:t>
      </w:r>
      <w:r>
        <w:rPr>
          <w:rFonts w:hint="eastAsia"/>
          <w:color w:val="auto"/>
          <w:highlight w:val="none"/>
          <w:lang w:val="en-US" w:eastAsia="zh-CN"/>
        </w:rPr>
        <w:t>6</w:t>
      </w:r>
      <w:r>
        <w:rPr>
          <w:rFonts w:hint="default"/>
          <w:color w:val="auto"/>
          <w:highlight w:val="none"/>
          <w:lang w:val="en-US" w:eastAsia="zh-CN"/>
        </w:rPr>
        <w:t>-4</w:t>
      </w:r>
      <w:r>
        <w:rPr>
          <w:rFonts w:hint="eastAsia"/>
          <w:color w:val="auto"/>
          <w:highlight w:val="none"/>
          <w:lang w:val="en-US" w:eastAsia="zh-CN"/>
        </w:rPr>
        <w:t>。</w:t>
      </w:r>
    </w:p>
    <w:p>
      <w:pPr>
        <w:pStyle w:val="22"/>
        <w:bidi w:val="0"/>
        <w:rPr>
          <w:b/>
          <w:bCs/>
          <w:color w:val="auto"/>
          <w:highlight w:val="none"/>
        </w:rPr>
      </w:pPr>
      <w:r>
        <w:rPr>
          <w:rFonts w:hint="eastAsia"/>
          <w:b/>
          <w:bCs/>
          <w:color w:val="auto"/>
          <w:highlight w:val="none"/>
          <w:lang w:val="en-US" w:eastAsia="zh-CN"/>
        </w:rPr>
        <w:t>表</w:t>
      </w:r>
      <w:r>
        <w:rPr>
          <w:rFonts w:hint="default"/>
          <w:b/>
          <w:bCs/>
          <w:color w:val="auto"/>
          <w:highlight w:val="none"/>
          <w:lang w:val="en-US" w:eastAsia="zh-CN"/>
        </w:rPr>
        <w:t>2.</w:t>
      </w:r>
      <w:r>
        <w:rPr>
          <w:rFonts w:hint="eastAsia"/>
          <w:b/>
          <w:bCs/>
          <w:color w:val="auto"/>
          <w:highlight w:val="none"/>
          <w:lang w:val="en-US" w:eastAsia="zh-CN"/>
        </w:rPr>
        <w:t>6</w:t>
      </w:r>
      <w:r>
        <w:rPr>
          <w:rFonts w:hint="default"/>
          <w:b/>
          <w:bCs/>
          <w:color w:val="auto"/>
          <w:highlight w:val="none"/>
          <w:lang w:val="en-US" w:eastAsia="zh-CN"/>
        </w:rPr>
        <w:t>-2</w:t>
      </w:r>
      <w:r>
        <w:rPr>
          <w:rFonts w:hint="eastAsia"/>
          <w:b/>
          <w:bCs/>
          <w:color w:val="auto"/>
          <w:highlight w:val="none"/>
          <w:lang w:val="en-US" w:eastAsia="zh-CN"/>
        </w:rPr>
        <w:t>估算模型参数表</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2"/>
        <w:gridCol w:w="2707"/>
        <w:gridCol w:w="3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5409" w:type="dxa"/>
            <w:gridSpan w:val="2"/>
            <w:tcBorders>
              <w:tl2br w:val="nil"/>
              <w:tr2bl w:val="nil"/>
            </w:tcBorders>
            <w:noWrap w:val="0"/>
            <w:vAlign w:val="center"/>
          </w:tcPr>
          <w:p>
            <w:pPr>
              <w:keepNext w:val="0"/>
              <w:keepLines w:val="0"/>
              <w:suppressLineNumbers w:val="0"/>
              <w:spacing w:beforeAutospacing="0" w:afterAutospacing="0" w:line="240" w:lineRule="auto"/>
              <w:ind w:left="0" w:leftChars="0" w:right="0" w:rightChars="0" w:firstLine="0" w:firstLineChars="0"/>
              <w:jc w:val="center"/>
              <w:rPr>
                <w:rFonts w:hint="eastAsia" w:ascii="宋体" w:hAnsi="宋体" w:eastAsia="宋体" w:cs="宋体"/>
                <w:b/>
                <w:bCs/>
                <w:color w:val="auto"/>
                <w:kern w:val="0"/>
                <w:szCs w:val="21"/>
                <w:highlight w:val="none"/>
              </w:rPr>
            </w:pPr>
            <w:r>
              <w:rPr>
                <w:rFonts w:hint="eastAsia" w:hAnsi="宋体"/>
                <w:b/>
                <w:bCs/>
                <w:color w:val="auto"/>
                <w:spacing w:val="0"/>
                <w:position w:val="0"/>
                <w:sz w:val="21"/>
                <w:szCs w:val="21"/>
                <w:highlight w:val="none"/>
                <w:lang w:val="en-US" w:eastAsia="zh-CN"/>
              </w:rPr>
              <w:t>参数</w:t>
            </w:r>
          </w:p>
        </w:tc>
        <w:tc>
          <w:tcPr>
            <w:tcW w:w="3210" w:type="dxa"/>
            <w:tcBorders>
              <w:tl2br w:val="nil"/>
              <w:tr2bl w:val="nil"/>
            </w:tcBorders>
            <w:noWrap w:val="0"/>
            <w:vAlign w:val="center"/>
          </w:tcPr>
          <w:p>
            <w:pPr>
              <w:keepNext w:val="0"/>
              <w:keepLines w:val="0"/>
              <w:suppressLineNumbers w:val="0"/>
              <w:spacing w:beforeAutospacing="0" w:afterAutospacing="0" w:line="240" w:lineRule="auto"/>
              <w:ind w:left="0" w:leftChars="0" w:right="0" w:rightChars="0" w:firstLine="0" w:firstLineChars="0"/>
              <w:jc w:val="center"/>
              <w:rPr>
                <w:rFonts w:hint="eastAsia" w:ascii="宋体" w:hAnsi="宋体" w:eastAsia="宋体" w:cs="宋体"/>
                <w:b/>
                <w:bCs/>
                <w:color w:val="auto"/>
                <w:kern w:val="0"/>
                <w:szCs w:val="21"/>
                <w:highlight w:val="none"/>
              </w:rPr>
            </w:pPr>
            <w:r>
              <w:rPr>
                <w:rFonts w:hint="eastAsia" w:hAnsi="宋体"/>
                <w:b/>
                <w:bCs/>
                <w:color w:val="auto"/>
                <w:spacing w:val="0"/>
                <w:position w:val="0"/>
                <w:sz w:val="21"/>
                <w:szCs w:val="21"/>
                <w:highlight w:val="none"/>
                <w:lang w:val="en-US" w:eastAsia="zh-CN"/>
              </w:rPr>
              <w:t>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702" w:type="dxa"/>
            <w:vMerge w:val="restart"/>
            <w:tcBorders>
              <w:tl2br w:val="nil"/>
              <w:tr2bl w:val="nil"/>
            </w:tcBorders>
            <w:noWrap w:val="0"/>
            <w:vAlign w:val="center"/>
          </w:tcPr>
          <w:p>
            <w:pPr>
              <w:keepNext w:val="0"/>
              <w:keepLines w:val="0"/>
              <w:suppressLineNumbers w:val="0"/>
              <w:spacing w:beforeAutospacing="0" w:afterAutospacing="0" w:line="240" w:lineRule="auto"/>
              <w:ind w:left="0" w:leftChars="0" w:right="0" w:rightChars="0" w:firstLine="0" w:firstLineChars="0"/>
              <w:jc w:val="center"/>
              <w:rPr>
                <w:rFonts w:hint="eastAsia" w:ascii="宋体" w:hAnsi="宋体" w:eastAsia="宋体" w:cs="宋体"/>
                <w:color w:val="auto"/>
                <w:kern w:val="0"/>
                <w:szCs w:val="21"/>
                <w:highlight w:val="none"/>
              </w:rPr>
            </w:pPr>
            <w:r>
              <w:rPr>
                <w:rFonts w:hint="eastAsia" w:hAnsi="宋体"/>
                <w:color w:val="auto"/>
                <w:spacing w:val="0"/>
                <w:position w:val="0"/>
                <w:sz w:val="21"/>
                <w:szCs w:val="21"/>
                <w:highlight w:val="none"/>
                <w:lang w:val="en-US" w:eastAsia="zh-CN"/>
              </w:rPr>
              <w:t>城市</w:t>
            </w:r>
            <w:r>
              <w:rPr>
                <w:rFonts w:hint="default" w:hAnsi="宋体"/>
                <w:color w:val="auto"/>
                <w:spacing w:val="0"/>
                <w:position w:val="0"/>
                <w:sz w:val="21"/>
                <w:szCs w:val="21"/>
                <w:highlight w:val="none"/>
                <w:lang w:val="en-US" w:eastAsia="zh-CN"/>
              </w:rPr>
              <w:t>/</w:t>
            </w:r>
            <w:r>
              <w:rPr>
                <w:rFonts w:hint="eastAsia" w:hAnsi="宋体"/>
                <w:color w:val="auto"/>
                <w:spacing w:val="0"/>
                <w:position w:val="0"/>
                <w:sz w:val="21"/>
                <w:szCs w:val="21"/>
                <w:highlight w:val="none"/>
                <w:lang w:val="en-US" w:eastAsia="zh-CN"/>
              </w:rPr>
              <w:t>农村选项</w:t>
            </w:r>
          </w:p>
        </w:tc>
        <w:tc>
          <w:tcPr>
            <w:tcW w:w="2707" w:type="dxa"/>
            <w:tcBorders>
              <w:tl2br w:val="nil"/>
              <w:tr2bl w:val="nil"/>
            </w:tcBorders>
            <w:noWrap w:val="0"/>
            <w:vAlign w:val="center"/>
          </w:tcPr>
          <w:p>
            <w:pPr>
              <w:keepNext w:val="0"/>
              <w:keepLines w:val="0"/>
              <w:suppressLineNumbers w:val="0"/>
              <w:spacing w:beforeAutospacing="0" w:afterAutospacing="0" w:line="240" w:lineRule="auto"/>
              <w:ind w:left="0" w:leftChars="0" w:right="0" w:rightChars="0" w:firstLine="0" w:firstLineChars="0"/>
              <w:jc w:val="center"/>
              <w:rPr>
                <w:rFonts w:hint="eastAsia" w:ascii="宋体" w:hAnsi="宋体" w:eastAsia="宋体" w:cs="宋体"/>
                <w:color w:val="auto"/>
                <w:kern w:val="0"/>
                <w:szCs w:val="21"/>
                <w:highlight w:val="none"/>
              </w:rPr>
            </w:pPr>
            <w:r>
              <w:rPr>
                <w:rFonts w:hint="eastAsia" w:hAnsi="宋体"/>
                <w:color w:val="auto"/>
                <w:spacing w:val="0"/>
                <w:position w:val="0"/>
                <w:sz w:val="21"/>
                <w:szCs w:val="21"/>
                <w:highlight w:val="none"/>
                <w:lang w:val="en-US" w:eastAsia="zh-CN"/>
              </w:rPr>
              <w:t>城市</w:t>
            </w:r>
            <w:r>
              <w:rPr>
                <w:rFonts w:hint="default" w:hAnsi="宋体"/>
                <w:color w:val="auto"/>
                <w:spacing w:val="0"/>
                <w:position w:val="0"/>
                <w:sz w:val="21"/>
                <w:szCs w:val="21"/>
                <w:highlight w:val="none"/>
                <w:lang w:val="en-US" w:eastAsia="zh-CN"/>
              </w:rPr>
              <w:t>/</w:t>
            </w:r>
            <w:r>
              <w:rPr>
                <w:rFonts w:hint="eastAsia" w:hAnsi="宋体"/>
                <w:color w:val="auto"/>
                <w:spacing w:val="0"/>
                <w:position w:val="0"/>
                <w:sz w:val="21"/>
                <w:szCs w:val="21"/>
                <w:highlight w:val="none"/>
                <w:lang w:val="en-US" w:eastAsia="zh-CN"/>
              </w:rPr>
              <w:t>农村</w:t>
            </w:r>
          </w:p>
        </w:tc>
        <w:tc>
          <w:tcPr>
            <w:tcW w:w="3210" w:type="dxa"/>
            <w:tcBorders>
              <w:tl2br w:val="nil"/>
              <w:tr2bl w:val="nil"/>
            </w:tcBorders>
            <w:noWrap w:val="0"/>
            <w:vAlign w:val="center"/>
          </w:tcPr>
          <w:p>
            <w:pPr>
              <w:keepNext w:val="0"/>
              <w:keepLines w:val="0"/>
              <w:suppressLineNumbers w:val="0"/>
              <w:spacing w:beforeAutospacing="0" w:afterAutospacing="0" w:line="240" w:lineRule="auto"/>
              <w:ind w:left="0" w:leftChars="0" w:right="0" w:rightChars="0" w:firstLine="0" w:firstLineChars="0"/>
              <w:jc w:val="center"/>
              <w:rPr>
                <w:rFonts w:hint="eastAsia" w:ascii="宋体" w:hAnsi="宋体" w:eastAsia="宋体" w:cs="宋体"/>
                <w:color w:val="auto"/>
                <w:kern w:val="0"/>
                <w:szCs w:val="21"/>
                <w:highlight w:val="none"/>
                <w:lang w:eastAsia="zh-CN"/>
              </w:rPr>
            </w:pPr>
            <w:r>
              <w:rPr>
                <w:rFonts w:hint="eastAsia"/>
                <w:color w:val="auto"/>
                <w:spacing w:val="0"/>
                <w:position w:val="0"/>
                <w:sz w:val="21"/>
                <w:szCs w:val="21"/>
                <w:highlight w:val="none"/>
                <w:lang w:val="en-US" w:eastAsia="zh-CN"/>
              </w:rPr>
              <w:t>农村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702" w:type="dxa"/>
            <w:vMerge w:val="continue"/>
            <w:tcBorders>
              <w:tl2br w:val="nil"/>
              <w:tr2bl w:val="nil"/>
            </w:tcBorders>
            <w:noWrap w:val="0"/>
            <w:vAlign w:val="center"/>
          </w:tcPr>
          <w:p>
            <w:pPr>
              <w:keepNext w:val="0"/>
              <w:keepLines w:val="0"/>
              <w:suppressLineNumbers w:val="0"/>
              <w:spacing w:beforeAutospacing="0" w:afterAutospacing="0" w:line="240" w:lineRule="auto"/>
              <w:ind w:left="0" w:leftChars="0" w:right="0" w:rightChars="0" w:firstLine="0" w:firstLineChars="0"/>
              <w:jc w:val="center"/>
              <w:rPr>
                <w:rFonts w:hint="eastAsia" w:ascii="宋体" w:hAnsi="宋体" w:eastAsia="宋体" w:cs="宋体"/>
                <w:color w:val="auto"/>
                <w:kern w:val="0"/>
                <w:szCs w:val="21"/>
                <w:highlight w:val="none"/>
              </w:rPr>
            </w:pPr>
          </w:p>
        </w:tc>
        <w:tc>
          <w:tcPr>
            <w:tcW w:w="2707" w:type="dxa"/>
            <w:tcBorders>
              <w:tl2br w:val="nil"/>
              <w:tr2bl w:val="nil"/>
            </w:tcBorders>
            <w:noWrap w:val="0"/>
            <w:vAlign w:val="center"/>
          </w:tcPr>
          <w:p>
            <w:pPr>
              <w:keepNext w:val="0"/>
              <w:keepLines w:val="0"/>
              <w:suppressLineNumbers w:val="0"/>
              <w:spacing w:beforeAutospacing="0" w:afterAutospacing="0" w:line="240" w:lineRule="auto"/>
              <w:ind w:left="0" w:leftChars="0" w:right="0" w:rightChars="0" w:firstLine="0" w:firstLineChars="0"/>
              <w:jc w:val="center"/>
              <w:rPr>
                <w:rFonts w:hint="eastAsia" w:ascii="宋体" w:hAnsi="宋体" w:eastAsia="宋体" w:cs="宋体"/>
                <w:color w:val="auto"/>
                <w:kern w:val="0"/>
                <w:szCs w:val="21"/>
                <w:highlight w:val="none"/>
              </w:rPr>
            </w:pPr>
            <w:r>
              <w:rPr>
                <w:rFonts w:hint="eastAsia" w:hAnsi="宋体"/>
                <w:color w:val="auto"/>
                <w:spacing w:val="0"/>
                <w:position w:val="0"/>
                <w:sz w:val="21"/>
                <w:szCs w:val="21"/>
                <w:highlight w:val="none"/>
                <w:lang w:val="en-US" w:eastAsia="zh-CN"/>
              </w:rPr>
              <w:t>人口数（城市选项时）</w:t>
            </w:r>
          </w:p>
        </w:tc>
        <w:tc>
          <w:tcPr>
            <w:tcW w:w="3210" w:type="dxa"/>
            <w:tcBorders>
              <w:tl2br w:val="nil"/>
              <w:tr2bl w:val="nil"/>
            </w:tcBorders>
            <w:noWrap w:val="0"/>
            <w:vAlign w:val="center"/>
          </w:tcPr>
          <w:p>
            <w:pPr>
              <w:keepNext w:val="0"/>
              <w:keepLines w:val="0"/>
              <w:suppressLineNumbers w:val="0"/>
              <w:spacing w:beforeAutospacing="0" w:afterAutospacing="0" w:line="240" w:lineRule="auto"/>
              <w:ind w:left="0" w:leftChars="0" w:right="0" w:rightChars="0" w:firstLine="0" w:firstLineChars="0"/>
              <w:jc w:val="center"/>
              <w:rPr>
                <w:rFonts w:hint="default" w:ascii="宋体" w:hAnsi="宋体" w:eastAsia="宋体" w:cs="宋体"/>
                <w:color w:val="auto"/>
                <w:kern w:val="0"/>
                <w:szCs w:val="21"/>
                <w:highlight w:val="none"/>
                <w:lang w:val="en-US" w:eastAsia="zh-CN"/>
              </w:rPr>
            </w:pPr>
            <w:r>
              <w:rPr>
                <w:rFonts w:hint="eastAsia" w:hAnsi="宋体"/>
                <w:color w:val="auto"/>
                <w:spacing w:val="0"/>
                <w:positio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409" w:type="dxa"/>
            <w:gridSpan w:val="2"/>
            <w:tcBorders>
              <w:tl2br w:val="nil"/>
              <w:tr2bl w:val="nil"/>
            </w:tcBorders>
            <w:noWrap w:val="0"/>
            <w:vAlign w:val="center"/>
          </w:tcPr>
          <w:p>
            <w:pPr>
              <w:keepNext w:val="0"/>
              <w:keepLines w:val="0"/>
              <w:suppressLineNumbers w:val="0"/>
              <w:spacing w:beforeAutospacing="0" w:afterAutospacing="0" w:line="240" w:lineRule="auto"/>
              <w:ind w:left="0" w:leftChars="0" w:right="0" w:rightChars="0" w:firstLine="0" w:firstLineChars="0"/>
              <w:jc w:val="center"/>
              <w:rPr>
                <w:rFonts w:hint="eastAsia" w:ascii="宋体" w:hAnsi="宋体" w:eastAsia="宋体" w:cs="宋体"/>
                <w:color w:val="auto"/>
                <w:kern w:val="0"/>
                <w:szCs w:val="21"/>
                <w:highlight w:val="none"/>
              </w:rPr>
            </w:pPr>
            <w:r>
              <w:rPr>
                <w:rFonts w:hint="eastAsia" w:hAnsi="宋体"/>
                <w:color w:val="auto"/>
                <w:spacing w:val="0"/>
                <w:position w:val="0"/>
                <w:sz w:val="21"/>
                <w:szCs w:val="21"/>
                <w:highlight w:val="none"/>
                <w:lang w:val="en-US" w:eastAsia="zh-CN"/>
              </w:rPr>
              <w:t>最高环境温度</w:t>
            </w:r>
            <w:r>
              <w:rPr>
                <w:rFonts w:hint="default" w:hAnsi="宋体"/>
                <w:color w:val="auto"/>
                <w:spacing w:val="0"/>
                <w:position w:val="0"/>
                <w:sz w:val="21"/>
                <w:szCs w:val="21"/>
                <w:highlight w:val="none"/>
                <w:lang w:val="en-US" w:eastAsia="zh-CN"/>
              </w:rPr>
              <w:t>/</w:t>
            </w:r>
            <w:r>
              <w:rPr>
                <w:rFonts w:hint="eastAsia" w:hAnsi="宋体"/>
                <w:color w:val="auto"/>
                <w:spacing w:val="0"/>
                <w:position w:val="0"/>
                <w:sz w:val="21"/>
                <w:szCs w:val="21"/>
                <w:highlight w:val="none"/>
                <w:lang w:val="en-US" w:eastAsia="zh-CN"/>
              </w:rPr>
              <w:t>℃</w:t>
            </w:r>
          </w:p>
        </w:tc>
        <w:tc>
          <w:tcPr>
            <w:tcW w:w="3210" w:type="dxa"/>
            <w:tcBorders>
              <w:tl2br w:val="nil"/>
              <w:tr2bl w:val="nil"/>
            </w:tcBorders>
            <w:noWrap w:val="0"/>
            <w:vAlign w:val="center"/>
          </w:tcPr>
          <w:p>
            <w:pPr>
              <w:keepNext w:val="0"/>
              <w:keepLines w:val="0"/>
              <w:suppressLineNumbers w:val="0"/>
              <w:spacing w:beforeAutospacing="0" w:afterAutospacing="0" w:line="240" w:lineRule="auto"/>
              <w:ind w:left="0" w:leftChars="0" w:right="0" w:rightChars="0" w:firstLine="0" w:firstLineChars="0"/>
              <w:jc w:val="center"/>
              <w:rPr>
                <w:rFonts w:hint="eastAsia" w:ascii="宋体" w:hAnsi="宋体" w:eastAsia="宋体" w:cs="宋体"/>
                <w:color w:val="auto"/>
                <w:kern w:val="0"/>
                <w:szCs w:val="21"/>
                <w:highlight w:val="none"/>
              </w:rPr>
            </w:pPr>
            <w:r>
              <w:rPr>
                <w:rFonts w:hint="eastAsia" w:hAnsi="宋体"/>
                <w:color w:val="auto"/>
                <w:spacing w:val="0"/>
                <w:position w:val="0"/>
                <w:sz w:val="21"/>
                <w:szCs w:val="21"/>
                <w:highlight w:val="none"/>
                <w:lang w:val="en-US" w:eastAsia="zh-C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409" w:type="dxa"/>
            <w:gridSpan w:val="2"/>
            <w:tcBorders>
              <w:tl2br w:val="nil"/>
              <w:tr2bl w:val="nil"/>
            </w:tcBorders>
            <w:noWrap w:val="0"/>
            <w:vAlign w:val="center"/>
          </w:tcPr>
          <w:p>
            <w:pPr>
              <w:keepNext w:val="0"/>
              <w:keepLines w:val="0"/>
              <w:suppressLineNumbers w:val="0"/>
              <w:spacing w:beforeAutospacing="0" w:afterAutospacing="0" w:line="240" w:lineRule="auto"/>
              <w:ind w:left="0" w:leftChars="0" w:right="0" w:rightChars="0" w:firstLine="0" w:firstLineChars="0"/>
              <w:jc w:val="center"/>
              <w:rPr>
                <w:rFonts w:hint="eastAsia" w:ascii="宋体" w:hAnsi="宋体" w:eastAsia="宋体" w:cs="宋体"/>
                <w:color w:val="auto"/>
                <w:kern w:val="0"/>
                <w:szCs w:val="21"/>
                <w:highlight w:val="none"/>
              </w:rPr>
            </w:pPr>
            <w:r>
              <w:rPr>
                <w:rFonts w:hint="eastAsia" w:hAnsi="宋体"/>
                <w:color w:val="auto"/>
                <w:spacing w:val="0"/>
                <w:position w:val="0"/>
                <w:sz w:val="21"/>
                <w:szCs w:val="21"/>
                <w:highlight w:val="none"/>
                <w:lang w:val="en-US" w:eastAsia="zh-CN"/>
              </w:rPr>
              <w:t>最低环境温度</w:t>
            </w:r>
            <w:r>
              <w:rPr>
                <w:rFonts w:hint="default" w:hAnsi="宋体"/>
                <w:color w:val="auto"/>
                <w:spacing w:val="0"/>
                <w:position w:val="0"/>
                <w:sz w:val="21"/>
                <w:szCs w:val="21"/>
                <w:highlight w:val="none"/>
                <w:lang w:val="en-US" w:eastAsia="zh-CN"/>
              </w:rPr>
              <w:t>/</w:t>
            </w:r>
            <w:r>
              <w:rPr>
                <w:rFonts w:hint="eastAsia" w:hAnsi="宋体"/>
                <w:color w:val="auto"/>
                <w:spacing w:val="0"/>
                <w:position w:val="0"/>
                <w:sz w:val="21"/>
                <w:szCs w:val="21"/>
                <w:highlight w:val="none"/>
                <w:lang w:val="en-US" w:eastAsia="zh-CN"/>
              </w:rPr>
              <w:t>℃</w:t>
            </w:r>
          </w:p>
        </w:tc>
        <w:tc>
          <w:tcPr>
            <w:tcW w:w="3210" w:type="dxa"/>
            <w:tcBorders>
              <w:tl2br w:val="nil"/>
              <w:tr2bl w:val="nil"/>
            </w:tcBorders>
            <w:noWrap w:val="0"/>
            <w:vAlign w:val="center"/>
          </w:tcPr>
          <w:p>
            <w:pPr>
              <w:keepNext w:val="0"/>
              <w:keepLines w:val="0"/>
              <w:suppressLineNumbers w:val="0"/>
              <w:spacing w:beforeAutospacing="0" w:afterAutospacing="0" w:line="240" w:lineRule="auto"/>
              <w:ind w:left="0" w:leftChars="0" w:right="0" w:rightChars="0" w:firstLine="0" w:firstLineChars="0"/>
              <w:jc w:val="center"/>
              <w:rPr>
                <w:rFonts w:hint="eastAsia" w:ascii="宋体" w:hAnsi="宋体" w:eastAsia="宋体" w:cs="宋体"/>
                <w:color w:val="auto"/>
                <w:kern w:val="0"/>
                <w:szCs w:val="21"/>
                <w:highlight w:val="none"/>
              </w:rPr>
            </w:pPr>
            <w:r>
              <w:rPr>
                <w:rFonts w:hint="eastAsia" w:hAnsi="宋体"/>
                <w:color w:val="auto"/>
                <w:spacing w:val="0"/>
                <w:position w:val="0"/>
                <w:sz w:val="21"/>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409" w:type="dxa"/>
            <w:gridSpan w:val="2"/>
            <w:tcBorders>
              <w:tl2br w:val="nil"/>
              <w:tr2bl w:val="nil"/>
            </w:tcBorders>
            <w:noWrap w:val="0"/>
            <w:vAlign w:val="center"/>
          </w:tcPr>
          <w:p>
            <w:pPr>
              <w:keepNext w:val="0"/>
              <w:keepLines w:val="0"/>
              <w:suppressLineNumbers w:val="0"/>
              <w:spacing w:beforeAutospacing="0" w:afterAutospacing="0" w:line="240" w:lineRule="auto"/>
              <w:ind w:left="0" w:leftChars="0" w:right="0" w:rightChars="0" w:firstLine="0" w:firstLineChars="0"/>
              <w:jc w:val="center"/>
              <w:rPr>
                <w:rFonts w:hint="eastAsia" w:ascii="宋体" w:hAnsi="宋体" w:eastAsia="宋体" w:cs="宋体"/>
                <w:color w:val="auto"/>
                <w:kern w:val="0"/>
                <w:szCs w:val="21"/>
                <w:highlight w:val="none"/>
              </w:rPr>
            </w:pPr>
            <w:r>
              <w:rPr>
                <w:rFonts w:hint="eastAsia" w:hAnsi="宋体"/>
                <w:color w:val="auto"/>
                <w:spacing w:val="0"/>
                <w:position w:val="0"/>
                <w:sz w:val="21"/>
                <w:szCs w:val="21"/>
                <w:highlight w:val="none"/>
                <w:lang w:val="en-US" w:eastAsia="zh-CN"/>
              </w:rPr>
              <w:t>土地利用类型</w:t>
            </w:r>
          </w:p>
        </w:tc>
        <w:tc>
          <w:tcPr>
            <w:tcW w:w="3210" w:type="dxa"/>
            <w:tcBorders>
              <w:tl2br w:val="nil"/>
              <w:tr2bl w:val="nil"/>
            </w:tcBorders>
            <w:noWrap w:val="0"/>
            <w:vAlign w:val="center"/>
          </w:tcPr>
          <w:p>
            <w:pPr>
              <w:keepNext w:val="0"/>
              <w:keepLines w:val="0"/>
              <w:suppressLineNumbers w:val="0"/>
              <w:spacing w:beforeAutospacing="0" w:afterAutospacing="0" w:line="240" w:lineRule="auto"/>
              <w:ind w:left="0" w:leftChars="0" w:right="0" w:rightChars="0" w:firstLine="0" w:firstLineChars="0"/>
              <w:jc w:val="center"/>
              <w:rPr>
                <w:rFonts w:hint="default" w:ascii="宋体" w:hAnsi="宋体" w:eastAsia="宋体" w:cs="宋体"/>
                <w:color w:val="auto"/>
                <w:kern w:val="0"/>
                <w:szCs w:val="21"/>
                <w:highlight w:val="none"/>
                <w:lang w:val="en-US" w:eastAsia="zh-CN"/>
              </w:rPr>
            </w:pPr>
            <w:r>
              <w:rPr>
                <w:rFonts w:hint="eastAsia"/>
                <w:color w:val="auto"/>
                <w:spacing w:val="0"/>
                <w:position w:val="0"/>
                <w:sz w:val="21"/>
                <w:szCs w:val="21"/>
                <w:highlight w:val="none"/>
                <w:lang w:val="en-US" w:eastAsia="zh-CN"/>
              </w:rPr>
              <w:t>沙漠化荒地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5409" w:type="dxa"/>
            <w:gridSpan w:val="2"/>
            <w:tcBorders>
              <w:tl2br w:val="nil"/>
              <w:tr2bl w:val="nil"/>
            </w:tcBorders>
            <w:noWrap w:val="0"/>
            <w:vAlign w:val="center"/>
          </w:tcPr>
          <w:p>
            <w:pPr>
              <w:keepNext w:val="0"/>
              <w:keepLines w:val="0"/>
              <w:suppressLineNumbers w:val="0"/>
              <w:spacing w:beforeAutospacing="0" w:afterAutospacing="0" w:line="240" w:lineRule="auto"/>
              <w:ind w:left="0" w:leftChars="0" w:right="0" w:rightChars="0" w:firstLine="0" w:firstLineChars="0"/>
              <w:jc w:val="center"/>
              <w:rPr>
                <w:rFonts w:hint="eastAsia" w:ascii="宋体" w:hAnsi="宋体" w:eastAsia="宋体" w:cs="宋体"/>
                <w:color w:val="auto"/>
                <w:kern w:val="0"/>
                <w:szCs w:val="21"/>
                <w:highlight w:val="none"/>
              </w:rPr>
            </w:pPr>
            <w:r>
              <w:rPr>
                <w:rFonts w:hint="eastAsia" w:hAnsi="宋体"/>
                <w:color w:val="auto"/>
                <w:spacing w:val="0"/>
                <w:position w:val="0"/>
                <w:sz w:val="21"/>
                <w:szCs w:val="21"/>
                <w:highlight w:val="none"/>
                <w:lang w:val="en-US" w:eastAsia="zh-CN"/>
              </w:rPr>
              <w:t>区域湿度条件</w:t>
            </w:r>
          </w:p>
        </w:tc>
        <w:tc>
          <w:tcPr>
            <w:tcW w:w="3210" w:type="dxa"/>
            <w:tcBorders>
              <w:tl2br w:val="nil"/>
              <w:tr2bl w:val="nil"/>
            </w:tcBorders>
            <w:noWrap w:val="0"/>
            <w:vAlign w:val="center"/>
          </w:tcPr>
          <w:p>
            <w:pPr>
              <w:keepNext w:val="0"/>
              <w:keepLines w:val="0"/>
              <w:suppressLineNumbers w:val="0"/>
              <w:spacing w:beforeAutospacing="0" w:afterAutospacing="0" w:line="240" w:lineRule="auto"/>
              <w:ind w:left="0" w:leftChars="0" w:right="0" w:rightChars="0" w:firstLine="0" w:firstLineChars="0"/>
              <w:jc w:val="center"/>
              <w:rPr>
                <w:rFonts w:hint="eastAsia" w:ascii="宋体" w:hAnsi="宋体" w:eastAsia="宋体" w:cs="宋体"/>
                <w:color w:val="auto"/>
                <w:kern w:val="0"/>
                <w:szCs w:val="21"/>
                <w:highlight w:val="none"/>
              </w:rPr>
            </w:pPr>
            <w:r>
              <w:rPr>
                <w:rFonts w:hint="eastAsia" w:hAnsi="宋体"/>
                <w:color w:val="auto"/>
                <w:spacing w:val="0"/>
                <w:position w:val="0"/>
                <w:sz w:val="21"/>
                <w:szCs w:val="21"/>
                <w:highlight w:val="none"/>
                <w:lang w:val="en-US" w:eastAsia="zh-CN"/>
              </w:rPr>
              <w:t>干燥气候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702" w:type="dxa"/>
            <w:vMerge w:val="restart"/>
            <w:tcBorders>
              <w:tl2br w:val="nil"/>
              <w:tr2bl w:val="nil"/>
            </w:tcBorders>
            <w:noWrap w:val="0"/>
            <w:vAlign w:val="center"/>
          </w:tcPr>
          <w:p>
            <w:pPr>
              <w:keepNext w:val="0"/>
              <w:keepLines w:val="0"/>
              <w:suppressLineNumbers w:val="0"/>
              <w:spacing w:beforeAutospacing="0" w:afterAutospacing="0" w:line="240" w:lineRule="auto"/>
              <w:ind w:left="0" w:leftChars="0" w:right="0" w:rightChars="0" w:firstLine="0" w:firstLineChars="0"/>
              <w:jc w:val="center"/>
              <w:rPr>
                <w:rFonts w:hint="eastAsia" w:ascii="宋体" w:hAnsi="宋体" w:eastAsia="宋体" w:cs="宋体"/>
                <w:color w:val="auto"/>
                <w:kern w:val="0"/>
                <w:szCs w:val="21"/>
                <w:highlight w:val="none"/>
              </w:rPr>
            </w:pPr>
            <w:r>
              <w:rPr>
                <w:rFonts w:hint="eastAsia" w:hAnsi="宋体"/>
                <w:color w:val="auto"/>
                <w:spacing w:val="0"/>
                <w:position w:val="0"/>
                <w:sz w:val="21"/>
                <w:szCs w:val="21"/>
                <w:highlight w:val="none"/>
                <w:lang w:val="en-US" w:eastAsia="zh-CN"/>
              </w:rPr>
              <w:t>是否考虑地形</w:t>
            </w:r>
          </w:p>
        </w:tc>
        <w:tc>
          <w:tcPr>
            <w:tcW w:w="2707" w:type="dxa"/>
            <w:tcBorders>
              <w:tl2br w:val="nil"/>
              <w:tr2bl w:val="nil"/>
            </w:tcBorders>
            <w:noWrap w:val="0"/>
            <w:vAlign w:val="center"/>
          </w:tcPr>
          <w:p>
            <w:pPr>
              <w:keepNext w:val="0"/>
              <w:keepLines w:val="0"/>
              <w:suppressLineNumbers w:val="0"/>
              <w:spacing w:beforeAutospacing="0" w:afterAutospacing="0" w:line="240" w:lineRule="auto"/>
              <w:ind w:left="0" w:leftChars="0" w:right="0" w:rightChars="0" w:firstLine="0" w:firstLineChars="0"/>
              <w:jc w:val="center"/>
              <w:rPr>
                <w:rFonts w:hint="eastAsia" w:ascii="宋体" w:hAnsi="宋体" w:eastAsia="宋体" w:cs="宋体"/>
                <w:color w:val="auto"/>
                <w:kern w:val="0"/>
                <w:szCs w:val="21"/>
                <w:highlight w:val="none"/>
              </w:rPr>
            </w:pPr>
            <w:r>
              <w:rPr>
                <w:rFonts w:hint="eastAsia" w:hAnsi="宋体"/>
                <w:color w:val="auto"/>
                <w:spacing w:val="0"/>
                <w:position w:val="0"/>
                <w:sz w:val="21"/>
                <w:szCs w:val="21"/>
                <w:highlight w:val="none"/>
                <w:lang w:val="en-US" w:eastAsia="zh-CN"/>
              </w:rPr>
              <w:t>考虑地形</w:t>
            </w:r>
          </w:p>
        </w:tc>
        <w:tc>
          <w:tcPr>
            <w:tcW w:w="3210" w:type="dxa"/>
            <w:tcBorders>
              <w:tl2br w:val="nil"/>
              <w:tr2bl w:val="nil"/>
            </w:tcBorders>
            <w:noWrap w:val="0"/>
            <w:vAlign w:val="center"/>
          </w:tcPr>
          <w:p>
            <w:pPr>
              <w:keepNext w:val="0"/>
              <w:keepLines w:val="0"/>
              <w:suppressLineNumbers w:val="0"/>
              <w:spacing w:beforeAutospacing="0" w:afterAutospacing="0" w:line="240" w:lineRule="auto"/>
              <w:ind w:left="0" w:leftChars="0" w:right="0" w:rightChars="0" w:firstLine="0" w:firstLineChars="0"/>
              <w:jc w:val="center"/>
              <w:rPr>
                <w:rFonts w:hint="eastAsia" w:ascii="宋体" w:hAnsi="宋体" w:eastAsia="宋体" w:cs="宋体"/>
                <w:color w:val="auto"/>
                <w:kern w:val="0"/>
                <w:szCs w:val="21"/>
                <w:highlight w:val="none"/>
              </w:rPr>
            </w:pPr>
            <w:r>
              <w:rPr>
                <w:rFonts w:hint="eastAsia" w:hAnsi="宋体"/>
                <w:color w:val="auto"/>
                <w:spacing w:val="0"/>
                <w:position w:val="0"/>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702" w:type="dxa"/>
            <w:vMerge w:val="continue"/>
            <w:tcBorders>
              <w:tl2br w:val="nil"/>
              <w:tr2bl w:val="nil"/>
            </w:tcBorders>
            <w:noWrap w:val="0"/>
            <w:vAlign w:val="center"/>
          </w:tcPr>
          <w:p>
            <w:pPr>
              <w:keepNext w:val="0"/>
              <w:keepLines w:val="0"/>
              <w:suppressLineNumbers w:val="0"/>
              <w:spacing w:beforeAutospacing="0" w:afterAutospacing="0" w:line="240" w:lineRule="auto"/>
              <w:ind w:left="0" w:leftChars="0" w:right="0" w:rightChars="0" w:firstLine="0" w:firstLineChars="0"/>
              <w:jc w:val="center"/>
              <w:rPr>
                <w:rFonts w:hint="eastAsia" w:ascii="宋体" w:hAnsi="宋体" w:eastAsia="宋体" w:cs="宋体"/>
                <w:color w:val="auto"/>
                <w:kern w:val="0"/>
                <w:szCs w:val="21"/>
                <w:highlight w:val="none"/>
              </w:rPr>
            </w:pPr>
          </w:p>
        </w:tc>
        <w:tc>
          <w:tcPr>
            <w:tcW w:w="2707" w:type="dxa"/>
            <w:tcBorders>
              <w:tl2br w:val="nil"/>
              <w:tr2bl w:val="nil"/>
            </w:tcBorders>
            <w:noWrap w:val="0"/>
            <w:vAlign w:val="center"/>
          </w:tcPr>
          <w:p>
            <w:pPr>
              <w:keepNext w:val="0"/>
              <w:keepLines w:val="0"/>
              <w:suppressLineNumbers w:val="0"/>
              <w:spacing w:beforeAutospacing="0" w:afterAutospacing="0" w:line="240" w:lineRule="auto"/>
              <w:ind w:left="0" w:leftChars="0" w:right="0" w:rightChars="0" w:firstLine="0" w:firstLineChars="0"/>
              <w:jc w:val="center"/>
              <w:rPr>
                <w:rFonts w:hint="eastAsia" w:ascii="宋体" w:hAnsi="宋体" w:eastAsia="宋体" w:cs="宋体"/>
                <w:color w:val="auto"/>
                <w:kern w:val="0"/>
                <w:szCs w:val="21"/>
                <w:highlight w:val="none"/>
              </w:rPr>
            </w:pPr>
            <w:r>
              <w:rPr>
                <w:rFonts w:hint="eastAsia" w:hAnsi="宋体"/>
                <w:color w:val="auto"/>
                <w:spacing w:val="0"/>
                <w:position w:val="0"/>
                <w:sz w:val="21"/>
                <w:szCs w:val="21"/>
                <w:highlight w:val="none"/>
                <w:lang w:val="en-US" w:eastAsia="zh-CN"/>
              </w:rPr>
              <w:t>地形数据分辨率/m</w:t>
            </w:r>
          </w:p>
        </w:tc>
        <w:tc>
          <w:tcPr>
            <w:tcW w:w="3210" w:type="dxa"/>
            <w:tcBorders>
              <w:tl2br w:val="nil"/>
              <w:tr2bl w:val="nil"/>
            </w:tcBorders>
            <w:noWrap w:val="0"/>
            <w:vAlign w:val="center"/>
          </w:tcPr>
          <w:p>
            <w:pPr>
              <w:keepNext w:val="0"/>
              <w:keepLines w:val="0"/>
              <w:suppressLineNumbers w:val="0"/>
              <w:spacing w:beforeAutospacing="0" w:afterAutospacing="0" w:line="240" w:lineRule="auto"/>
              <w:ind w:left="0" w:leftChars="0" w:right="0" w:rightChars="0" w:firstLine="0" w:firstLineChars="0"/>
              <w:jc w:val="center"/>
              <w:rPr>
                <w:rFonts w:hint="eastAsia" w:ascii="宋体" w:hAnsi="宋体" w:eastAsia="宋体" w:cs="宋体"/>
                <w:color w:val="auto"/>
                <w:kern w:val="0"/>
                <w:szCs w:val="21"/>
                <w:highlight w:val="none"/>
              </w:rPr>
            </w:pPr>
            <w:r>
              <w:rPr>
                <w:rFonts w:hint="eastAsia" w:hAnsi="宋体"/>
                <w:color w:val="auto"/>
                <w:spacing w:val="0"/>
                <w:position w:val="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702" w:type="dxa"/>
            <w:vMerge w:val="restart"/>
            <w:tcBorders>
              <w:tl2br w:val="nil"/>
              <w:tr2bl w:val="nil"/>
            </w:tcBorders>
            <w:noWrap w:val="0"/>
            <w:vAlign w:val="center"/>
          </w:tcPr>
          <w:p>
            <w:pPr>
              <w:keepNext w:val="0"/>
              <w:keepLines w:val="0"/>
              <w:suppressLineNumbers w:val="0"/>
              <w:spacing w:beforeAutospacing="0" w:afterAutospacing="0" w:line="240" w:lineRule="auto"/>
              <w:ind w:left="0" w:leftChars="0" w:right="0" w:rightChars="0" w:firstLine="0" w:firstLineChars="0"/>
              <w:jc w:val="center"/>
              <w:rPr>
                <w:rFonts w:hint="eastAsia" w:ascii="宋体" w:hAnsi="宋体" w:eastAsia="宋体" w:cs="宋体"/>
                <w:color w:val="auto"/>
                <w:kern w:val="0"/>
                <w:szCs w:val="21"/>
                <w:highlight w:val="none"/>
              </w:rPr>
            </w:pPr>
            <w:r>
              <w:rPr>
                <w:rFonts w:hint="eastAsia" w:hAnsi="宋体"/>
                <w:color w:val="auto"/>
                <w:spacing w:val="0"/>
                <w:position w:val="0"/>
                <w:sz w:val="21"/>
                <w:szCs w:val="21"/>
                <w:highlight w:val="none"/>
                <w:lang w:val="en-US" w:eastAsia="zh-CN"/>
              </w:rPr>
              <w:t>是否考虑岸线熏烟</w:t>
            </w:r>
          </w:p>
        </w:tc>
        <w:tc>
          <w:tcPr>
            <w:tcW w:w="2707" w:type="dxa"/>
            <w:tcBorders>
              <w:tl2br w:val="nil"/>
              <w:tr2bl w:val="nil"/>
            </w:tcBorders>
            <w:noWrap w:val="0"/>
            <w:vAlign w:val="center"/>
          </w:tcPr>
          <w:p>
            <w:pPr>
              <w:keepNext w:val="0"/>
              <w:keepLines w:val="0"/>
              <w:suppressLineNumbers w:val="0"/>
              <w:spacing w:beforeAutospacing="0" w:afterAutospacing="0" w:line="240" w:lineRule="auto"/>
              <w:ind w:left="0" w:leftChars="0" w:right="0" w:rightChars="0" w:firstLine="0" w:firstLineChars="0"/>
              <w:jc w:val="center"/>
              <w:rPr>
                <w:rFonts w:hint="eastAsia" w:ascii="宋体" w:hAnsi="宋体" w:eastAsia="宋体" w:cs="宋体"/>
                <w:color w:val="auto"/>
                <w:kern w:val="0"/>
                <w:szCs w:val="21"/>
                <w:highlight w:val="none"/>
              </w:rPr>
            </w:pPr>
            <w:r>
              <w:rPr>
                <w:rFonts w:hint="eastAsia" w:hAnsi="宋体"/>
                <w:color w:val="auto"/>
                <w:spacing w:val="0"/>
                <w:position w:val="0"/>
                <w:sz w:val="21"/>
                <w:szCs w:val="21"/>
                <w:highlight w:val="none"/>
                <w:lang w:val="en-US" w:eastAsia="zh-CN"/>
              </w:rPr>
              <w:t>考虑岸线熏烟</w:t>
            </w:r>
          </w:p>
        </w:tc>
        <w:tc>
          <w:tcPr>
            <w:tcW w:w="3210" w:type="dxa"/>
            <w:tcBorders>
              <w:tl2br w:val="nil"/>
              <w:tr2bl w:val="nil"/>
            </w:tcBorders>
            <w:noWrap w:val="0"/>
            <w:vAlign w:val="center"/>
          </w:tcPr>
          <w:p>
            <w:pPr>
              <w:keepNext w:val="0"/>
              <w:keepLines w:val="0"/>
              <w:suppressLineNumbers w:val="0"/>
              <w:spacing w:beforeAutospacing="0" w:afterAutospacing="0" w:line="240" w:lineRule="auto"/>
              <w:ind w:left="0" w:leftChars="0" w:right="0" w:rightChars="0" w:firstLine="0" w:firstLineChars="0"/>
              <w:jc w:val="center"/>
              <w:rPr>
                <w:rFonts w:hint="eastAsia" w:ascii="宋体" w:hAnsi="宋体" w:eastAsia="宋体" w:cs="宋体"/>
                <w:color w:val="auto"/>
                <w:kern w:val="0"/>
                <w:szCs w:val="21"/>
                <w:highlight w:val="none"/>
              </w:rPr>
            </w:pPr>
            <w:r>
              <w:rPr>
                <w:rFonts w:hint="eastAsia" w:hAnsi="宋体"/>
                <w:color w:val="auto"/>
                <w:spacing w:val="0"/>
                <w:position w:val="0"/>
                <w:sz w:val="21"/>
                <w:szCs w:val="21"/>
                <w:highlight w:val="none"/>
                <w:lang w:val="en-US" w:eastAsia="zh-CN"/>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702" w:type="dxa"/>
            <w:vMerge w:val="continue"/>
            <w:tcBorders>
              <w:tl2br w:val="nil"/>
              <w:tr2bl w:val="nil"/>
            </w:tcBorders>
            <w:noWrap w:val="0"/>
            <w:vAlign w:val="center"/>
          </w:tcPr>
          <w:p>
            <w:pPr>
              <w:keepNext w:val="0"/>
              <w:keepLines w:val="0"/>
              <w:suppressLineNumbers w:val="0"/>
              <w:spacing w:beforeAutospacing="0" w:afterAutospacing="0" w:line="240" w:lineRule="auto"/>
              <w:ind w:left="0" w:leftChars="0" w:right="0" w:rightChars="0" w:firstLine="0" w:firstLineChars="0"/>
              <w:jc w:val="center"/>
              <w:rPr>
                <w:rFonts w:hint="eastAsia" w:ascii="宋体" w:hAnsi="宋体" w:eastAsia="宋体" w:cs="宋体"/>
                <w:color w:val="auto"/>
                <w:kern w:val="0"/>
                <w:szCs w:val="21"/>
                <w:highlight w:val="none"/>
              </w:rPr>
            </w:pPr>
          </w:p>
        </w:tc>
        <w:tc>
          <w:tcPr>
            <w:tcW w:w="2707" w:type="dxa"/>
            <w:tcBorders>
              <w:tl2br w:val="nil"/>
              <w:tr2bl w:val="nil"/>
            </w:tcBorders>
            <w:noWrap w:val="0"/>
            <w:vAlign w:val="center"/>
          </w:tcPr>
          <w:p>
            <w:pPr>
              <w:keepNext w:val="0"/>
              <w:keepLines w:val="0"/>
              <w:suppressLineNumbers w:val="0"/>
              <w:spacing w:beforeAutospacing="0" w:afterAutospacing="0" w:line="240" w:lineRule="auto"/>
              <w:ind w:left="0" w:leftChars="0" w:right="0" w:rightChars="0" w:firstLine="0" w:firstLineChars="0"/>
              <w:jc w:val="center"/>
              <w:rPr>
                <w:rFonts w:hint="eastAsia" w:ascii="宋体" w:hAnsi="宋体" w:eastAsia="宋体" w:cs="宋体"/>
                <w:color w:val="auto"/>
                <w:kern w:val="0"/>
                <w:szCs w:val="21"/>
                <w:highlight w:val="none"/>
              </w:rPr>
            </w:pPr>
            <w:r>
              <w:rPr>
                <w:rFonts w:hint="eastAsia" w:hAnsi="宋体"/>
                <w:color w:val="auto"/>
                <w:spacing w:val="0"/>
                <w:position w:val="0"/>
                <w:sz w:val="21"/>
                <w:szCs w:val="21"/>
                <w:highlight w:val="none"/>
                <w:lang w:val="en-US" w:eastAsia="zh-CN"/>
              </w:rPr>
              <w:t>岸线距离</w:t>
            </w:r>
            <w:r>
              <w:rPr>
                <w:rFonts w:hint="default" w:hAnsi="宋体"/>
                <w:color w:val="auto"/>
                <w:spacing w:val="0"/>
                <w:position w:val="0"/>
                <w:sz w:val="21"/>
                <w:szCs w:val="21"/>
                <w:highlight w:val="none"/>
                <w:lang w:val="en-US" w:eastAsia="zh-CN"/>
              </w:rPr>
              <w:t>/km</w:t>
            </w:r>
          </w:p>
        </w:tc>
        <w:tc>
          <w:tcPr>
            <w:tcW w:w="3210" w:type="dxa"/>
            <w:tcBorders>
              <w:tl2br w:val="nil"/>
              <w:tr2bl w:val="nil"/>
            </w:tcBorders>
            <w:noWrap w:val="0"/>
            <w:vAlign w:val="center"/>
          </w:tcPr>
          <w:p>
            <w:pPr>
              <w:keepNext w:val="0"/>
              <w:keepLines w:val="0"/>
              <w:suppressLineNumbers w:val="0"/>
              <w:spacing w:beforeAutospacing="0" w:afterAutospacing="0" w:line="240" w:lineRule="auto"/>
              <w:ind w:left="0" w:leftChars="0" w:right="0" w:rightChars="0" w:firstLine="0" w:firstLineChars="0"/>
              <w:jc w:val="center"/>
              <w:rPr>
                <w:rFonts w:hint="eastAsia" w:ascii="宋体" w:hAnsi="宋体" w:eastAsia="宋体" w:cs="宋体"/>
                <w:color w:val="auto"/>
                <w:kern w:val="0"/>
                <w:szCs w:val="21"/>
                <w:highlight w:val="none"/>
              </w:rPr>
            </w:pPr>
            <w:r>
              <w:rPr>
                <w:rFonts w:hint="eastAsia" w:hAnsi="宋体"/>
                <w:color w:val="auto"/>
                <w:spacing w:val="0"/>
                <w:position w:val="0"/>
                <w:sz w:val="21"/>
                <w:szCs w:val="21"/>
                <w:highlight w:val="none"/>
                <w:lang w:val="en-US" w:eastAsia="zh-CN"/>
              </w:rPr>
              <w:t>/</w:t>
            </w:r>
          </w:p>
        </w:tc>
      </w:tr>
    </w:tbl>
    <w:p>
      <w:pPr>
        <w:pStyle w:val="22"/>
        <w:bidi w:val="0"/>
        <w:rPr>
          <w:b/>
          <w:bCs/>
          <w:color w:val="auto"/>
          <w:highlight w:val="none"/>
        </w:rPr>
      </w:pPr>
      <w:r>
        <w:rPr>
          <w:b/>
          <w:bCs/>
          <w:color w:val="auto"/>
          <w:highlight w:val="none"/>
        </w:rPr>
        <w:t>表2.</w:t>
      </w:r>
      <w:r>
        <w:rPr>
          <w:rFonts w:hint="eastAsia"/>
          <w:b/>
          <w:bCs/>
          <w:color w:val="auto"/>
          <w:highlight w:val="none"/>
          <w:lang w:val="en-US" w:eastAsia="zh-CN"/>
        </w:rPr>
        <w:t>6</w:t>
      </w:r>
      <w:r>
        <w:rPr>
          <w:b/>
          <w:bCs/>
          <w:color w:val="auto"/>
          <w:highlight w:val="none"/>
        </w:rPr>
        <w:t>-3项目无组织大气污染源特征参数</w:t>
      </w:r>
    </w:p>
    <w:tbl>
      <w:tblPr>
        <w:tblStyle w:val="23"/>
        <w:tblW w:w="897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9"/>
        <w:gridCol w:w="750"/>
        <w:gridCol w:w="911"/>
        <w:gridCol w:w="818"/>
        <w:gridCol w:w="722"/>
        <w:gridCol w:w="772"/>
        <w:gridCol w:w="583"/>
        <w:gridCol w:w="788"/>
        <w:gridCol w:w="655"/>
        <w:gridCol w:w="1108"/>
        <w:gridCol w:w="13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479" w:type="dxa"/>
            <w:vMerge w:val="restart"/>
            <w:tcBorders>
              <w:bottom w:val="nil"/>
            </w:tcBorders>
            <w:textDirection w:val="tbRlV"/>
            <w:vAlign w:val="center"/>
          </w:tcPr>
          <w:p>
            <w:pPr>
              <w:pStyle w:val="22"/>
              <w:bidi w:val="0"/>
              <w:rPr>
                <w:b/>
                <w:bCs/>
                <w:color w:val="auto"/>
              </w:rPr>
            </w:pPr>
            <w:r>
              <w:rPr>
                <w:b/>
                <w:bCs/>
                <w:color w:val="auto"/>
              </w:rPr>
              <w:t>编号</w:t>
            </w:r>
          </w:p>
        </w:tc>
        <w:tc>
          <w:tcPr>
            <w:tcW w:w="750" w:type="dxa"/>
            <w:vMerge w:val="restart"/>
            <w:tcBorders>
              <w:bottom w:val="nil"/>
            </w:tcBorders>
            <w:textDirection w:val="tbRlV"/>
            <w:vAlign w:val="center"/>
          </w:tcPr>
          <w:p>
            <w:pPr>
              <w:pStyle w:val="22"/>
              <w:bidi w:val="0"/>
              <w:rPr>
                <w:b/>
                <w:bCs/>
                <w:color w:val="auto"/>
              </w:rPr>
            </w:pPr>
            <w:r>
              <w:rPr>
                <w:b/>
                <w:bCs/>
                <w:color w:val="auto"/>
              </w:rPr>
              <w:t>名称</w:t>
            </w:r>
          </w:p>
        </w:tc>
        <w:tc>
          <w:tcPr>
            <w:tcW w:w="911" w:type="dxa"/>
            <w:vMerge w:val="restart"/>
            <w:tcBorders>
              <w:bottom w:val="nil"/>
            </w:tcBorders>
            <w:vAlign w:val="center"/>
          </w:tcPr>
          <w:p>
            <w:pPr>
              <w:pStyle w:val="22"/>
              <w:bidi w:val="0"/>
              <w:rPr>
                <w:b/>
                <w:bCs/>
                <w:color w:val="auto"/>
              </w:rPr>
            </w:pPr>
            <w:r>
              <w:rPr>
                <w:b/>
                <w:bCs/>
                <w:color w:val="auto"/>
              </w:rPr>
              <w:t>面源海拔</w:t>
            </w:r>
          </w:p>
          <w:p>
            <w:pPr>
              <w:pStyle w:val="22"/>
              <w:bidi w:val="0"/>
              <w:rPr>
                <w:b/>
                <w:bCs/>
                <w:color w:val="auto"/>
              </w:rPr>
            </w:pPr>
            <w:r>
              <w:rPr>
                <w:b/>
                <w:bCs/>
                <w:color w:val="auto"/>
              </w:rPr>
              <w:t>高度/m</w:t>
            </w:r>
          </w:p>
        </w:tc>
        <w:tc>
          <w:tcPr>
            <w:tcW w:w="818" w:type="dxa"/>
            <w:vMerge w:val="restart"/>
            <w:tcBorders>
              <w:bottom w:val="nil"/>
            </w:tcBorders>
            <w:vAlign w:val="center"/>
          </w:tcPr>
          <w:p>
            <w:pPr>
              <w:pStyle w:val="22"/>
              <w:bidi w:val="0"/>
              <w:jc w:val="center"/>
              <w:rPr>
                <w:b/>
                <w:bCs/>
                <w:color w:val="auto"/>
              </w:rPr>
            </w:pPr>
            <w:r>
              <w:rPr>
                <w:b/>
                <w:bCs/>
                <w:color w:val="auto"/>
              </w:rPr>
              <w:t>面源长度/m</w:t>
            </w:r>
          </w:p>
        </w:tc>
        <w:tc>
          <w:tcPr>
            <w:tcW w:w="722" w:type="dxa"/>
            <w:vMerge w:val="restart"/>
            <w:tcBorders>
              <w:bottom w:val="nil"/>
              <w:right w:val="single" w:color="000000" w:sz="4" w:space="0"/>
            </w:tcBorders>
            <w:vAlign w:val="center"/>
          </w:tcPr>
          <w:p>
            <w:pPr>
              <w:pStyle w:val="22"/>
              <w:bidi w:val="0"/>
              <w:jc w:val="center"/>
              <w:rPr>
                <w:b/>
                <w:bCs/>
                <w:color w:val="auto"/>
              </w:rPr>
            </w:pPr>
            <w:r>
              <w:rPr>
                <w:b/>
                <w:bCs/>
                <w:color w:val="auto"/>
              </w:rPr>
              <w:t>面源宽度/m</w:t>
            </w:r>
          </w:p>
        </w:tc>
        <w:tc>
          <w:tcPr>
            <w:tcW w:w="772" w:type="dxa"/>
            <w:vMerge w:val="restart"/>
            <w:tcBorders>
              <w:left w:val="single" w:color="000000" w:sz="4" w:space="0"/>
              <w:bottom w:val="nil"/>
            </w:tcBorders>
            <w:vAlign w:val="center"/>
          </w:tcPr>
          <w:p>
            <w:pPr>
              <w:pStyle w:val="22"/>
              <w:bidi w:val="0"/>
              <w:jc w:val="center"/>
              <w:rPr>
                <w:b/>
                <w:bCs/>
                <w:color w:val="auto"/>
              </w:rPr>
            </w:pPr>
            <w:r>
              <w:rPr>
                <w:b/>
                <w:bCs/>
                <w:color w:val="auto"/>
              </w:rPr>
              <w:t>与正北方向夹角/°</w:t>
            </w:r>
          </w:p>
        </w:tc>
        <w:tc>
          <w:tcPr>
            <w:tcW w:w="583" w:type="dxa"/>
            <w:vMerge w:val="restart"/>
            <w:tcBorders>
              <w:bottom w:val="nil"/>
            </w:tcBorders>
            <w:vAlign w:val="center"/>
          </w:tcPr>
          <w:p>
            <w:pPr>
              <w:pStyle w:val="22"/>
              <w:bidi w:val="0"/>
              <w:jc w:val="center"/>
              <w:rPr>
                <w:b/>
                <w:bCs/>
                <w:color w:val="auto"/>
              </w:rPr>
            </w:pPr>
            <w:r>
              <w:rPr>
                <w:b/>
                <w:bCs/>
                <w:color w:val="auto"/>
              </w:rPr>
              <w:t>面源有效排放高度/m</w:t>
            </w:r>
          </w:p>
        </w:tc>
        <w:tc>
          <w:tcPr>
            <w:tcW w:w="788" w:type="dxa"/>
            <w:vMerge w:val="restart"/>
            <w:tcBorders>
              <w:bottom w:val="nil"/>
            </w:tcBorders>
            <w:vAlign w:val="center"/>
          </w:tcPr>
          <w:p>
            <w:pPr>
              <w:pStyle w:val="22"/>
              <w:bidi w:val="0"/>
              <w:rPr>
                <w:b/>
                <w:bCs/>
                <w:color w:val="auto"/>
              </w:rPr>
            </w:pPr>
          </w:p>
          <w:p>
            <w:pPr>
              <w:pStyle w:val="22"/>
              <w:bidi w:val="0"/>
              <w:jc w:val="center"/>
              <w:rPr>
                <w:b/>
                <w:bCs/>
                <w:color w:val="auto"/>
              </w:rPr>
            </w:pPr>
            <w:r>
              <w:rPr>
                <w:b/>
                <w:bCs/>
                <w:color w:val="auto"/>
              </w:rPr>
              <w:t>年排放小时数/h</w:t>
            </w:r>
          </w:p>
        </w:tc>
        <w:tc>
          <w:tcPr>
            <w:tcW w:w="655" w:type="dxa"/>
            <w:vMerge w:val="restart"/>
            <w:tcBorders>
              <w:bottom w:val="nil"/>
            </w:tcBorders>
            <w:textDirection w:val="tbRlV"/>
            <w:vAlign w:val="center"/>
          </w:tcPr>
          <w:p>
            <w:pPr>
              <w:pStyle w:val="22"/>
              <w:bidi w:val="0"/>
              <w:rPr>
                <w:b/>
                <w:bCs/>
                <w:color w:val="auto"/>
              </w:rPr>
            </w:pPr>
            <w:r>
              <w:rPr>
                <w:b/>
                <w:bCs/>
                <w:color w:val="auto"/>
              </w:rPr>
              <w:t>排放工况</w:t>
            </w:r>
          </w:p>
        </w:tc>
        <w:tc>
          <w:tcPr>
            <w:tcW w:w="2497" w:type="dxa"/>
            <w:gridSpan w:val="2"/>
            <w:vAlign w:val="center"/>
          </w:tcPr>
          <w:p>
            <w:pPr>
              <w:pStyle w:val="22"/>
              <w:bidi w:val="0"/>
              <w:rPr>
                <w:b/>
                <w:bCs/>
                <w:color w:val="auto"/>
              </w:rPr>
            </w:pPr>
            <w:r>
              <w:rPr>
                <w:b/>
                <w:bCs/>
                <w:color w:val="auto"/>
              </w:rPr>
              <w:t>污染物排放速率</w:t>
            </w:r>
          </w:p>
          <w:p>
            <w:pPr>
              <w:pStyle w:val="22"/>
              <w:bidi w:val="0"/>
              <w:rPr>
                <w:b/>
                <w:bCs/>
                <w:color w:val="auto"/>
              </w:rPr>
            </w:pPr>
            <w:r>
              <w:rPr>
                <w:b/>
                <w:bCs/>
                <w:color w:val="auto"/>
              </w:rPr>
              <w:t>/(g/</w:t>
            </w:r>
            <w:r>
              <w:rPr>
                <w:rFonts w:hint="eastAsia"/>
                <w:b/>
                <w:bCs/>
                <w:color w:val="auto"/>
                <w:lang w:val="en-US" w:eastAsia="zh-CN"/>
              </w:rPr>
              <w:t>s</w:t>
            </w:r>
            <w:r>
              <w:rPr>
                <w:b/>
                <w:bCs/>
                <w:color w:val="auto"/>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jc w:val="center"/>
        </w:trPr>
        <w:tc>
          <w:tcPr>
            <w:tcW w:w="479" w:type="dxa"/>
            <w:vMerge w:val="continue"/>
            <w:tcBorders>
              <w:top w:val="nil"/>
            </w:tcBorders>
            <w:textDirection w:val="tbRlV"/>
            <w:vAlign w:val="center"/>
          </w:tcPr>
          <w:p>
            <w:pPr>
              <w:pStyle w:val="22"/>
              <w:bidi w:val="0"/>
              <w:rPr>
                <w:b/>
                <w:bCs/>
                <w:color w:val="auto"/>
              </w:rPr>
            </w:pPr>
          </w:p>
        </w:tc>
        <w:tc>
          <w:tcPr>
            <w:tcW w:w="750" w:type="dxa"/>
            <w:vMerge w:val="continue"/>
            <w:tcBorders>
              <w:top w:val="nil"/>
            </w:tcBorders>
            <w:textDirection w:val="tbRlV"/>
            <w:vAlign w:val="center"/>
          </w:tcPr>
          <w:p>
            <w:pPr>
              <w:pStyle w:val="22"/>
              <w:bidi w:val="0"/>
              <w:rPr>
                <w:b/>
                <w:bCs/>
                <w:color w:val="auto"/>
              </w:rPr>
            </w:pPr>
          </w:p>
        </w:tc>
        <w:tc>
          <w:tcPr>
            <w:tcW w:w="911" w:type="dxa"/>
            <w:vMerge w:val="continue"/>
            <w:tcBorders>
              <w:top w:val="nil"/>
            </w:tcBorders>
            <w:vAlign w:val="center"/>
          </w:tcPr>
          <w:p>
            <w:pPr>
              <w:pStyle w:val="22"/>
              <w:bidi w:val="0"/>
              <w:rPr>
                <w:b/>
                <w:bCs/>
                <w:color w:val="auto"/>
              </w:rPr>
            </w:pPr>
          </w:p>
        </w:tc>
        <w:tc>
          <w:tcPr>
            <w:tcW w:w="818" w:type="dxa"/>
            <w:vMerge w:val="continue"/>
            <w:tcBorders>
              <w:top w:val="nil"/>
            </w:tcBorders>
            <w:vAlign w:val="center"/>
          </w:tcPr>
          <w:p>
            <w:pPr>
              <w:pStyle w:val="22"/>
              <w:bidi w:val="0"/>
              <w:rPr>
                <w:b/>
                <w:bCs/>
                <w:color w:val="auto"/>
              </w:rPr>
            </w:pPr>
          </w:p>
        </w:tc>
        <w:tc>
          <w:tcPr>
            <w:tcW w:w="722" w:type="dxa"/>
            <w:vMerge w:val="continue"/>
            <w:tcBorders>
              <w:top w:val="nil"/>
              <w:right w:val="single" w:color="000000" w:sz="4" w:space="0"/>
            </w:tcBorders>
            <w:vAlign w:val="center"/>
          </w:tcPr>
          <w:p>
            <w:pPr>
              <w:pStyle w:val="22"/>
              <w:bidi w:val="0"/>
              <w:rPr>
                <w:b/>
                <w:bCs/>
                <w:color w:val="auto"/>
              </w:rPr>
            </w:pPr>
          </w:p>
        </w:tc>
        <w:tc>
          <w:tcPr>
            <w:tcW w:w="772" w:type="dxa"/>
            <w:vMerge w:val="continue"/>
            <w:tcBorders>
              <w:top w:val="nil"/>
              <w:left w:val="single" w:color="000000" w:sz="4" w:space="0"/>
            </w:tcBorders>
            <w:vAlign w:val="center"/>
          </w:tcPr>
          <w:p>
            <w:pPr>
              <w:pStyle w:val="22"/>
              <w:bidi w:val="0"/>
              <w:rPr>
                <w:b/>
                <w:bCs/>
                <w:color w:val="auto"/>
              </w:rPr>
            </w:pPr>
          </w:p>
        </w:tc>
        <w:tc>
          <w:tcPr>
            <w:tcW w:w="583" w:type="dxa"/>
            <w:vMerge w:val="continue"/>
            <w:tcBorders>
              <w:top w:val="nil"/>
            </w:tcBorders>
            <w:vAlign w:val="center"/>
          </w:tcPr>
          <w:p>
            <w:pPr>
              <w:pStyle w:val="22"/>
              <w:bidi w:val="0"/>
              <w:rPr>
                <w:b/>
                <w:bCs/>
                <w:color w:val="auto"/>
              </w:rPr>
            </w:pPr>
          </w:p>
        </w:tc>
        <w:tc>
          <w:tcPr>
            <w:tcW w:w="788" w:type="dxa"/>
            <w:vMerge w:val="continue"/>
            <w:tcBorders>
              <w:top w:val="nil"/>
            </w:tcBorders>
            <w:vAlign w:val="center"/>
          </w:tcPr>
          <w:p>
            <w:pPr>
              <w:pStyle w:val="22"/>
              <w:bidi w:val="0"/>
              <w:rPr>
                <w:b/>
                <w:bCs/>
                <w:color w:val="auto"/>
              </w:rPr>
            </w:pPr>
          </w:p>
        </w:tc>
        <w:tc>
          <w:tcPr>
            <w:tcW w:w="655" w:type="dxa"/>
            <w:vMerge w:val="continue"/>
            <w:tcBorders>
              <w:top w:val="nil"/>
            </w:tcBorders>
            <w:textDirection w:val="tbRlV"/>
            <w:vAlign w:val="center"/>
          </w:tcPr>
          <w:p>
            <w:pPr>
              <w:pStyle w:val="22"/>
              <w:bidi w:val="0"/>
              <w:rPr>
                <w:b/>
                <w:bCs/>
                <w:color w:val="auto"/>
              </w:rPr>
            </w:pPr>
          </w:p>
        </w:tc>
        <w:tc>
          <w:tcPr>
            <w:tcW w:w="1108" w:type="dxa"/>
            <w:vAlign w:val="center"/>
          </w:tcPr>
          <w:p>
            <w:pPr>
              <w:pStyle w:val="22"/>
              <w:bidi w:val="0"/>
              <w:rPr>
                <w:b/>
                <w:bCs/>
                <w:color w:val="auto"/>
              </w:rPr>
            </w:pPr>
            <w:r>
              <w:rPr>
                <w:b/>
                <w:bCs/>
                <w:color w:val="auto"/>
              </w:rPr>
              <w:t>NH</w:t>
            </w:r>
            <w:r>
              <w:rPr>
                <w:b/>
                <w:bCs/>
                <w:color w:val="auto"/>
                <w:vertAlign w:val="subscript"/>
              </w:rPr>
              <w:t>3</w:t>
            </w:r>
          </w:p>
        </w:tc>
        <w:tc>
          <w:tcPr>
            <w:tcW w:w="1389" w:type="dxa"/>
            <w:vAlign w:val="center"/>
          </w:tcPr>
          <w:p>
            <w:pPr>
              <w:pStyle w:val="22"/>
              <w:bidi w:val="0"/>
              <w:rPr>
                <w:b/>
                <w:bCs/>
                <w:color w:val="auto"/>
              </w:rPr>
            </w:pPr>
            <w:r>
              <w:rPr>
                <w:b/>
                <w:bCs/>
                <w:color w:val="auto"/>
              </w:rPr>
              <w:t>H</w:t>
            </w:r>
            <w:r>
              <w:rPr>
                <w:b/>
                <w:bCs/>
                <w:color w:val="auto"/>
                <w:vertAlign w:val="subscript"/>
              </w:rPr>
              <w:t>2</w:t>
            </w:r>
            <w:r>
              <w:rPr>
                <w:b/>
                <w:bCs/>
                <w:color w:val="auto"/>
              </w:rPr>
              <w: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jc w:val="center"/>
        </w:trPr>
        <w:tc>
          <w:tcPr>
            <w:tcW w:w="479" w:type="dxa"/>
            <w:vAlign w:val="center"/>
          </w:tcPr>
          <w:p>
            <w:pPr>
              <w:pStyle w:val="22"/>
              <w:bidi w:val="0"/>
              <w:rPr>
                <w:color w:val="auto"/>
              </w:rPr>
            </w:pPr>
            <w:r>
              <w:rPr>
                <w:color w:val="auto"/>
              </w:rPr>
              <w:t>1</w:t>
            </w:r>
          </w:p>
        </w:tc>
        <w:tc>
          <w:tcPr>
            <w:tcW w:w="750" w:type="dxa"/>
            <w:vAlign w:val="center"/>
          </w:tcPr>
          <w:p>
            <w:pPr>
              <w:pStyle w:val="22"/>
              <w:bidi w:val="0"/>
              <w:rPr>
                <w:rFonts w:hint="default"/>
                <w:color w:val="auto"/>
                <w:lang w:val="en-US" w:eastAsia="zh-CN"/>
              </w:rPr>
            </w:pPr>
            <w:r>
              <w:rPr>
                <w:rFonts w:hint="eastAsia"/>
                <w:color w:val="auto"/>
                <w:lang w:val="en-US" w:eastAsia="zh-CN"/>
              </w:rPr>
              <w:t>污水处理站</w:t>
            </w:r>
          </w:p>
        </w:tc>
        <w:tc>
          <w:tcPr>
            <w:tcW w:w="911" w:type="dxa"/>
            <w:vAlign w:val="center"/>
          </w:tcPr>
          <w:p>
            <w:pPr>
              <w:pStyle w:val="22"/>
              <w:bidi w:val="0"/>
              <w:rPr>
                <w:rFonts w:hint="default" w:eastAsia="宋体"/>
                <w:color w:val="auto"/>
                <w:lang w:val="en-US" w:eastAsia="zh-CN"/>
              </w:rPr>
            </w:pPr>
            <w:r>
              <w:rPr>
                <w:rFonts w:hint="eastAsia"/>
                <w:color w:val="auto"/>
                <w:lang w:val="en-US" w:eastAsia="zh-CN"/>
              </w:rPr>
              <w:t>1329</w:t>
            </w:r>
          </w:p>
        </w:tc>
        <w:tc>
          <w:tcPr>
            <w:tcW w:w="818" w:type="dxa"/>
            <w:vAlign w:val="center"/>
          </w:tcPr>
          <w:p>
            <w:pPr>
              <w:pStyle w:val="22"/>
              <w:bidi w:val="0"/>
              <w:rPr>
                <w:rFonts w:hint="default" w:eastAsia="宋体"/>
                <w:color w:val="auto"/>
                <w:lang w:val="en-US" w:eastAsia="zh-CN"/>
              </w:rPr>
            </w:pPr>
            <w:r>
              <w:rPr>
                <w:rFonts w:hint="eastAsia"/>
                <w:color w:val="auto"/>
                <w:lang w:val="en-US" w:eastAsia="zh-CN"/>
              </w:rPr>
              <w:t>2.5</w:t>
            </w:r>
          </w:p>
        </w:tc>
        <w:tc>
          <w:tcPr>
            <w:tcW w:w="722" w:type="dxa"/>
            <w:tcBorders>
              <w:right w:val="single" w:color="000000" w:sz="4" w:space="0"/>
            </w:tcBorders>
            <w:vAlign w:val="center"/>
          </w:tcPr>
          <w:p>
            <w:pPr>
              <w:pStyle w:val="22"/>
              <w:bidi w:val="0"/>
              <w:rPr>
                <w:rFonts w:hint="default" w:eastAsia="宋体"/>
                <w:color w:val="auto"/>
                <w:lang w:val="en-US" w:eastAsia="zh-CN"/>
              </w:rPr>
            </w:pPr>
            <w:r>
              <w:rPr>
                <w:rFonts w:hint="eastAsia"/>
                <w:color w:val="auto"/>
                <w:lang w:val="en-US" w:eastAsia="zh-CN"/>
              </w:rPr>
              <w:t>2</w:t>
            </w:r>
          </w:p>
        </w:tc>
        <w:tc>
          <w:tcPr>
            <w:tcW w:w="772" w:type="dxa"/>
            <w:tcBorders>
              <w:left w:val="single" w:color="000000" w:sz="4" w:space="0"/>
            </w:tcBorders>
            <w:vAlign w:val="center"/>
          </w:tcPr>
          <w:p>
            <w:pPr>
              <w:pStyle w:val="22"/>
              <w:bidi w:val="0"/>
              <w:rPr>
                <w:color w:val="auto"/>
              </w:rPr>
            </w:pPr>
            <w:r>
              <w:rPr>
                <w:color w:val="auto"/>
              </w:rPr>
              <w:t>0</w:t>
            </w:r>
          </w:p>
        </w:tc>
        <w:tc>
          <w:tcPr>
            <w:tcW w:w="583" w:type="dxa"/>
            <w:vAlign w:val="center"/>
          </w:tcPr>
          <w:p>
            <w:pPr>
              <w:pStyle w:val="22"/>
              <w:bidi w:val="0"/>
              <w:rPr>
                <w:color w:val="auto"/>
              </w:rPr>
            </w:pPr>
            <w:r>
              <w:rPr>
                <w:color w:val="auto"/>
              </w:rPr>
              <w:t>1</w:t>
            </w:r>
          </w:p>
        </w:tc>
        <w:tc>
          <w:tcPr>
            <w:tcW w:w="788" w:type="dxa"/>
            <w:vAlign w:val="center"/>
          </w:tcPr>
          <w:p>
            <w:pPr>
              <w:pStyle w:val="22"/>
              <w:bidi w:val="0"/>
              <w:rPr>
                <w:color w:val="auto"/>
              </w:rPr>
            </w:pPr>
            <w:r>
              <w:rPr>
                <w:color w:val="auto"/>
              </w:rPr>
              <w:t>8760</w:t>
            </w:r>
          </w:p>
        </w:tc>
        <w:tc>
          <w:tcPr>
            <w:tcW w:w="655" w:type="dxa"/>
            <w:textDirection w:val="tbRlV"/>
            <w:vAlign w:val="center"/>
          </w:tcPr>
          <w:p>
            <w:pPr>
              <w:pStyle w:val="22"/>
              <w:bidi w:val="0"/>
              <w:rPr>
                <w:color w:val="auto"/>
              </w:rPr>
            </w:pPr>
            <w:r>
              <w:rPr>
                <w:color w:val="auto"/>
              </w:rPr>
              <w:t>正常</w:t>
            </w:r>
          </w:p>
        </w:tc>
        <w:tc>
          <w:tcPr>
            <w:tcW w:w="1108" w:type="dxa"/>
            <w:vAlign w:val="center"/>
          </w:tcPr>
          <w:p>
            <w:pPr>
              <w:pStyle w:val="22"/>
              <w:bidi w:val="0"/>
              <w:ind w:firstLine="0" w:firstLineChars="0"/>
              <w:rPr>
                <w:rFonts w:hint="default" w:eastAsia="宋体"/>
                <w:color w:val="auto"/>
                <w:lang w:val="en-US" w:eastAsia="zh-CN"/>
              </w:rPr>
            </w:pPr>
            <w:r>
              <w:rPr>
                <w:rFonts w:hint="eastAsia"/>
                <w:color w:val="auto"/>
                <w:lang w:val="en-US" w:eastAsia="zh-CN"/>
              </w:rPr>
              <w:t>0.0001</w:t>
            </w:r>
          </w:p>
        </w:tc>
        <w:tc>
          <w:tcPr>
            <w:tcW w:w="1389" w:type="dxa"/>
            <w:vAlign w:val="center"/>
          </w:tcPr>
          <w:p>
            <w:pPr>
              <w:pStyle w:val="22"/>
              <w:bidi w:val="0"/>
              <w:ind w:firstLine="0" w:firstLineChars="0"/>
              <w:rPr>
                <w:rFonts w:hint="default" w:eastAsia="宋体"/>
                <w:color w:val="auto"/>
                <w:lang w:val="en-US" w:eastAsia="zh-CN"/>
              </w:rPr>
            </w:pPr>
            <w:r>
              <w:rPr>
                <w:rFonts w:hint="eastAsia"/>
                <w:color w:val="auto"/>
                <w:lang w:val="en-US" w:eastAsia="zh-CN"/>
              </w:rPr>
              <w:t>0.000004</w:t>
            </w:r>
          </w:p>
        </w:tc>
      </w:tr>
    </w:tbl>
    <w:p>
      <w:pPr>
        <w:pStyle w:val="22"/>
        <w:bidi w:val="0"/>
        <w:rPr>
          <w:b/>
          <w:bCs/>
          <w:color w:val="auto"/>
          <w:highlight w:val="none"/>
        </w:rPr>
      </w:pPr>
      <w:r>
        <w:rPr>
          <w:b/>
          <w:bCs/>
          <w:color w:val="auto"/>
          <w:highlight w:val="none"/>
        </w:rPr>
        <w:t>表2.</w:t>
      </w:r>
      <w:r>
        <w:rPr>
          <w:rFonts w:hint="eastAsia"/>
          <w:b/>
          <w:bCs/>
          <w:color w:val="auto"/>
          <w:highlight w:val="none"/>
          <w:lang w:val="en-US" w:eastAsia="zh-CN"/>
        </w:rPr>
        <w:t>6</w:t>
      </w:r>
      <w:r>
        <w:rPr>
          <w:b/>
          <w:bCs/>
          <w:color w:val="auto"/>
          <w:highlight w:val="none"/>
        </w:rPr>
        <w:t>-4大气环境评价等级估算结果</w:t>
      </w:r>
    </w:p>
    <w:tbl>
      <w:tblPr>
        <w:tblStyle w:val="23"/>
        <w:tblW w:w="852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5"/>
        <w:gridCol w:w="846"/>
        <w:gridCol w:w="1380"/>
        <w:gridCol w:w="1005"/>
        <w:gridCol w:w="696"/>
        <w:gridCol w:w="753"/>
        <w:gridCol w:w="1689"/>
        <w:gridCol w:w="13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4" w:hRule="atLeast"/>
          <w:jc w:val="center"/>
        </w:trPr>
        <w:tc>
          <w:tcPr>
            <w:tcW w:w="845" w:type="dxa"/>
            <w:tcBorders>
              <w:tl2br w:val="nil"/>
              <w:tr2bl w:val="nil"/>
            </w:tcBorders>
            <w:vAlign w:val="center"/>
          </w:tcPr>
          <w:p>
            <w:pPr>
              <w:pStyle w:val="22"/>
              <w:bidi w:val="0"/>
              <w:jc w:val="center"/>
              <w:rPr>
                <w:b/>
                <w:bCs/>
                <w:color w:val="auto"/>
                <w:highlight w:val="none"/>
              </w:rPr>
            </w:pPr>
            <w:r>
              <w:rPr>
                <w:b/>
                <w:bCs/>
                <w:color w:val="auto"/>
                <w:highlight w:val="none"/>
              </w:rPr>
              <w:t>污染</w:t>
            </w:r>
          </w:p>
          <w:p>
            <w:pPr>
              <w:pStyle w:val="22"/>
              <w:bidi w:val="0"/>
              <w:jc w:val="center"/>
              <w:rPr>
                <w:b/>
                <w:bCs/>
                <w:color w:val="auto"/>
                <w:highlight w:val="none"/>
              </w:rPr>
            </w:pPr>
            <w:r>
              <w:rPr>
                <w:b/>
                <w:bCs/>
                <w:color w:val="auto"/>
                <w:highlight w:val="none"/>
              </w:rPr>
              <w:t>源名</w:t>
            </w:r>
          </w:p>
          <w:p>
            <w:pPr>
              <w:pStyle w:val="22"/>
              <w:bidi w:val="0"/>
              <w:jc w:val="center"/>
              <w:rPr>
                <w:b/>
                <w:bCs/>
                <w:color w:val="auto"/>
                <w:highlight w:val="none"/>
              </w:rPr>
            </w:pPr>
            <w:r>
              <w:rPr>
                <w:b/>
                <w:bCs/>
                <w:color w:val="auto"/>
                <w:highlight w:val="none"/>
              </w:rPr>
              <w:t>称</w:t>
            </w:r>
          </w:p>
        </w:tc>
        <w:tc>
          <w:tcPr>
            <w:tcW w:w="846" w:type="dxa"/>
            <w:tcBorders>
              <w:tl2br w:val="nil"/>
              <w:tr2bl w:val="nil"/>
            </w:tcBorders>
            <w:vAlign w:val="center"/>
          </w:tcPr>
          <w:p>
            <w:pPr>
              <w:pStyle w:val="22"/>
              <w:bidi w:val="0"/>
              <w:jc w:val="center"/>
              <w:rPr>
                <w:b/>
                <w:bCs/>
                <w:color w:val="auto"/>
                <w:highlight w:val="none"/>
              </w:rPr>
            </w:pPr>
            <w:r>
              <w:rPr>
                <w:b/>
                <w:bCs/>
                <w:color w:val="auto"/>
                <w:highlight w:val="none"/>
              </w:rPr>
              <w:t>评价因子</w:t>
            </w:r>
          </w:p>
        </w:tc>
        <w:tc>
          <w:tcPr>
            <w:tcW w:w="1380" w:type="dxa"/>
            <w:tcBorders>
              <w:tl2br w:val="nil"/>
              <w:tr2bl w:val="nil"/>
            </w:tcBorders>
            <w:vAlign w:val="center"/>
          </w:tcPr>
          <w:p>
            <w:pPr>
              <w:pStyle w:val="22"/>
              <w:bidi w:val="0"/>
              <w:jc w:val="center"/>
              <w:rPr>
                <w:rFonts w:hint="eastAsia" w:eastAsia="宋体"/>
                <w:b/>
                <w:bCs/>
                <w:color w:val="auto"/>
                <w:highlight w:val="none"/>
                <w:lang w:eastAsia="zh-CN"/>
              </w:rPr>
            </w:pPr>
            <w:r>
              <w:rPr>
                <w:b/>
                <w:bCs/>
                <w:color w:val="auto"/>
                <w:highlight w:val="none"/>
              </w:rPr>
              <w:t>评价标准</w:t>
            </w:r>
            <w:r>
              <w:rPr>
                <w:rFonts w:hint="eastAsia"/>
                <w:b/>
                <w:bCs/>
                <w:color w:val="auto"/>
                <w:highlight w:val="none"/>
                <w:lang w:eastAsia="zh-CN"/>
              </w:rPr>
              <w:t>（</w:t>
            </w:r>
            <w:r>
              <w:rPr>
                <w:b/>
                <w:bCs/>
                <w:color w:val="auto"/>
                <w:highlight w:val="none"/>
              </w:rPr>
              <w:t>mg/m</w:t>
            </w:r>
            <w:r>
              <w:rPr>
                <w:b/>
                <w:bCs/>
                <w:color w:val="auto"/>
                <w:highlight w:val="none"/>
                <w:vertAlign w:val="superscript"/>
              </w:rPr>
              <w:t>3</w:t>
            </w:r>
            <w:r>
              <w:rPr>
                <w:rFonts w:hint="eastAsia"/>
                <w:b/>
                <w:bCs/>
                <w:color w:val="auto"/>
                <w:highlight w:val="none"/>
                <w:lang w:eastAsia="zh-CN"/>
              </w:rPr>
              <w:t>）</w:t>
            </w:r>
          </w:p>
        </w:tc>
        <w:tc>
          <w:tcPr>
            <w:tcW w:w="1005" w:type="dxa"/>
            <w:tcBorders>
              <w:tl2br w:val="nil"/>
              <w:tr2bl w:val="nil"/>
            </w:tcBorders>
            <w:vAlign w:val="center"/>
          </w:tcPr>
          <w:p>
            <w:pPr>
              <w:pStyle w:val="22"/>
              <w:bidi w:val="0"/>
              <w:jc w:val="center"/>
              <w:rPr>
                <w:b/>
                <w:bCs/>
                <w:color w:val="auto"/>
                <w:highlight w:val="none"/>
              </w:rPr>
            </w:pPr>
            <w:r>
              <w:rPr>
                <w:b/>
                <w:bCs/>
                <w:color w:val="auto"/>
                <w:highlight w:val="none"/>
              </w:rPr>
              <w:t>Cmax</w:t>
            </w:r>
          </w:p>
          <w:p>
            <w:pPr>
              <w:pStyle w:val="22"/>
              <w:bidi w:val="0"/>
              <w:jc w:val="center"/>
              <w:rPr>
                <w:rFonts w:hint="eastAsia" w:eastAsia="宋体"/>
                <w:b/>
                <w:bCs/>
                <w:color w:val="auto"/>
                <w:highlight w:val="none"/>
                <w:lang w:eastAsia="zh-CN"/>
              </w:rPr>
            </w:pPr>
            <w:r>
              <w:rPr>
                <w:rFonts w:hint="eastAsia"/>
                <w:b/>
                <w:bCs/>
                <w:color w:val="auto"/>
                <w:highlight w:val="none"/>
                <w:lang w:eastAsia="zh-CN"/>
              </w:rPr>
              <w:t>（</w:t>
            </w:r>
            <w:r>
              <w:rPr>
                <w:b/>
                <w:bCs/>
                <w:color w:val="auto"/>
                <w:highlight w:val="none"/>
              </w:rPr>
              <w:t>mg/m</w:t>
            </w:r>
            <w:r>
              <w:rPr>
                <w:b/>
                <w:bCs/>
                <w:color w:val="auto"/>
                <w:highlight w:val="none"/>
                <w:vertAlign w:val="superscript"/>
              </w:rPr>
              <w:t>3</w:t>
            </w:r>
            <w:r>
              <w:rPr>
                <w:rFonts w:hint="eastAsia"/>
                <w:b/>
                <w:bCs/>
                <w:color w:val="auto"/>
                <w:highlight w:val="none"/>
                <w:lang w:eastAsia="zh-CN"/>
              </w:rPr>
              <w:t>）</w:t>
            </w:r>
          </w:p>
        </w:tc>
        <w:tc>
          <w:tcPr>
            <w:tcW w:w="696" w:type="dxa"/>
            <w:tcBorders>
              <w:tl2br w:val="nil"/>
              <w:tr2bl w:val="nil"/>
            </w:tcBorders>
            <w:vAlign w:val="center"/>
          </w:tcPr>
          <w:p>
            <w:pPr>
              <w:pStyle w:val="22"/>
              <w:bidi w:val="0"/>
              <w:jc w:val="center"/>
              <w:rPr>
                <w:b/>
                <w:bCs/>
                <w:color w:val="auto"/>
                <w:highlight w:val="none"/>
              </w:rPr>
            </w:pPr>
            <w:r>
              <w:rPr>
                <w:b/>
                <w:bCs/>
                <w:color w:val="auto"/>
                <w:highlight w:val="none"/>
              </w:rPr>
              <w:t>Pmax</w:t>
            </w:r>
          </w:p>
          <w:p>
            <w:pPr>
              <w:pStyle w:val="22"/>
              <w:bidi w:val="0"/>
              <w:jc w:val="center"/>
              <w:rPr>
                <w:rFonts w:hint="eastAsia" w:eastAsia="宋体"/>
                <w:b/>
                <w:bCs/>
                <w:color w:val="auto"/>
                <w:highlight w:val="none"/>
                <w:lang w:eastAsia="zh-CN"/>
              </w:rPr>
            </w:pPr>
            <w:r>
              <w:rPr>
                <w:rFonts w:hint="eastAsia"/>
                <w:b/>
                <w:bCs/>
                <w:color w:val="auto"/>
                <w:highlight w:val="none"/>
                <w:lang w:eastAsia="zh-CN"/>
              </w:rPr>
              <w:t>（</w:t>
            </w:r>
            <w:r>
              <w:rPr>
                <w:b/>
                <w:bCs/>
                <w:color w:val="auto"/>
                <w:highlight w:val="none"/>
              </w:rPr>
              <w:t>%</w:t>
            </w:r>
            <w:r>
              <w:rPr>
                <w:rFonts w:hint="eastAsia"/>
                <w:b/>
                <w:bCs/>
                <w:color w:val="auto"/>
                <w:highlight w:val="none"/>
                <w:lang w:eastAsia="zh-CN"/>
              </w:rPr>
              <w:t>）</w:t>
            </w:r>
          </w:p>
        </w:tc>
        <w:tc>
          <w:tcPr>
            <w:tcW w:w="753" w:type="dxa"/>
            <w:tcBorders>
              <w:tl2br w:val="nil"/>
              <w:tr2bl w:val="nil"/>
            </w:tcBorders>
            <w:vAlign w:val="center"/>
          </w:tcPr>
          <w:p>
            <w:pPr>
              <w:pStyle w:val="22"/>
              <w:bidi w:val="0"/>
              <w:jc w:val="center"/>
              <w:rPr>
                <w:rFonts w:hint="eastAsia" w:eastAsia="宋体"/>
                <w:b/>
                <w:bCs/>
                <w:color w:val="auto"/>
                <w:highlight w:val="none"/>
                <w:lang w:eastAsia="zh-CN"/>
              </w:rPr>
            </w:pPr>
            <w:r>
              <w:rPr>
                <w:b/>
                <w:bCs/>
                <w:color w:val="auto"/>
                <w:highlight w:val="none"/>
              </w:rPr>
              <w:t>D</w:t>
            </w:r>
            <w:r>
              <w:rPr>
                <w:b/>
                <w:bCs/>
                <w:color w:val="auto"/>
                <w:highlight w:val="none"/>
                <w:vertAlign w:val="subscript"/>
              </w:rPr>
              <w:t>10%</w:t>
            </w:r>
            <w:r>
              <w:rPr>
                <w:rFonts w:hint="eastAsia"/>
                <w:b/>
                <w:bCs/>
                <w:color w:val="auto"/>
                <w:highlight w:val="none"/>
                <w:lang w:eastAsia="zh-CN"/>
              </w:rPr>
              <w:t>（</w:t>
            </w:r>
            <w:r>
              <w:rPr>
                <w:b/>
                <w:bCs/>
                <w:color w:val="auto"/>
                <w:highlight w:val="none"/>
              </w:rPr>
              <w:t>m</w:t>
            </w:r>
            <w:r>
              <w:rPr>
                <w:rFonts w:hint="eastAsia"/>
                <w:b/>
                <w:bCs/>
                <w:color w:val="auto"/>
                <w:highlight w:val="none"/>
                <w:lang w:eastAsia="zh-CN"/>
              </w:rPr>
              <w:t>）</w:t>
            </w:r>
          </w:p>
        </w:tc>
        <w:tc>
          <w:tcPr>
            <w:tcW w:w="1689" w:type="dxa"/>
            <w:tcBorders>
              <w:tl2br w:val="nil"/>
              <w:tr2bl w:val="nil"/>
            </w:tcBorders>
            <w:vAlign w:val="center"/>
          </w:tcPr>
          <w:p>
            <w:pPr>
              <w:pStyle w:val="22"/>
              <w:bidi w:val="0"/>
              <w:jc w:val="center"/>
              <w:rPr>
                <w:b/>
                <w:bCs/>
                <w:color w:val="auto"/>
                <w:highlight w:val="none"/>
              </w:rPr>
            </w:pPr>
            <w:r>
              <w:rPr>
                <w:b/>
                <w:bCs/>
                <w:color w:val="auto"/>
                <w:highlight w:val="none"/>
              </w:rPr>
              <w:t>分级判据</w:t>
            </w:r>
          </w:p>
        </w:tc>
        <w:tc>
          <w:tcPr>
            <w:tcW w:w="1307" w:type="dxa"/>
            <w:tcBorders>
              <w:tl2br w:val="nil"/>
              <w:tr2bl w:val="nil"/>
            </w:tcBorders>
            <w:vAlign w:val="center"/>
          </w:tcPr>
          <w:p>
            <w:pPr>
              <w:pStyle w:val="22"/>
              <w:bidi w:val="0"/>
              <w:jc w:val="center"/>
              <w:rPr>
                <w:b/>
                <w:bCs/>
                <w:color w:val="auto"/>
                <w:highlight w:val="none"/>
              </w:rPr>
            </w:pPr>
            <w:r>
              <w:rPr>
                <w:b/>
                <w:bCs/>
                <w:color w:val="auto"/>
                <w:highlight w:val="none"/>
              </w:rPr>
              <w:t>评价</w:t>
            </w:r>
          </w:p>
          <w:p>
            <w:pPr>
              <w:pStyle w:val="22"/>
              <w:bidi w:val="0"/>
              <w:jc w:val="center"/>
              <w:rPr>
                <w:b/>
                <w:bCs/>
                <w:color w:val="auto"/>
                <w:highlight w:val="none"/>
              </w:rPr>
            </w:pPr>
            <w:r>
              <w:rPr>
                <w:b/>
                <w:bCs/>
                <w:color w:val="auto"/>
                <w:highlight w:val="none"/>
              </w:rPr>
              <w:t>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845" w:type="dxa"/>
            <w:vMerge w:val="restart"/>
            <w:tcBorders>
              <w:tl2br w:val="nil"/>
              <w:tr2bl w:val="nil"/>
            </w:tcBorders>
            <w:vAlign w:val="center"/>
          </w:tcPr>
          <w:p>
            <w:pPr>
              <w:pStyle w:val="22"/>
              <w:bidi w:val="0"/>
              <w:jc w:val="center"/>
              <w:rPr>
                <w:color w:val="auto"/>
                <w:highlight w:val="none"/>
              </w:rPr>
            </w:pPr>
            <w:r>
              <w:rPr>
                <w:color w:val="auto"/>
                <w:highlight w:val="none"/>
              </w:rPr>
              <w:t>污水</w:t>
            </w:r>
          </w:p>
          <w:p>
            <w:pPr>
              <w:pStyle w:val="22"/>
              <w:bidi w:val="0"/>
              <w:jc w:val="center"/>
              <w:rPr>
                <w:color w:val="auto"/>
                <w:highlight w:val="none"/>
              </w:rPr>
            </w:pPr>
            <w:r>
              <w:rPr>
                <w:color w:val="auto"/>
                <w:highlight w:val="none"/>
              </w:rPr>
              <w:t>站</w:t>
            </w:r>
          </w:p>
        </w:tc>
        <w:tc>
          <w:tcPr>
            <w:tcW w:w="846" w:type="dxa"/>
            <w:tcBorders>
              <w:tl2br w:val="nil"/>
              <w:tr2bl w:val="nil"/>
            </w:tcBorders>
            <w:vAlign w:val="center"/>
          </w:tcPr>
          <w:p>
            <w:pPr>
              <w:pStyle w:val="22"/>
              <w:bidi w:val="0"/>
              <w:jc w:val="center"/>
              <w:rPr>
                <w:color w:val="auto"/>
                <w:highlight w:val="none"/>
              </w:rPr>
            </w:pPr>
            <w:r>
              <w:rPr>
                <w:color w:val="auto"/>
                <w:highlight w:val="none"/>
              </w:rPr>
              <w:t>H</w:t>
            </w:r>
            <w:r>
              <w:rPr>
                <w:color w:val="auto"/>
                <w:highlight w:val="none"/>
                <w:vertAlign w:val="subscript"/>
              </w:rPr>
              <w:t>2</w:t>
            </w:r>
            <w:r>
              <w:rPr>
                <w:color w:val="auto"/>
                <w:highlight w:val="none"/>
              </w:rPr>
              <w:t>S</w:t>
            </w:r>
          </w:p>
        </w:tc>
        <w:tc>
          <w:tcPr>
            <w:tcW w:w="1380" w:type="dxa"/>
            <w:tcBorders>
              <w:tl2br w:val="nil"/>
              <w:tr2bl w:val="nil"/>
            </w:tcBorders>
            <w:vAlign w:val="center"/>
          </w:tcPr>
          <w:p>
            <w:pPr>
              <w:pStyle w:val="22"/>
              <w:bidi w:val="0"/>
              <w:jc w:val="center"/>
              <w:rPr>
                <w:color w:val="auto"/>
                <w:highlight w:val="none"/>
              </w:rPr>
            </w:pPr>
            <w:r>
              <w:rPr>
                <w:color w:val="auto"/>
                <w:highlight w:val="none"/>
              </w:rPr>
              <w:t>0.03</w:t>
            </w:r>
          </w:p>
        </w:tc>
        <w:tc>
          <w:tcPr>
            <w:tcW w:w="1005" w:type="dxa"/>
            <w:tcBorders>
              <w:tl2br w:val="nil"/>
              <w:tr2bl w:val="nil"/>
            </w:tcBorders>
            <w:vAlign w:val="center"/>
          </w:tcPr>
          <w:p>
            <w:pPr>
              <w:pStyle w:val="22"/>
              <w:bidi w:val="0"/>
              <w:jc w:val="center"/>
              <w:rPr>
                <w:color w:val="auto"/>
                <w:highlight w:val="none"/>
              </w:rPr>
            </w:pPr>
            <w:r>
              <w:rPr>
                <w:rFonts w:hint="eastAsia"/>
                <w:color w:val="auto"/>
              </w:rPr>
              <w:t>0.014997</w:t>
            </w:r>
          </w:p>
        </w:tc>
        <w:tc>
          <w:tcPr>
            <w:tcW w:w="696" w:type="dxa"/>
            <w:tcBorders>
              <w:tl2br w:val="nil"/>
              <w:tr2bl w:val="nil"/>
            </w:tcBorders>
            <w:vAlign w:val="center"/>
          </w:tcPr>
          <w:p>
            <w:pPr>
              <w:pStyle w:val="22"/>
              <w:bidi w:val="0"/>
              <w:jc w:val="center"/>
              <w:rPr>
                <w:color w:val="auto"/>
                <w:highlight w:val="none"/>
              </w:rPr>
            </w:pPr>
            <w:r>
              <w:rPr>
                <w:rFonts w:hint="default" w:ascii="Times New Roman" w:hAnsi="Times New Roman" w:cs="Times New Roman"/>
                <w:color w:val="auto"/>
                <w:highlight w:val="none"/>
              </w:rPr>
              <w:t>0.</w:t>
            </w:r>
            <w:r>
              <w:rPr>
                <w:rFonts w:hint="eastAsia" w:cs="Times New Roman"/>
                <w:color w:val="auto"/>
                <w:highlight w:val="none"/>
                <w:lang w:val="en-US" w:eastAsia="zh-CN"/>
              </w:rPr>
              <w:t>1</w:t>
            </w:r>
            <w:r>
              <w:rPr>
                <w:rFonts w:hint="default" w:ascii="Times New Roman" w:hAnsi="Times New Roman" w:cs="Times New Roman"/>
                <w:color w:val="auto"/>
                <w:highlight w:val="none"/>
              </w:rPr>
              <w:t>5</w:t>
            </w:r>
          </w:p>
        </w:tc>
        <w:tc>
          <w:tcPr>
            <w:tcW w:w="753" w:type="dxa"/>
            <w:tcBorders>
              <w:tl2br w:val="nil"/>
              <w:tr2bl w:val="nil"/>
            </w:tcBorders>
            <w:vAlign w:val="center"/>
          </w:tcPr>
          <w:p>
            <w:pPr>
              <w:pStyle w:val="22"/>
              <w:bidi w:val="0"/>
              <w:jc w:val="center"/>
              <w:rPr>
                <w:color w:val="auto"/>
                <w:highlight w:val="none"/>
              </w:rPr>
            </w:pPr>
            <w:r>
              <w:rPr>
                <w:color w:val="auto"/>
                <w:highlight w:val="none"/>
              </w:rPr>
              <w:t>/</w:t>
            </w:r>
          </w:p>
        </w:tc>
        <w:tc>
          <w:tcPr>
            <w:tcW w:w="1689" w:type="dxa"/>
            <w:tcBorders>
              <w:tl2br w:val="nil"/>
              <w:tr2bl w:val="nil"/>
            </w:tcBorders>
            <w:vAlign w:val="center"/>
          </w:tcPr>
          <w:p>
            <w:pPr>
              <w:pStyle w:val="22"/>
              <w:bidi w:val="0"/>
              <w:jc w:val="center"/>
              <w:rPr>
                <w:color w:val="auto"/>
                <w:highlight w:val="none"/>
              </w:rPr>
            </w:pPr>
            <w:r>
              <w:rPr>
                <w:color w:val="auto"/>
                <w:highlight w:val="none"/>
              </w:rPr>
              <w:t>Pmax&lt;1%</w:t>
            </w:r>
          </w:p>
        </w:tc>
        <w:tc>
          <w:tcPr>
            <w:tcW w:w="1307" w:type="dxa"/>
            <w:tcBorders>
              <w:tl2br w:val="nil"/>
              <w:tr2bl w:val="nil"/>
            </w:tcBorders>
            <w:vAlign w:val="center"/>
          </w:tcPr>
          <w:p>
            <w:pPr>
              <w:pStyle w:val="22"/>
              <w:bidi w:val="0"/>
              <w:jc w:val="center"/>
              <w:rPr>
                <w:color w:val="auto"/>
                <w:highlight w:val="none"/>
              </w:rPr>
            </w:pPr>
            <w:r>
              <w:rPr>
                <w:color w:val="auto"/>
                <w:highlight w:val="none"/>
              </w:rPr>
              <w:t>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845" w:type="dxa"/>
            <w:vMerge w:val="continue"/>
            <w:tcBorders>
              <w:tl2br w:val="nil"/>
              <w:tr2bl w:val="nil"/>
            </w:tcBorders>
            <w:vAlign w:val="center"/>
          </w:tcPr>
          <w:p>
            <w:pPr>
              <w:pStyle w:val="22"/>
              <w:bidi w:val="0"/>
              <w:jc w:val="center"/>
              <w:rPr>
                <w:color w:val="auto"/>
                <w:highlight w:val="none"/>
              </w:rPr>
            </w:pPr>
          </w:p>
        </w:tc>
        <w:tc>
          <w:tcPr>
            <w:tcW w:w="846" w:type="dxa"/>
            <w:tcBorders>
              <w:tl2br w:val="nil"/>
              <w:tr2bl w:val="nil"/>
            </w:tcBorders>
            <w:vAlign w:val="center"/>
          </w:tcPr>
          <w:p>
            <w:pPr>
              <w:pStyle w:val="22"/>
              <w:bidi w:val="0"/>
              <w:jc w:val="center"/>
              <w:rPr>
                <w:rFonts w:hint="eastAsia" w:eastAsia="宋体"/>
                <w:color w:val="auto"/>
                <w:highlight w:val="none"/>
                <w:lang w:val="en-US" w:eastAsia="zh-CN"/>
              </w:rPr>
            </w:pPr>
            <w:r>
              <w:rPr>
                <w:color w:val="auto"/>
                <w:highlight w:val="none"/>
              </w:rPr>
              <w:t>NH</w:t>
            </w:r>
            <w:r>
              <w:rPr>
                <w:rFonts w:hint="eastAsia"/>
                <w:color w:val="auto"/>
                <w:highlight w:val="none"/>
                <w:vertAlign w:val="subscript"/>
                <w:lang w:val="en-US" w:eastAsia="zh-CN"/>
              </w:rPr>
              <w:t>3</w:t>
            </w:r>
          </w:p>
        </w:tc>
        <w:tc>
          <w:tcPr>
            <w:tcW w:w="1380" w:type="dxa"/>
            <w:tcBorders>
              <w:tl2br w:val="nil"/>
              <w:tr2bl w:val="nil"/>
            </w:tcBorders>
            <w:vAlign w:val="center"/>
          </w:tcPr>
          <w:p>
            <w:pPr>
              <w:pStyle w:val="22"/>
              <w:bidi w:val="0"/>
              <w:jc w:val="center"/>
              <w:rPr>
                <w:color w:val="auto"/>
                <w:highlight w:val="none"/>
              </w:rPr>
            </w:pPr>
            <w:r>
              <w:rPr>
                <w:color w:val="auto"/>
                <w:highlight w:val="none"/>
              </w:rPr>
              <w:t>1</w:t>
            </w:r>
          </w:p>
        </w:tc>
        <w:tc>
          <w:tcPr>
            <w:tcW w:w="1005" w:type="dxa"/>
            <w:tcBorders>
              <w:tl2br w:val="nil"/>
              <w:tr2bl w:val="nil"/>
            </w:tcBorders>
            <w:vAlign w:val="center"/>
          </w:tcPr>
          <w:p>
            <w:pPr>
              <w:pStyle w:val="22"/>
              <w:bidi w:val="0"/>
              <w:jc w:val="center"/>
              <w:rPr>
                <w:color w:val="auto"/>
                <w:highlight w:val="none"/>
              </w:rPr>
            </w:pPr>
            <w:r>
              <w:rPr>
                <w:rFonts w:hint="eastAsia"/>
                <w:color w:val="auto"/>
              </w:rPr>
              <w:t>0.37507</w:t>
            </w:r>
          </w:p>
        </w:tc>
        <w:tc>
          <w:tcPr>
            <w:tcW w:w="696" w:type="dxa"/>
            <w:tcBorders>
              <w:tl2br w:val="nil"/>
              <w:tr2bl w:val="nil"/>
            </w:tcBorders>
            <w:vAlign w:val="center"/>
          </w:tcPr>
          <w:p>
            <w:pPr>
              <w:pStyle w:val="22"/>
              <w:bidi w:val="0"/>
              <w:jc w:val="center"/>
              <w:rPr>
                <w:color w:val="auto"/>
                <w:highlight w:val="none"/>
              </w:rPr>
            </w:pPr>
            <w:r>
              <w:rPr>
                <w:rFonts w:hint="default" w:ascii="Times New Roman" w:hAnsi="Times New Roman" w:cs="Times New Roman"/>
                <w:color w:val="auto"/>
                <w:highlight w:val="none"/>
              </w:rPr>
              <w:t>0.1</w:t>
            </w:r>
            <w:r>
              <w:rPr>
                <w:rFonts w:hint="eastAsia" w:cs="Times New Roman"/>
                <w:color w:val="auto"/>
                <w:highlight w:val="none"/>
                <w:lang w:val="en-US" w:eastAsia="zh-CN"/>
              </w:rPr>
              <w:t>9</w:t>
            </w:r>
          </w:p>
        </w:tc>
        <w:tc>
          <w:tcPr>
            <w:tcW w:w="753" w:type="dxa"/>
            <w:tcBorders>
              <w:tl2br w:val="nil"/>
              <w:tr2bl w:val="nil"/>
            </w:tcBorders>
            <w:vAlign w:val="center"/>
          </w:tcPr>
          <w:p>
            <w:pPr>
              <w:pStyle w:val="22"/>
              <w:bidi w:val="0"/>
              <w:jc w:val="center"/>
              <w:rPr>
                <w:color w:val="auto"/>
                <w:highlight w:val="none"/>
              </w:rPr>
            </w:pPr>
            <w:r>
              <w:rPr>
                <w:color w:val="auto"/>
                <w:highlight w:val="none"/>
              </w:rPr>
              <w:t>/</w:t>
            </w:r>
          </w:p>
        </w:tc>
        <w:tc>
          <w:tcPr>
            <w:tcW w:w="1689" w:type="dxa"/>
            <w:tcBorders>
              <w:tl2br w:val="nil"/>
              <w:tr2bl w:val="nil"/>
            </w:tcBorders>
            <w:vAlign w:val="center"/>
          </w:tcPr>
          <w:p>
            <w:pPr>
              <w:pStyle w:val="22"/>
              <w:bidi w:val="0"/>
              <w:jc w:val="center"/>
              <w:rPr>
                <w:color w:val="auto"/>
                <w:highlight w:val="none"/>
              </w:rPr>
            </w:pPr>
            <w:r>
              <w:rPr>
                <w:color w:val="auto"/>
                <w:highlight w:val="none"/>
              </w:rPr>
              <w:t>Pmax&lt;1%</w:t>
            </w:r>
          </w:p>
        </w:tc>
        <w:tc>
          <w:tcPr>
            <w:tcW w:w="1307" w:type="dxa"/>
            <w:tcBorders>
              <w:tl2br w:val="nil"/>
              <w:tr2bl w:val="nil"/>
            </w:tcBorders>
            <w:vAlign w:val="center"/>
          </w:tcPr>
          <w:p>
            <w:pPr>
              <w:pStyle w:val="22"/>
              <w:bidi w:val="0"/>
              <w:jc w:val="center"/>
              <w:rPr>
                <w:color w:val="auto"/>
                <w:highlight w:val="none"/>
              </w:rPr>
            </w:pPr>
            <w:r>
              <w:rPr>
                <w:color w:val="auto"/>
                <w:highlight w:val="none"/>
              </w:rPr>
              <w:t>三级</w:t>
            </w:r>
          </w:p>
        </w:tc>
      </w:tr>
    </w:tbl>
    <w:p>
      <w:pPr>
        <w:bidi w:val="0"/>
        <w:rPr>
          <w:rFonts w:hint="default"/>
          <w:color w:val="auto"/>
          <w:highlight w:val="none"/>
          <w:lang w:val="en-US" w:eastAsia="zh-CN"/>
        </w:rPr>
      </w:pPr>
      <w:r>
        <w:rPr>
          <w:rFonts w:hint="default"/>
          <w:color w:val="auto"/>
          <w:highlight w:val="none"/>
          <w:lang w:val="en-US" w:eastAsia="zh-CN"/>
        </w:rPr>
        <w:t>根据《环境影响评价技术导则大气环境》（HJ2.2-2018），经推荐模式中估算模式计算，确定本项目大气环境影响评价等级为三级。</w:t>
      </w:r>
    </w:p>
    <w:p>
      <w:pPr>
        <w:pStyle w:val="6"/>
        <w:bidi w:val="0"/>
        <w:outlineLvl w:val="1"/>
        <w:rPr>
          <w:rFonts w:hint="eastAsia"/>
          <w:color w:val="auto"/>
          <w:lang w:val="en-US" w:eastAsia="zh-CN"/>
        </w:rPr>
      </w:pPr>
      <w:bookmarkStart w:id="24" w:name="_Toc31180"/>
      <w:r>
        <w:rPr>
          <w:rFonts w:hint="eastAsia"/>
          <w:color w:val="auto"/>
          <w:lang w:val="en-US" w:eastAsia="zh-CN"/>
        </w:rPr>
        <w:t>2.6.2地表水环境评价等级</w:t>
      </w:r>
      <w:bookmarkEnd w:id="24"/>
    </w:p>
    <w:p>
      <w:pPr>
        <w:bidi w:val="0"/>
        <w:rPr>
          <w:color w:val="auto"/>
        </w:rPr>
      </w:pPr>
      <w:r>
        <w:rPr>
          <w:rFonts w:hint="eastAsia"/>
          <w:color w:val="auto"/>
          <w:lang w:val="en-US" w:eastAsia="zh-CN"/>
        </w:rPr>
        <w:t>建设项目地表水环境影响等级按照影响类型、排放方式、排放量或影响情况、收纳水体环境质量现状、水环境保护目标等综合确定。本项目属于水污染影响型建设项目，《环境影响评价技术导则地表水环境》（</w:t>
      </w:r>
      <w:r>
        <w:rPr>
          <w:rFonts w:hint="default"/>
          <w:color w:val="auto"/>
          <w:lang w:val="en-US" w:eastAsia="zh-CN"/>
        </w:rPr>
        <w:t>HJ2.3-2018</w:t>
      </w:r>
      <w:r>
        <w:rPr>
          <w:rFonts w:hint="eastAsia"/>
          <w:color w:val="auto"/>
          <w:lang w:val="en-US" w:eastAsia="zh-CN"/>
        </w:rPr>
        <w:t>）水污染影响型建设项目评价等级判定详见下表。</w:t>
      </w:r>
    </w:p>
    <w:p>
      <w:pPr>
        <w:pStyle w:val="22"/>
        <w:bidi w:val="0"/>
        <w:rPr>
          <w:b/>
          <w:bCs/>
          <w:color w:val="auto"/>
        </w:rPr>
      </w:pPr>
      <w:r>
        <w:rPr>
          <w:b/>
          <w:bCs/>
          <w:color w:val="auto"/>
        </w:rPr>
        <w:t>表</w:t>
      </w:r>
      <w:r>
        <w:rPr>
          <w:rFonts w:hint="eastAsia"/>
          <w:b/>
          <w:bCs/>
          <w:color w:val="auto"/>
          <w:lang w:val="en-US" w:eastAsia="zh-CN"/>
        </w:rPr>
        <w:t>2.6-5</w:t>
      </w:r>
      <w:r>
        <w:rPr>
          <w:b/>
          <w:bCs/>
          <w:color w:val="auto"/>
        </w:rPr>
        <w:t>水污染影响型建设项目评价等级判定表</w:t>
      </w:r>
    </w:p>
    <w:tbl>
      <w:tblPr>
        <w:tblStyle w:val="18"/>
        <w:tblW w:w="859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856"/>
        <w:gridCol w:w="2932"/>
        <w:gridCol w:w="381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9" w:hRule="atLeast"/>
          <w:jc w:val="center"/>
        </w:trPr>
        <w:tc>
          <w:tcPr>
            <w:tcW w:w="1856" w:type="dxa"/>
            <w:vMerge w:val="restart"/>
            <w:tcBorders>
              <w:tl2br w:val="nil"/>
              <w:tr2bl w:val="nil"/>
            </w:tcBorders>
            <w:shd w:val="clear" w:color="auto" w:fill="auto"/>
            <w:vAlign w:val="center"/>
          </w:tcPr>
          <w:p>
            <w:pPr>
              <w:pStyle w:val="22"/>
              <w:bidi w:val="0"/>
              <w:jc w:val="center"/>
              <w:rPr>
                <w:rFonts w:hint="eastAsia"/>
                <w:b/>
                <w:bCs/>
                <w:color w:val="auto"/>
              </w:rPr>
            </w:pPr>
            <w:r>
              <w:rPr>
                <w:rFonts w:hint="eastAsia"/>
                <w:b/>
                <w:bCs/>
                <w:color w:val="auto"/>
                <w:lang w:val="en-US" w:eastAsia="zh-CN"/>
              </w:rPr>
              <w:t>评价等级</w:t>
            </w:r>
          </w:p>
        </w:tc>
        <w:tc>
          <w:tcPr>
            <w:tcW w:w="6743" w:type="dxa"/>
            <w:gridSpan w:val="2"/>
            <w:tcBorders>
              <w:tl2br w:val="nil"/>
              <w:tr2bl w:val="nil"/>
            </w:tcBorders>
            <w:shd w:val="clear" w:color="auto" w:fill="auto"/>
            <w:vAlign w:val="center"/>
          </w:tcPr>
          <w:p>
            <w:pPr>
              <w:pStyle w:val="22"/>
              <w:bidi w:val="0"/>
              <w:jc w:val="center"/>
              <w:rPr>
                <w:rFonts w:hint="eastAsia"/>
                <w:b/>
                <w:bCs/>
                <w:color w:val="auto"/>
              </w:rPr>
            </w:pPr>
            <w:r>
              <w:rPr>
                <w:rFonts w:hint="eastAsia"/>
                <w:b/>
                <w:bCs/>
                <w:color w:val="auto"/>
                <w:lang w:val="en-US" w:eastAsia="zh-CN"/>
              </w:rPr>
              <w:t>判定依据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48" w:hRule="atLeast"/>
          <w:jc w:val="center"/>
        </w:trPr>
        <w:tc>
          <w:tcPr>
            <w:tcW w:w="1856" w:type="dxa"/>
            <w:vMerge w:val="continue"/>
            <w:tcBorders>
              <w:tl2br w:val="nil"/>
              <w:tr2bl w:val="nil"/>
            </w:tcBorders>
            <w:shd w:val="clear" w:color="auto" w:fill="auto"/>
            <w:vAlign w:val="center"/>
          </w:tcPr>
          <w:p>
            <w:pPr>
              <w:pStyle w:val="22"/>
              <w:bidi w:val="0"/>
              <w:jc w:val="center"/>
              <w:rPr>
                <w:rFonts w:hint="eastAsia"/>
                <w:b/>
                <w:bCs/>
                <w:color w:val="auto"/>
              </w:rPr>
            </w:pPr>
          </w:p>
        </w:tc>
        <w:tc>
          <w:tcPr>
            <w:tcW w:w="2932" w:type="dxa"/>
            <w:tcBorders>
              <w:tl2br w:val="nil"/>
              <w:tr2bl w:val="nil"/>
            </w:tcBorders>
            <w:shd w:val="clear" w:color="auto" w:fill="auto"/>
            <w:vAlign w:val="center"/>
          </w:tcPr>
          <w:p>
            <w:pPr>
              <w:pStyle w:val="22"/>
              <w:bidi w:val="0"/>
              <w:jc w:val="center"/>
              <w:rPr>
                <w:rFonts w:hint="eastAsia"/>
                <w:b/>
                <w:bCs/>
                <w:color w:val="auto"/>
              </w:rPr>
            </w:pPr>
            <w:r>
              <w:rPr>
                <w:rFonts w:hint="eastAsia"/>
                <w:b/>
                <w:bCs/>
                <w:color w:val="auto"/>
                <w:lang w:val="en-US" w:eastAsia="zh-CN"/>
              </w:rPr>
              <w:t>排放方式</w:t>
            </w:r>
          </w:p>
        </w:tc>
        <w:tc>
          <w:tcPr>
            <w:tcW w:w="3811" w:type="dxa"/>
            <w:tcBorders>
              <w:tl2br w:val="nil"/>
              <w:tr2bl w:val="nil"/>
            </w:tcBorders>
            <w:shd w:val="clear" w:color="auto" w:fill="auto"/>
            <w:vAlign w:val="center"/>
          </w:tcPr>
          <w:p>
            <w:pPr>
              <w:pStyle w:val="22"/>
              <w:bidi w:val="0"/>
              <w:jc w:val="center"/>
              <w:rPr>
                <w:rFonts w:hint="eastAsia"/>
                <w:b/>
                <w:bCs/>
                <w:color w:val="auto"/>
              </w:rPr>
            </w:pPr>
            <w:r>
              <w:rPr>
                <w:rFonts w:hint="eastAsia"/>
                <w:b/>
                <w:bCs/>
                <w:color w:val="auto"/>
                <w:lang w:val="en-US" w:eastAsia="zh-CN"/>
              </w:rPr>
              <w:t>废水排放量</w:t>
            </w:r>
            <w:r>
              <w:rPr>
                <w:b/>
                <w:bCs/>
                <w:color w:val="auto"/>
                <w:lang w:val="en-US" w:eastAsia="zh-CN"/>
              </w:rPr>
              <w:t>Q/（m</w:t>
            </w:r>
            <w:r>
              <w:rPr>
                <w:b/>
                <w:bCs/>
                <w:color w:val="auto"/>
                <w:vertAlign w:val="superscript"/>
                <w:lang w:val="en-US" w:eastAsia="zh-CN"/>
              </w:rPr>
              <w:t>3</w:t>
            </w:r>
            <w:r>
              <w:rPr>
                <w:b/>
                <w:bCs/>
                <w:color w:val="auto"/>
                <w:lang w:val="en-US" w:eastAsia="zh-CN"/>
              </w:rPr>
              <w:t>/d）；水污染物当量数W/（量纲一</w:t>
            </w:r>
            <w:r>
              <w:rPr>
                <w:rFonts w:hint="eastAsia"/>
                <w:b/>
                <w:bCs/>
                <w:color w:val="auto"/>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8" w:hRule="atLeast"/>
          <w:jc w:val="center"/>
        </w:trPr>
        <w:tc>
          <w:tcPr>
            <w:tcW w:w="1856" w:type="dxa"/>
            <w:tcBorders>
              <w:tl2br w:val="nil"/>
              <w:tr2bl w:val="nil"/>
            </w:tcBorders>
            <w:shd w:val="clear" w:color="auto" w:fill="auto"/>
            <w:vAlign w:val="center"/>
          </w:tcPr>
          <w:p>
            <w:pPr>
              <w:pStyle w:val="22"/>
              <w:bidi w:val="0"/>
              <w:jc w:val="center"/>
              <w:rPr>
                <w:rFonts w:hint="eastAsia"/>
                <w:color w:val="auto"/>
              </w:rPr>
            </w:pPr>
            <w:r>
              <w:rPr>
                <w:rFonts w:hint="eastAsia"/>
                <w:color w:val="auto"/>
                <w:lang w:val="en-US" w:eastAsia="zh-CN"/>
              </w:rPr>
              <w:t>一级</w:t>
            </w:r>
          </w:p>
        </w:tc>
        <w:tc>
          <w:tcPr>
            <w:tcW w:w="2932" w:type="dxa"/>
            <w:tcBorders>
              <w:tl2br w:val="nil"/>
              <w:tr2bl w:val="nil"/>
            </w:tcBorders>
            <w:shd w:val="clear" w:color="auto" w:fill="auto"/>
            <w:vAlign w:val="center"/>
          </w:tcPr>
          <w:p>
            <w:pPr>
              <w:pStyle w:val="22"/>
              <w:bidi w:val="0"/>
              <w:jc w:val="center"/>
              <w:rPr>
                <w:rFonts w:hint="eastAsia"/>
                <w:color w:val="auto"/>
              </w:rPr>
            </w:pPr>
            <w:r>
              <w:rPr>
                <w:rFonts w:hint="eastAsia"/>
                <w:color w:val="auto"/>
                <w:lang w:val="en-US" w:eastAsia="zh-CN"/>
              </w:rPr>
              <w:t>直接排放</w:t>
            </w:r>
          </w:p>
        </w:tc>
        <w:tc>
          <w:tcPr>
            <w:tcW w:w="3811" w:type="dxa"/>
            <w:tcBorders>
              <w:tl2br w:val="nil"/>
              <w:tr2bl w:val="nil"/>
            </w:tcBorders>
            <w:shd w:val="clear" w:color="auto" w:fill="auto"/>
            <w:vAlign w:val="center"/>
          </w:tcPr>
          <w:p>
            <w:pPr>
              <w:pStyle w:val="22"/>
              <w:bidi w:val="0"/>
              <w:jc w:val="center"/>
              <w:rPr>
                <w:rFonts w:hint="default"/>
                <w:color w:val="auto"/>
              </w:rPr>
            </w:pPr>
            <w:r>
              <w:rPr>
                <w:rFonts w:hint="default"/>
                <w:color w:val="auto"/>
                <w:lang w:val="en-US" w:eastAsia="zh-CN"/>
              </w:rPr>
              <w:t>Q≥20000</w:t>
            </w:r>
            <w:r>
              <w:rPr>
                <w:color w:val="auto"/>
                <w:lang w:val="en-US" w:eastAsia="zh-CN"/>
              </w:rPr>
              <w:t>或W≥600000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8" w:hRule="atLeast"/>
          <w:jc w:val="center"/>
        </w:trPr>
        <w:tc>
          <w:tcPr>
            <w:tcW w:w="1856" w:type="dxa"/>
            <w:tcBorders>
              <w:tl2br w:val="nil"/>
              <w:tr2bl w:val="nil"/>
            </w:tcBorders>
            <w:shd w:val="clear" w:color="auto" w:fill="auto"/>
            <w:vAlign w:val="center"/>
          </w:tcPr>
          <w:p>
            <w:pPr>
              <w:pStyle w:val="22"/>
              <w:bidi w:val="0"/>
              <w:jc w:val="center"/>
              <w:rPr>
                <w:rFonts w:hint="eastAsia"/>
                <w:color w:val="auto"/>
              </w:rPr>
            </w:pPr>
            <w:r>
              <w:rPr>
                <w:rFonts w:hint="eastAsia"/>
                <w:color w:val="auto"/>
                <w:lang w:val="en-US" w:eastAsia="zh-CN"/>
              </w:rPr>
              <w:t>二级</w:t>
            </w:r>
          </w:p>
        </w:tc>
        <w:tc>
          <w:tcPr>
            <w:tcW w:w="2932" w:type="dxa"/>
            <w:tcBorders>
              <w:tl2br w:val="nil"/>
              <w:tr2bl w:val="nil"/>
            </w:tcBorders>
            <w:shd w:val="clear" w:color="auto" w:fill="auto"/>
            <w:vAlign w:val="center"/>
          </w:tcPr>
          <w:p>
            <w:pPr>
              <w:pStyle w:val="22"/>
              <w:bidi w:val="0"/>
              <w:jc w:val="center"/>
              <w:rPr>
                <w:rFonts w:hint="eastAsia"/>
                <w:color w:val="auto"/>
              </w:rPr>
            </w:pPr>
            <w:r>
              <w:rPr>
                <w:rFonts w:hint="eastAsia"/>
                <w:color w:val="auto"/>
                <w:lang w:val="en-US" w:eastAsia="zh-CN"/>
              </w:rPr>
              <w:t>直接排放</w:t>
            </w:r>
          </w:p>
        </w:tc>
        <w:tc>
          <w:tcPr>
            <w:tcW w:w="3811" w:type="dxa"/>
            <w:tcBorders>
              <w:tl2br w:val="nil"/>
              <w:tr2bl w:val="nil"/>
            </w:tcBorders>
            <w:shd w:val="clear" w:color="auto" w:fill="auto"/>
            <w:vAlign w:val="center"/>
          </w:tcPr>
          <w:p>
            <w:pPr>
              <w:pStyle w:val="22"/>
              <w:bidi w:val="0"/>
              <w:jc w:val="center"/>
              <w:rPr>
                <w:rFonts w:hint="eastAsia"/>
                <w:color w:val="auto"/>
              </w:rPr>
            </w:pPr>
            <w:r>
              <w:rPr>
                <w:rFonts w:hint="eastAsia"/>
                <w:color w:val="auto"/>
                <w:lang w:val="en-US" w:eastAsia="zh-CN"/>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8" w:hRule="atLeast"/>
          <w:jc w:val="center"/>
        </w:trPr>
        <w:tc>
          <w:tcPr>
            <w:tcW w:w="1856" w:type="dxa"/>
            <w:tcBorders>
              <w:tl2br w:val="nil"/>
              <w:tr2bl w:val="nil"/>
            </w:tcBorders>
            <w:shd w:val="clear" w:color="auto" w:fill="auto"/>
            <w:vAlign w:val="center"/>
          </w:tcPr>
          <w:p>
            <w:pPr>
              <w:pStyle w:val="22"/>
              <w:bidi w:val="0"/>
              <w:jc w:val="center"/>
              <w:rPr>
                <w:rFonts w:hint="eastAsia"/>
                <w:color w:val="auto"/>
              </w:rPr>
            </w:pPr>
            <w:r>
              <w:rPr>
                <w:rFonts w:hint="eastAsia"/>
                <w:color w:val="auto"/>
                <w:lang w:val="en-US" w:eastAsia="zh-CN"/>
              </w:rPr>
              <w:t>三级</w:t>
            </w:r>
            <w:r>
              <w:rPr>
                <w:color w:val="auto"/>
                <w:lang w:val="en-US" w:eastAsia="zh-CN"/>
              </w:rPr>
              <w:t>A</w:t>
            </w:r>
          </w:p>
        </w:tc>
        <w:tc>
          <w:tcPr>
            <w:tcW w:w="2932" w:type="dxa"/>
            <w:tcBorders>
              <w:tl2br w:val="nil"/>
              <w:tr2bl w:val="nil"/>
            </w:tcBorders>
            <w:shd w:val="clear" w:color="auto" w:fill="auto"/>
            <w:vAlign w:val="center"/>
          </w:tcPr>
          <w:p>
            <w:pPr>
              <w:pStyle w:val="22"/>
              <w:bidi w:val="0"/>
              <w:jc w:val="center"/>
              <w:rPr>
                <w:rFonts w:hint="eastAsia"/>
                <w:color w:val="auto"/>
              </w:rPr>
            </w:pPr>
            <w:r>
              <w:rPr>
                <w:rFonts w:hint="eastAsia"/>
                <w:color w:val="auto"/>
                <w:lang w:val="en-US" w:eastAsia="zh-CN"/>
              </w:rPr>
              <w:t>直接排放</w:t>
            </w:r>
          </w:p>
        </w:tc>
        <w:tc>
          <w:tcPr>
            <w:tcW w:w="3811" w:type="dxa"/>
            <w:tcBorders>
              <w:tl2br w:val="nil"/>
              <w:tr2bl w:val="nil"/>
            </w:tcBorders>
            <w:shd w:val="clear" w:color="auto" w:fill="auto"/>
            <w:vAlign w:val="center"/>
          </w:tcPr>
          <w:p>
            <w:pPr>
              <w:pStyle w:val="22"/>
              <w:bidi w:val="0"/>
              <w:jc w:val="center"/>
              <w:rPr>
                <w:rFonts w:hint="default"/>
                <w:color w:val="auto"/>
              </w:rPr>
            </w:pPr>
            <w:r>
              <w:rPr>
                <w:rFonts w:hint="default"/>
                <w:color w:val="auto"/>
                <w:lang w:val="en-US" w:eastAsia="zh-CN"/>
              </w:rPr>
              <w:t>Q</w:t>
            </w:r>
            <w:r>
              <w:rPr>
                <w:color w:val="auto"/>
                <w:lang w:val="en-US" w:eastAsia="zh-CN"/>
              </w:rPr>
              <w:t>＜200且W＜6000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9" w:hRule="atLeast"/>
          <w:jc w:val="center"/>
        </w:trPr>
        <w:tc>
          <w:tcPr>
            <w:tcW w:w="1856" w:type="dxa"/>
            <w:tcBorders>
              <w:tl2br w:val="nil"/>
              <w:tr2bl w:val="nil"/>
            </w:tcBorders>
            <w:shd w:val="clear" w:color="auto" w:fill="auto"/>
            <w:vAlign w:val="center"/>
          </w:tcPr>
          <w:p>
            <w:pPr>
              <w:pStyle w:val="22"/>
              <w:bidi w:val="0"/>
              <w:jc w:val="center"/>
              <w:rPr>
                <w:rFonts w:hint="eastAsia"/>
                <w:color w:val="auto"/>
              </w:rPr>
            </w:pPr>
            <w:r>
              <w:rPr>
                <w:rFonts w:hint="eastAsia"/>
                <w:color w:val="auto"/>
                <w:lang w:val="en-US" w:eastAsia="zh-CN"/>
              </w:rPr>
              <w:t>三级</w:t>
            </w:r>
            <w:r>
              <w:rPr>
                <w:color w:val="auto"/>
                <w:lang w:val="en-US" w:eastAsia="zh-CN"/>
              </w:rPr>
              <w:t>B</w:t>
            </w:r>
          </w:p>
        </w:tc>
        <w:tc>
          <w:tcPr>
            <w:tcW w:w="2932" w:type="dxa"/>
            <w:tcBorders>
              <w:tl2br w:val="nil"/>
              <w:tr2bl w:val="nil"/>
            </w:tcBorders>
            <w:shd w:val="clear" w:color="auto" w:fill="auto"/>
            <w:vAlign w:val="center"/>
          </w:tcPr>
          <w:p>
            <w:pPr>
              <w:pStyle w:val="22"/>
              <w:bidi w:val="0"/>
              <w:jc w:val="center"/>
              <w:rPr>
                <w:rFonts w:hint="eastAsia"/>
                <w:color w:val="auto"/>
              </w:rPr>
            </w:pPr>
            <w:r>
              <w:rPr>
                <w:rFonts w:hint="eastAsia"/>
                <w:color w:val="auto"/>
                <w:lang w:val="en-US" w:eastAsia="zh-CN"/>
              </w:rPr>
              <w:t>间接排放</w:t>
            </w:r>
          </w:p>
        </w:tc>
        <w:tc>
          <w:tcPr>
            <w:tcW w:w="3811" w:type="dxa"/>
            <w:tcBorders>
              <w:tl2br w:val="nil"/>
              <w:tr2bl w:val="nil"/>
            </w:tcBorders>
            <w:shd w:val="clear" w:color="auto" w:fill="auto"/>
            <w:vAlign w:val="center"/>
          </w:tcPr>
          <w:p>
            <w:pPr>
              <w:pStyle w:val="22"/>
              <w:bidi w:val="0"/>
              <w:jc w:val="center"/>
              <w:rPr>
                <w:rFonts w:hint="default"/>
                <w:color w:val="auto"/>
              </w:rPr>
            </w:pPr>
            <w:r>
              <w:rPr>
                <w:rFonts w:hint="eastAsia"/>
                <w:color w:val="auto"/>
                <w:lang w:val="en-US" w:eastAsia="zh-CN"/>
              </w:rPr>
              <w:t>/</w:t>
            </w:r>
          </w:p>
        </w:tc>
      </w:tr>
    </w:tbl>
    <w:p>
      <w:pPr>
        <w:bidi w:val="0"/>
        <w:rPr>
          <w:color w:val="auto"/>
        </w:rPr>
      </w:pPr>
      <w:r>
        <w:rPr>
          <w:rFonts w:hint="eastAsia"/>
          <w:color w:val="auto"/>
          <w:lang w:val="en-US" w:eastAsia="zh-CN"/>
        </w:rPr>
        <w:t>本项目实验室废水经自建污水处理站处理达到《医疗机构水污染物排放标准》（</w:t>
      </w:r>
      <w:r>
        <w:rPr>
          <w:rFonts w:hint="default"/>
          <w:color w:val="auto"/>
          <w:lang w:val="en-US" w:eastAsia="zh-CN"/>
        </w:rPr>
        <w:t>GB18466-2005</w:t>
      </w:r>
      <w:r>
        <w:rPr>
          <w:rFonts w:hint="eastAsia"/>
          <w:color w:val="auto"/>
          <w:lang w:val="en-US" w:eastAsia="zh-CN"/>
        </w:rPr>
        <w:t>）表</w:t>
      </w:r>
      <w:r>
        <w:rPr>
          <w:rFonts w:hint="default"/>
          <w:color w:val="auto"/>
          <w:lang w:val="en-US" w:eastAsia="zh-CN"/>
        </w:rPr>
        <w:t>2</w:t>
      </w:r>
      <w:r>
        <w:rPr>
          <w:rFonts w:hint="eastAsia"/>
          <w:color w:val="auto"/>
          <w:lang w:val="en-US" w:eastAsia="zh-CN"/>
        </w:rPr>
        <w:t>“综合医疗机构和其他医疗机构水污染物排放限值”的预处理标准。办公楼生活污水经化粪池处理后与前述废水一同经市政污水管网排入皮山农场污水处理厂。根据《环境影响评价技术导则地表水环境》（</w:t>
      </w:r>
      <w:r>
        <w:rPr>
          <w:rFonts w:hint="default"/>
          <w:color w:val="auto"/>
          <w:lang w:val="en-US" w:eastAsia="zh-CN"/>
        </w:rPr>
        <w:t>HJ2.3-2018</w:t>
      </w:r>
      <w:r>
        <w:rPr>
          <w:rFonts w:hint="eastAsia"/>
          <w:color w:val="auto"/>
          <w:lang w:val="en-US" w:eastAsia="zh-CN"/>
        </w:rPr>
        <w:t>）中关于地表水环境影响评价工作等级的划分原则，本项目属于间接排放项目，因此，本项目地表水环境影响评价工作等级为三级</w:t>
      </w:r>
      <w:r>
        <w:rPr>
          <w:rFonts w:hint="default"/>
          <w:color w:val="auto"/>
          <w:lang w:val="en-US" w:eastAsia="zh-CN"/>
        </w:rPr>
        <w:t>B</w:t>
      </w:r>
      <w:r>
        <w:rPr>
          <w:rFonts w:hint="eastAsia"/>
          <w:color w:val="auto"/>
          <w:lang w:val="en-US" w:eastAsia="zh-CN"/>
        </w:rPr>
        <w:t>。</w:t>
      </w:r>
    </w:p>
    <w:p>
      <w:pPr>
        <w:pStyle w:val="6"/>
        <w:bidi w:val="0"/>
        <w:outlineLvl w:val="1"/>
        <w:rPr>
          <w:rFonts w:hint="default"/>
          <w:color w:val="auto"/>
          <w:lang w:val="en-US" w:eastAsia="zh-CN"/>
        </w:rPr>
      </w:pPr>
      <w:bookmarkStart w:id="25" w:name="_Toc9913"/>
      <w:r>
        <w:rPr>
          <w:rFonts w:hint="eastAsia"/>
          <w:color w:val="auto"/>
          <w:lang w:val="en-US" w:eastAsia="zh-CN"/>
        </w:rPr>
        <w:t>2.6.3地下水环境评价等级</w:t>
      </w:r>
      <w:bookmarkEnd w:id="25"/>
    </w:p>
    <w:p>
      <w:pPr>
        <w:bidi w:val="0"/>
        <w:rPr>
          <w:color w:val="auto"/>
        </w:rPr>
      </w:pPr>
      <w:r>
        <w:rPr>
          <w:color w:val="auto"/>
        </w:rPr>
        <w:t>本项目地下水环境影响评价工作等级依据《环境影响评价技术导则地下水环境》(HJ610-2016</w:t>
      </w:r>
      <w:r>
        <w:rPr>
          <w:rFonts w:hint="eastAsia"/>
          <w:color w:val="auto"/>
          <w:lang w:eastAsia="zh-CN"/>
        </w:rPr>
        <w:t>)</w:t>
      </w:r>
      <w:r>
        <w:rPr>
          <w:color w:val="auto"/>
        </w:rPr>
        <w:t>确定。</w:t>
      </w:r>
    </w:p>
    <w:p>
      <w:pPr>
        <w:bidi w:val="0"/>
        <w:rPr>
          <w:color w:val="auto"/>
        </w:rPr>
      </w:pPr>
      <w:r>
        <w:rPr>
          <w:color w:val="auto"/>
        </w:rPr>
        <w:t>地下水环境影响评价工作等级依据地下水环境敏感程度、项目所属的地下水环境影响评价项目类别进行判定。地下水环境敏感程度分级表见表2.6-</w:t>
      </w:r>
      <w:r>
        <w:rPr>
          <w:rFonts w:hint="eastAsia"/>
          <w:color w:val="auto"/>
          <w:lang w:val="en-US" w:eastAsia="zh-CN"/>
        </w:rPr>
        <w:t>6</w:t>
      </w:r>
      <w:r>
        <w:rPr>
          <w:color w:val="auto"/>
        </w:rPr>
        <w:t>，地下水环境影响评价工作等级分级表见表2.6-</w:t>
      </w:r>
      <w:r>
        <w:rPr>
          <w:rFonts w:hint="eastAsia"/>
          <w:color w:val="auto"/>
          <w:lang w:val="en-US" w:eastAsia="zh-CN"/>
        </w:rPr>
        <w:t>7</w:t>
      </w:r>
      <w:r>
        <w:rPr>
          <w:color w:val="auto"/>
        </w:rPr>
        <w:t>。</w:t>
      </w:r>
    </w:p>
    <w:p>
      <w:pPr>
        <w:bidi w:val="0"/>
        <w:jc w:val="center"/>
        <w:rPr>
          <w:b/>
          <w:bCs/>
          <w:color w:val="auto"/>
        </w:rPr>
      </w:pPr>
      <w:r>
        <w:rPr>
          <w:b/>
          <w:bCs/>
          <w:color w:val="auto"/>
        </w:rPr>
        <w:t>表2.6-</w:t>
      </w:r>
      <w:r>
        <w:rPr>
          <w:rFonts w:hint="eastAsia"/>
          <w:b/>
          <w:bCs/>
          <w:color w:val="auto"/>
          <w:lang w:val="en-US" w:eastAsia="zh-CN"/>
        </w:rPr>
        <w:t>6</w:t>
      </w:r>
      <w:r>
        <w:rPr>
          <w:b/>
          <w:bCs/>
          <w:color w:val="auto"/>
        </w:rPr>
        <w:t>地下水环境敏感程度分级表</w:t>
      </w:r>
    </w:p>
    <w:tbl>
      <w:tblPr>
        <w:tblStyle w:val="23"/>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78"/>
        <w:gridCol w:w="69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1578" w:type="dxa"/>
            <w:vAlign w:val="top"/>
          </w:tcPr>
          <w:p>
            <w:pPr>
              <w:spacing w:before="127" w:line="221" w:lineRule="auto"/>
              <w:ind w:left="0" w:leftChars="0" w:firstLine="0" w:firstLineChars="0"/>
              <w:jc w:val="center"/>
              <w:rPr>
                <w:rFonts w:ascii="宋体" w:hAnsi="宋体" w:eastAsia="宋体" w:cs="宋体"/>
                <w:b/>
                <w:bCs/>
                <w:color w:val="auto"/>
                <w:sz w:val="21"/>
                <w:szCs w:val="21"/>
              </w:rPr>
            </w:pPr>
            <w:r>
              <w:rPr>
                <w:rFonts w:ascii="宋体" w:hAnsi="宋体" w:eastAsia="宋体" w:cs="宋体"/>
                <w:b/>
                <w:bCs/>
                <w:color w:val="auto"/>
                <w:spacing w:val="-2"/>
                <w:sz w:val="21"/>
                <w:szCs w:val="21"/>
              </w:rPr>
              <w:t>敏感</w:t>
            </w:r>
            <w:r>
              <w:rPr>
                <w:rFonts w:ascii="宋体" w:hAnsi="宋体" w:eastAsia="宋体" w:cs="宋体"/>
                <w:b/>
                <w:bCs/>
                <w:color w:val="auto"/>
                <w:spacing w:val="-1"/>
                <w:sz w:val="21"/>
                <w:szCs w:val="21"/>
              </w:rPr>
              <w:t>程度</w:t>
            </w:r>
          </w:p>
        </w:tc>
        <w:tc>
          <w:tcPr>
            <w:tcW w:w="6931" w:type="dxa"/>
            <w:vAlign w:val="top"/>
          </w:tcPr>
          <w:p>
            <w:pPr>
              <w:spacing w:before="127" w:line="221" w:lineRule="auto"/>
              <w:ind w:left="0" w:leftChars="0" w:firstLine="0" w:firstLineChars="0"/>
              <w:jc w:val="center"/>
              <w:rPr>
                <w:rFonts w:ascii="宋体" w:hAnsi="宋体" w:eastAsia="宋体" w:cs="宋体"/>
                <w:b/>
                <w:bCs/>
                <w:color w:val="auto"/>
                <w:sz w:val="21"/>
                <w:szCs w:val="21"/>
              </w:rPr>
            </w:pPr>
            <w:r>
              <w:rPr>
                <w:rFonts w:ascii="宋体" w:hAnsi="宋体" w:eastAsia="宋体" w:cs="宋体"/>
                <w:b/>
                <w:bCs/>
                <w:color w:val="auto"/>
                <w:spacing w:val="-2"/>
                <w:sz w:val="21"/>
                <w:szCs w:val="21"/>
              </w:rPr>
              <w:t>敏感</w:t>
            </w:r>
            <w:r>
              <w:rPr>
                <w:rFonts w:ascii="宋体" w:hAnsi="宋体" w:eastAsia="宋体" w:cs="宋体"/>
                <w:b/>
                <w:bCs/>
                <w:color w:val="auto"/>
                <w:spacing w:val="-1"/>
                <w:sz w:val="21"/>
                <w:szCs w:val="21"/>
              </w:rPr>
              <w:t>程度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1578" w:type="dxa"/>
            <w:vAlign w:val="top"/>
          </w:tcPr>
          <w:p>
            <w:pPr>
              <w:spacing w:line="449" w:lineRule="auto"/>
              <w:jc w:val="center"/>
              <w:rPr>
                <w:rFonts w:ascii="Arial"/>
                <w:color w:val="auto"/>
                <w:sz w:val="21"/>
              </w:rPr>
            </w:pPr>
          </w:p>
          <w:p>
            <w:pPr>
              <w:spacing w:before="68" w:line="221" w:lineRule="auto"/>
              <w:ind w:left="0" w:leftChars="0" w:firstLine="0" w:firstLineChars="0"/>
              <w:jc w:val="center"/>
              <w:rPr>
                <w:rFonts w:ascii="宋体" w:hAnsi="宋体" w:eastAsia="宋体" w:cs="宋体"/>
                <w:color w:val="auto"/>
                <w:sz w:val="21"/>
                <w:szCs w:val="21"/>
              </w:rPr>
            </w:pPr>
            <w:r>
              <w:rPr>
                <w:rFonts w:ascii="宋体" w:hAnsi="宋体" w:eastAsia="宋体" w:cs="宋体"/>
                <w:color w:val="auto"/>
                <w:spacing w:val="-2"/>
                <w:sz w:val="21"/>
                <w:szCs w:val="21"/>
              </w:rPr>
              <w:t>敏感</w:t>
            </w:r>
          </w:p>
        </w:tc>
        <w:tc>
          <w:tcPr>
            <w:tcW w:w="6931" w:type="dxa"/>
            <w:vAlign w:val="top"/>
          </w:tcPr>
          <w:p>
            <w:pPr>
              <w:spacing w:before="51" w:line="261" w:lineRule="auto"/>
              <w:ind w:left="0" w:leftChars="0" w:right="103" w:firstLine="0" w:firstLineChars="0"/>
              <w:jc w:val="both"/>
              <w:rPr>
                <w:rFonts w:ascii="宋体" w:hAnsi="宋体" w:eastAsia="宋体" w:cs="宋体"/>
                <w:color w:val="auto"/>
                <w:sz w:val="21"/>
                <w:szCs w:val="21"/>
              </w:rPr>
            </w:pPr>
            <w:r>
              <w:rPr>
                <w:rFonts w:ascii="宋体" w:hAnsi="宋体" w:eastAsia="宋体" w:cs="宋体"/>
                <w:color w:val="auto"/>
                <w:spacing w:val="5"/>
                <w:sz w:val="21"/>
                <w:szCs w:val="21"/>
              </w:rPr>
              <w:t>集</w:t>
            </w:r>
            <w:r>
              <w:rPr>
                <w:rFonts w:ascii="宋体" w:hAnsi="宋体" w:eastAsia="宋体" w:cs="宋体"/>
                <w:color w:val="auto"/>
                <w:spacing w:val="3"/>
                <w:sz w:val="21"/>
                <w:szCs w:val="21"/>
              </w:rPr>
              <w:t>中式饮用水水源</w:t>
            </w:r>
            <w:r>
              <w:rPr>
                <w:rFonts w:hint="eastAsia" w:ascii="宋体" w:hAnsi="宋体" w:cs="宋体"/>
                <w:color w:val="auto"/>
                <w:spacing w:val="3"/>
                <w:sz w:val="21"/>
                <w:szCs w:val="21"/>
                <w:lang w:eastAsia="zh-CN"/>
              </w:rPr>
              <w:t>（</w:t>
            </w:r>
            <w:r>
              <w:rPr>
                <w:rFonts w:ascii="宋体" w:hAnsi="宋体" w:eastAsia="宋体" w:cs="宋体"/>
                <w:color w:val="auto"/>
                <w:spacing w:val="3"/>
                <w:sz w:val="21"/>
                <w:szCs w:val="21"/>
              </w:rPr>
              <w:t>包括已建成的在用、备用、应急水源，在建和规</w:t>
            </w:r>
            <w:r>
              <w:rPr>
                <w:rFonts w:ascii="宋体" w:hAnsi="宋体" w:eastAsia="宋体" w:cs="宋体"/>
                <w:color w:val="auto"/>
                <w:spacing w:val="-6"/>
                <w:sz w:val="21"/>
                <w:szCs w:val="21"/>
              </w:rPr>
              <w:t>划的饮用水</w:t>
            </w:r>
            <w:r>
              <w:rPr>
                <w:rFonts w:ascii="宋体" w:hAnsi="宋体" w:eastAsia="宋体" w:cs="宋体"/>
                <w:color w:val="auto"/>
                <w:spacing w:val="-3"/>
                <w:sz w:val="21"/>
                <w:szCs w:val="21"/>
              </w:rPr>
              <w:t>水源</w:t>
            </w:r>
            <w:r>
              <w:rPr>
                <w:rFonts w:hint="eastAsia" w:ascii="宋体" w:hAnsi="宋体" w:cs="宋体"/>
                <w:color w:val="auto"/>
                <w:spacing w:val="-3"/>
                <w:sz w:val="21"/>
                <w:szCs w:val="21"/>
                <w:lang w:eastAsia="zh-CN"/>
              </w:rPr>
              <w:t>）</w:t>
            </w:r>
            <w:r>
              <w:rPr>
                <w:rFonts w:ascii="宋体" w:hAnsi="宋体" w:eastAsia="宋体" w:cs="宋体"/>
                <w:color w:val="auto"/>
                <w:spacing w:val="-3"/>
                <w:sz w:val="21"/>
                <w:szCs w:val="21"/>
              </w:rPr>
              <w:t>准保护区；除集中式饮用水水源以外的国家或地方政府</w:t>
            </w:r>
            <w:r>
              <w:rPr>
                <w:rFonts w:ascii="宋体" w:hAnsi="宋体" w:eastAsia="宋体" w:cs="宋体"/>
                <w:color w:val="auto"/>
                <w:spacing w:val="-6"/>
                <w:sz w:val="21"/>
                <w:szCs w:val="21"/>
              </w:rPr>
              <w:t>设定的与地</w:t>
            </w:r>
            <w:r>
              <w:rPr>
                <w:rFonts w:ascii="宋体" w:hAnsi="宋体" w:eastAsia="宋体" w:cs="宋体"/>
                <w:color w:val="auto"/>
                <w:spacing w:val="-3"/>
                <w:sz w:val="21"/>
                <w:szCs w:val="21"/>
              </w:rPr>
              <w:t>下水环境相关的其他保护区，如热水、矿泉水、温泉等特殊地</w:t>
            </w:r>
            <w:r>
              <w:rPr>
                <w:rFonts w:ascii="宋体" w:hAnsi="宋体" w:eastAsia="宋体" w:cs="宋体"/>
                <w:color w:val="auto"/>
                <w:spacing w:val="-1"/>
                <w:sz w:val="21"/>
                <w:szCs w:val="21"/>
              </w:rPr>
              <w:t>下水资源</w:t>
            </w:r>
            <w:r>
              <w:rPr>
                <w:rFonts w:ascii="宋体" w:hAnsi="宋体" w:eastAsia="宋体" w:cs="宋体"/>
                <w:color w:val="auto"/>
                <w:sz w:val="21"/>
                <w:szCs w:val="21"/>
              </w:rPr>
              <w:t>保护区。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5" w:hRule="atLeast"/>
        </w:trPr>
        <w:tc>
          <w:tcPr>
            <w:tcW w:w="1578" w:type="dxa"/>
            <w:vAlign w:val="top"/>
          </w:tcPr>
          <w:p>
            <w:pPr>
              <w:spacing w:line="304" w:lineRule="auto"/>
              <w:jc w:val="center"/>
              <w:rPr>
                <w:rFonts w:ascii="Arial"/>
                <w:color w:val="auto"/>
                <w:sz w:val="21"/>
              </w:rPr>
            </w:pPr>
          </w:p>
          <w:p>
            <w:pPr>
              <w:spacing w:line="304" w:lineRule="auto"/>
              <w:jc w:val="center"/>
              <w:rPr>
                <w:rFonts w:ascii="Arial"/>
                <w:color w:val="auto"/>
                <w:sz w:val="21"/>
              </w:rPr>
            </w:pPr>
          </w:p>
          <w:p>
            <w:pPr>
              <w:spacing w:before="68" w:line="221" w:lineRule="auto"/>
              <w:ind w:left="0" w:leftChars="0" w:firstLine="0" w:firstLineChars="0"/>
              <w:jc w:val="center"/>
              <w:rPr>
                <w:rFonts w:ascii="宋体" w:hAnsi="宋体" w:eastAsia="宋体" w:cs="宋体"/>
                <w:color w:val="auto"/>
                <w:sz w:val="21"/>
                <w:szCs w:val="21"/>
              </w:rPr>
            </w:pPr>
            <w:r>
              <w:rPr>
                <w:rFonts w:ascii="宋体" w:hAnsi="宋体" w:eastAsia="宋体" w:cs="宋体"/>
                <w:color w:val="auto"/>
                <w:spacing w:val="-2"/>
                <w:sz w:val="21"/>
                <w:szCs w:val="21"/>
              </w:rPr>
              <w:t>较</w:t>
            </w:r>
            <w:r>
              <w:rPr>
                <w:rFonts w:ascii="宋体" w:hAnsi="宋体" w:eastAsia="宋体" w:cs="宋体"/>
                <w:color w:val="auto"/>
                <w:spacing w:val="-1"/>
                <w:sz w:val="21"/>
                <w:szCs w:val="21"/>
              </w:rPr>
              <w:t>敏感</w:t>
            </w:r>
          </w:p>
        </w:tc>
        <w:tc>
          <w:tcPr>
            <w:tcW w:w="6931" w:type="dxa"/>
            <w:vAlign w:val="top"/>
          </w:tcPr>
          <w:p>
            <w:pPr>
              <w:spacing w:before="53" w:line="264" w:lineRule="auto"/>
              <w:ind w:left="0" w:leftChars="0" w:right="103" w:firstLine="0" w:firstLineChars="0"/>
              <w:jc w:val="both"/>
              <w:rPr>
                <w:rFonts w:ascii="宋体" w:hAnsi="宋体" w:eastAsia="宋体" w:cs="宋体"/>
                <w:color w:val="auto"/>
                <w:sz w:val="21"/>
                <w:szCs w:val="21"/>
              </w:rPr>
            </w:pPr>
            <w:r>
              <w:rPr>
                <w:rFonts w:ascii="宋体" w:hAnsi="宋体" w:eastAsia="宋体" w:cs="宋体"/>
                <w:color w:val="auto"/>
                <w:spacing w:val="5"/>
                <w:sz w:val="21"/>
                <w:szCs w:val="21"/>
              </w:rPr>
              <w:t>集</w:t>
            </w:r>
            <w:r>
              <w:rPr>
                <w:rFonts w:ascii="宋体" w:hAnsi="宋体" w:eastAsia="宋体" w:cs="宋体"/>
                <w:color w:val="auto"/>
                <w:spacing w:val="3"/>
                <w:sz w:val="21"/>
                <w:szCs w:val="21"/>
              </w:rPr>
              <w:t>中式饮用水水源</w:t>
            </w:r>
            <w:r>
              <w:rPr>
                <w:rFonts w:hint="eastAsia" w:ascii="宋体" w:hAnsi="宋体" w:cs="宋体"/>
                <w:color w:val="auto"/>
                <w:spacing w:val="3"/>
                <w:sz w:val="21"/>
                <w:szCs w:val="21"/>
                <w:lang w:eastAsia="zh-CN"/>
              </w:rPr>
              <w:t>（</w:t>
            </w:r>
            <w:r>
              <w:rPr>
                <w:rFonts w:ascii="宋体" w:hAnsi="宋体" w:eastAsia="宋体" w:cs="宋体"/>
                <w:color w:val="auto"/>
                <w:spacing w:val="3"/>
                <w:sz w:val="21"/>
                <w:szCs w:val="21"/>
              </w:rPr>
              <w:t>包括已建成的在用、备用、应急水源，在建和规</w:t>
            </w:r>
            <w:r>
              <w:rPr>
                <w:rFonts w:ascii="宋体" w:hAnsi="宋体" w:eastAsia="宋体" w:cs="宋体"/>
                <w:color w:val="auto"/>
                <w:spacing w:val="-1"/>
                <w:sz w:val="21"/>
                <w:szCs w:val="21"/>
              </w:rPr>
              <w:t>划的饮用水水源</w:t>
            </w:r>
            <w:r>
              <w:rPr>
                <w:rFonts w:hint="eastAsia" w:ascii="宋体" w:hAnsi="宋体" w:cs="宋体"/>
                <w:color w:val="auto"/>
                <w:spacing w:val="-1"/>
                <w:sz w:val="21"/>
                <w:szCs w:val="21"/>
                <w:lang w:eastAsia="zh-CN"/>
              </w:rPr>
              <w:t>）</w:t>
            </w:r>
            <w:r>
              <w:rPr>
                <w:rFonts w:ascii="宋体" w:hAnsi="宋体" w:eastAsia="宋体" w:cs="宋体"/>
                <w:color w:val="auto"/>
                <w:spacing w:val="-1"/>
                <w:sz w:val="21"/>
                <w:szCs w:val="21"/>
              </w:rPr>
              <w:t>准保护</w:t>
            </w:r>
            <w:r>
              <w:rPr>
                <w:rFonts w:ascii="宋体" w:hAnsi="宋体" w:eastAsia="宋体" w:cs="宋体"/>
                <w:color w:val="auto"/>
                <w:sz w:val="21"/>
                <w:szCs w:val="21"/>
              </w:rPr>
              <w:t>区以外的补给径流区；未划定准保护区的集中式</w:t>
            </w:r>
            <w:r>
              <w:rPr>
                <w:rFonts w:ascii="宋体" w:hAnsi="宋体" w:eastAsia="宋体" w:cs="宋体"/>
                <w:color w:val="auto"/>
                <w:spacing w:val="-6"/>
                <w:sz w:val="21"/>
                <w:szCs w:val="21"/>
              </w:rPr>
              <w:t>饮用水水源</w:t>
            </w:r>
            <w:r>
              <w:rPr>
                <w:rFonts w:ascii="宋体" w:hAnsi="宋体" w:eastAsia="宋体" w:cs="宋体"/>
                <w:color w:val="auto"/>
                <w:spacing w:val="-3"/>
                <w:sz w:val="21"/>
                <w:szCs w:val="21"/>
              </w:rPr>
              <w:t>，其保护区以外的补给径流区；分散式饮用水水源地；特殊地</w:t>
            </w:r>
            <w:r>
              <w:rPr>
                <w:rFonts w:ascii="宋体" w:hAnsi="宋体" w:eastAsia="宋体" w:cs="宋体"/>
                <w:color w:val="auto"/>
                <w:spacing w:val="3"/>
                <w:sz w:val="21"/>
                <w:szCs w:val="21"/>
              </w:rPr>
              <w:t>下水资源</w:t>
            </w:r>
            <w:r>
              <w:rPr>
                <w:rFonts w:hint="eastAsia" w:ascii="宋体" w:hAnsi="宋体" w:cs="宋体"/>
                <w:color w:val="auto"/>
                <w:spacing w:val="3"/>
                <w:sz w:val="21"/>
                <w:szCs w:val="21"/>
                <w:lang w:eastAsia="zh-CN"/>
              </w:rPr>
              <w:t>（</w:t>
            </w:r>
            <w:r>
              <w:rPr>
                <w:rFonts w:ascii="宋体" w:hAnsi="宋体" w:eastAsia="宋体" w:cs="宋体"/>
                <w:color w:val="auto"/>
                <w:spacing w:val="3"/>
                <w:sz w:val="21"/>
                <w:szCs w:val="21"/>
              </w:rPr>
              <w:t>如热水、矿泉水、温泉等</w:t>
            </w:r>
            <w:r>
              <w:rPr>
                <w:rFonts w:hint="eastAsia" w:ascii="宋体" w:hAnsi="宋体" w:cs="宋体"/>
                <w:color w:val="auto"/>
                <w:spacing w:val="3"/>
                <w:sz w:val="21"/>
                <w:szCs w:val="21"/>
                <w:lang w:eastAsia="zh-CN"/>
              </w:rPr>
              <w:t>）</w:t>
            </w:r>
            <w:r>
              <w:rPr>
                <w:rFonts w:ascii="宋体" w:hAnsi="宋体" w:eastAsia="宋体" w:cs="宋体"/>
                <w:color w:val="auto"/>
                <w:spacing w:val="3"/>
                <w:sz w:val="21"/>
                <w:szCs w:val="21"/>
              </w:rPr>
              <w:t>保护区以外的分布区等其他未</w:t>
            </w:r>
            <w:r>
              <w:rPr>
                <w:rFonts w:ascii="宋体" w:hAnsi="宋体" w:eastAsia="宋体" w:cs="宋体"/>
                <w:color w:val="auto"/>
                <w:sz w:val="21"/>
                <w:szCs w:val="21"/>
              </w:rPr>
              <w:t>列入</w:t>
            </w:r>
            <w:r>
              <w:rPr>
                <w:rFonts w:ascii="宋体" w:hAnsi="宋体" w:eastAsia="宋体" w:cs="宋体"/>
                <w:color w:val="auto"/>
                <w:spacing w:val="-2"/>
                <w:sz w:val="21"/>
                <w:szCs w:val="21"/>
              </w:rPr>
              <w:t>敏感分级的环境敏感</w:t>
            </w:r>
            <w:r>
              <w:rPr>
                <w:rFonts w:ascii="宋体" w:hAnsi="宋体" w:eastAsia="宋体" w:cs="宋体"/>
                <w:color w:val="auto"/>
                <w:spacing w:val="-1"/>
                <w:sz w:val="21"/>
                <w:szCs w:val="21"/>
              </w:rPr>
              <w:t>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1578" w:type="dxa"/>
            <w:vAlign w:val="top"/>
          </w:tcPr>
          <w:p>
            <w:pPr>
              <w:spacing w:before="125" w:line="221" w:lineRule="auto"/>
              <w:ind w:left="0" w:leftChars="0" w:firstLine="0" w:firstLineChars="0"/>
              <w:jc w:val="center"/>
              <w:rPr>
                <w:rFonts w:ascii="宋体" w:hAnsi="宋体" w:eastAsia="宋体" w:cs="宋体"/>
                <w:color w:val="auto"/>
                <w:sz w:val="21"/>
                <w:szCs w:val="21"/>
              </w:rPr>
            </w:pPr>
            <w:r>
              <w:rPr>
                <w:rFonts w:ascii="宋体" w:hAnsi="宋体" w:eastAsia="宋体" w:cs="宋体"/>
                <w:color w:val="auto"/>
                <w:spacing w:val="-2"/>
                <w:sz w:val="21"/>
                <w:szCs w:val="21"/>
              </w:rPr>
              <w:t>不敏感</w:t>
            </w:r>
          </w:p>
        </w:tc>
        <w:tc>
          <w:tcPr>
            <w:tcW w:w="6931" w:type="dxa"/>
            <w:vAlign w:val="top"/>
          </w:tcPr>
          <w:p>
            <w:pPr>
              <w:spacing w:before="126" w:line="221" w:lineRule="auto"/>
              <w:ind w:left="0" w:leftChars="0" w:firstLine="0" w:firstLineChars="0"/>
              <w:jc w:val="center"/>
              <w:rPr>
                <w:rFonts w:ascii="宋体" w:hAnsi="宋体" w:eastAsia="宋体" w:cs="宋体"/>
                <w:color w:val="auto"/>
                <w:sz w:val="21"/>
                <w:szCs w:val="21"/>
              </w:rPr>
            </w:pPr>
            <w:r>
              <w:rPr>
                <w:rFonts w:ascii="宋体" w:hAnsi="宋体" w:eastAsia="宋体" w:cs="宋体"/>
                <w:color w:val="auto"/>
                <w:spacing w:val="-1"/>
                <w:sz w:val="21"/>
                <w:szCs w:val="21"/>
              </w:rPr>
              <w:t>上述地区之外的</w:t>
            </w:r>
            <w:r>
              <w:rPr>
                <w:rFonts w:ascii="宋体" w:hAnsi="宋体" w:eastAsia="宋体" w:cs="宋体"/>
                <w:color w:val="auto"/>
                <w:sz w:val="21"/>
                <w:szCs w:val="21"/>
              </w:rPr>
              <w:t>其他地区。</w:t>
            </w:r>
          </w:p>
        </w:tc>
      </w:tr>
    </w:tbl>
    <w:p>
      <w:pPr>
        <w:bidi w:val="0"/>
        <w:jc w:val="center"/>
        <w:rPr>
          <w:b/>
          <w:bCs/>
          <w:color w:val="auto"/>
          <w:sz w:val="21"/>
          <w:szCs w:val="21"/>
        </w:rPr>
      </w:pPr>
      <w:r>
        <w:rPr>
          <w:b/>
          <w:bCs/>
          <w:color w:val="auto"/>
          <w:sz w:val="21"/>
          <w:szCs w:val="21"/>
        </w:rPr>
        <w:t>表2.6-</w:t>
      </w:r>
      <w:r>
        <w:rPr>
          <w:rFonts w:hint="eastAsia"/>
          <w:b/>
          <w:bCs/>
          <w:color w:val="auto"/>
          <w:sz w:val="21"/>
          <w:szCs w:val="21"/>
          <w:lang w:val="en-US" w:eastAsia="zh-CN"/>
        </w:rPr>
        <w:t>7</w:t>
      </w:r>
      <w:r>
        <w:rPr>
          <w:b/>
          <w:bCs/>
          <w:color w:val="auto"/>
          <w:sz w:val="21"/>
          <w:szCs w:val="21"/>
        </w:rPr>
        <w:t>地下水环境影响评价工作等级分级表</w:t>
      </w:r>
    </w:p>
    <w:tbl>
      <w:tblPr>
        <w:tblStyle w:val="23"/>
        <w:tblW w:w="850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30"/>
        <w:gridCol w:w="2123"/>
        <w:gridCol w:w="2125"/>
        <w:gridCol w:w="21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 w:hRule="atLeast"/>
          <w:jc w:val="center"/>
        </w:trPr>
        <w:tc>
          <w:tcPr>
            <w:tcW w:w="2130" w:type="dxa"/>
            <w:vAlign w:val="top"/>
          </w:tcPr>
          <w:p>
            <w:pPr>
              <w:bidi w:val="0"/>
              <w:spacing w:line="240" w:lineRule="auto"/>
              <w:ind w:left="0" w:leftChars="0" w:firstLine="0" w:firstLineChars="0"/>
              <w:jc w:val="center"/>
              <w:rPr>
                <w:b/>
                <w:bCs/>
                <w:color w:val="auto"/>
                <w:sz w:val="21"/>
                <w:szCs w:val="21"/>
              </w:rPr>
            </w:pPr>
            <w:r>
              <w:rPr>
                <w:b/>
                <w:bCs/>
                <w:color w:val="auto"/>
                <w:sz w:val="21"/>
                <w:szCs w:val="21"/>
              </w:rPr>
              <w:t>项目类别环境敏感程度</w:t>
            </w:r>
          </w:p>
        </w:tc>
        <w:tc>
          <w:tcPr>
            <w:tcW w:w="2123" w:type="dxa"/>
            <w:tcBorders>
              <w:right w:val="single" w:color="000000" w:sz="4" w:space="0"/>
            </w:tcBorders>
            <w:vAlign w:val="top"/>
          </w:tcPr>
          <w:p>
            <w:pPr>
              <w:bidi w:val="0"/>
              <w:spacing w:line="240" w:lineRule="auto"/>
              <w:jc w:val="center"/>
              <w:rPr>
                <w:b/>
                <w:bCs/>
                <w:color w:val="auto"/>
                <w:sz w:val="21"/>
                <w:szCs w:val="21"/>
              </w:rPr>
            </w:pPr>
            <w:r>
              <w:rPr>
                <w:b/>
                <w:bCs/>
                <w:color w:val="auto"/>
                <w:sz w:val="21"/>
                <w:szCs w:val="21"/>
              </w:rPr>
              <w:t>I类项目</w:t>
            </w:r>
          </w:p>
        </w:tc>
        <w:tc>
          <w:tcPr>
            <w:tcW w:w="2125" w:type="dxa"/>
            <w:tcBorders>
              <w:left w:val="single" w:color="000000" w:sz="4" w:space="0"/>
            </w:tcBorders>
            <w:vAlign w:val="top"/>
          </w:tcPr>
          <w:p>
            <w:pPr>
              <w:bidi w:val="0"/>
              <w:spacing w:line="240" w:lineRule="auto"/>
              <w:jc w:val="center"/>
              <w:rPr>
                <w:b/>
                <w:bCs/>
                <w:color w:val="auto"/>
                <w:sz w:val="21"/>
                <w:szCs w:val="21"/>
              </w:rPr>
            </w:pPr>
            <w:r>
              <w:rPr>
                <w:b/>
                <w:bCs/>
                <w:color w:val="auto"/>
                <w:sz w:val="21"/>
                <w:szCs w:val="21"/>
              </w:rPr>
              <w:t>II类项目</w:t>
            </w:r>
          </w:p>
        </w:tc>
        <w:tc>
          <w:tcPr>
            <w:tcW w:w="2131" w:type="dxa"/>
            <w:vAlign w:val="top"/>
          </w:tcPr>
          <w:p>
            <w:pPr>
              <w:bidi w:val="0"/>
              <w:spacing w:line="240" w:lineRule="auto"/>
              <w:jc w:val="center"/>
              <w:rPr>
                <w:b/>
                <w:bCs/>
                <w:color w:val="auto"/>
                <w:sz w:val="21"/>
                <w:szCs w:val="21"/>
              </w:rPr>
            </w:pPr>
            <w:r>
              <w:rPr>
                <w:b/>
                <w:bCs/>
                <w:color w:val="auto"/>
                <w:sz w:val="21"/>
                <w:szCs w:val="21"/>
              </w:rPr>
              <w:t>III类项目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2130" w:type="dxa"/>
            <w:vAlign w:val="top"/>
          </w:tcPr>
          <w:p>
            <w:pPr>
              <w:bidi w:val="0"/>
              <w:spacing w:line="240" w:lineRule="auto"/>
              <w:jc w:val="center"/>
              <w:rPr>
                <w:color w:val="auto"/>
                <w:sz w:val="21"/>
                <w:szCs w:val="21"/>
              </w:rPr>
            </w:pPr>
            <w:r>
              <w:rPr>
                <w:color w:val="auto"/>
                <w:sz w:val="21"/>
                <w:szCs w:val="21"/>
              </w:rPr>
              <w:t>敏感</w:t>
            </w:r>
          </w:p>
        </w:tc>
        <w:tc>
          <w:tcPr>
            <w:tcW w:w="2123" w:type="dxa"/>
            <w:tcBorders>
              <w:right w:val="single" w:color="000000" w:sz="4" w:space="0"/>
            </w:tcBorders>
            <w:vAlign w:val="top"/>
          </w:tcPr>
          <w:p>
            <w:pPr>
              <w:bidi w:val="0"/>
              <w:spacing w:line="240" w:lineRule="auto"/>
              <w:jc w:val="center"/>
              <w:rPr>
                <w:rFonts w:hint="eastAsia"/>
                <w:color w:val="auto"/>
                <w:sz w:val="21"/>
                <w:szCs w:val="21"/>
                <w:lang w:val="en-US" w:eastAsia="zh-CN"/>
              </w:rPr>
            </w:pPr>
            <w:r>
              <w:rPr>
                <w:rFonts w:hint="eastAsia"/>
                <w:color w:val="auto"/>
                <w:sz w:val="21"/>
                <w:szCs w:val="21"/>
                <w:lang w:val="en-US" w:eastAsia="zh-CN"/>
              </w:rPr>
              <w:t>一</w:t>
            </w:r>
          </w:p>
        </w:tc>
        <w:tc>
          <w:tcPr>
            <w:tcW w:w="2125" w:type="dxa"/>
            <w:tcBorders>
              <w:left w:val="single" w:color="000000" w:sz="4" w:space="0"/>
            </w:tcBorders>
            <w:vAlign w:val="top"/>
          </w:tcPr>
          <w:p>
            <w:pPr>
              <w:bidi w:val="0"/>
              <w:spacing w:line="240" w:lineRule="auto"/>
              <w:jc w:val="center"/>
              <w:rPr>
                <w:rFonts w:hint="eastAsia"/>
                <w:color w:val="auto"/>
                <w:sz w:val="21"/>
                <w:szCs w:val="21"/>
                <w:lang w:eastAsia="zh-CN"/>
              </w:rPr>
            </w:pPr>
            <w:r>
              <w:rPr>
                <w:rFonts w:hint="eastAsia"/>
                <w:color w:val="auto"/>
                <w:sz w:val="21"/>
                <w:szCs w:val="21"/>
                <w:lang w:val="en-US" w:eastAsia="zh-CN"/>
              </w:rPr>
              <w:t>一</w:t>
            </w:r>
          </w:p>
        </w:tc>
        <w:tc>
          <w:tcPr>
            <w:tcW w:w="2131" w:type="dxa"/>
            <w:vAlign w:val="top"/>
          </w:tcPr>
          <w:p>
            <w:pPr>
              <w:bidi w:val="0"/>
              <w:spacing w:line="240" w:lineRule="auto"/>
              <w:jc w:val="center"/>
              <w:rPr>
                <w:color w:val="auto"/>
                <w:sz w:val="21"/>
                <w:szCs w:val="21"/>
              </w:rPr>
            </w:pPr>
            <w:r>
              <w:rPr>
                <w:color w:val="auto"/>
                <w:sz w:val="21"/>
                <w:szCs w:val="21"/>
              </w:rPr>
              <w:t>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2130" w:type="dxa"/>
            <w:vAlign w:val="top"/>
          </w:tcPr>
          <w:p>
            <w:pPr>
              <w:bidi w:val="0"/>
              <w:spacing w:line="240" w:lineRule="auto"/>
              <w:jc w:val="center"/>
              <w:rPr>
                <w:color w:val="auto"/>
                <w:sz w:val="21"/>
                <w:szCs w:val="21"/>
              </w:rPr>
            </w:pPr>
            <w:r>
              <w:rPr>
                <w:color w:val="auto"/>
                <w:sz w:val="21"/>
                <w:szCs w:val="21"/>
              </w:rPr>
              <w:t>较敏感</w:t>
            </w:r>
          </w:p>
        </w:tc>
        <w:tc>
          <w:tcPr>
            <w:tcW w:w="2123" w:type="dxa"/>
            <w:tcBorders>
              <w:right w:val="single" w:color="000000" w:sz="4" w:space="0"/>
            </w:tcBorders>
            <w:vAlign w:val="top"/>
          </w:tcPr>
          <w:p>
            <w:pPr>
              <w:bidi w:val="0"/>
              <w:spacing w:line="240" w:lineRule="auto"/>
              <w:jc w:val="center"/>
              <w:rPr>
                <w:color w:val="auto"/>
                <w:sz w:val="21"/>
                <w:szCs w:val="21"/>
              </w:rPr>
            </w:pPr>
            <w:r>
              <w:rPr>
                <w:color w:val="auto"/>
                <w:sz w:val="21"/>
                <w:szCs w:val="21"/>
              </w:rPr>
              <w:t>一</w:t>
            </w:r>
          </w:p>
        </w:tc>
        <w:tc>
          <w:tcPr>
            <w:tcW w:w="2125" w:type="dxa"/>
            <w:tcBorders>
              <w:left w:val="single" w:color="000000" w:sz="4" w:space="0"/>
            </w:tcBorders>
            <w:vAlign w:val="top"/>
          </w:tcPr>
          <w:p>
            <w:pPr>
              <w:bidi w:val="0"/>
              <w:spacing w:line="240" w:lineRule="auto"/>
              <w:jc w:val="center"/>
              <w:rPr>
                <w:color w:val="auto"/>
                <w:sz w:val="21"/>
                <w:szCs w:val="21"/>
              </w:rPr>
            </w:pPr>
            <w:r>
              <w:rPr>
                <w:color w:val="auto"/>
                <w:sz w:val="21"/>
                <w:szCs w:val="21"/>
              </w:rPr>
              <w:t>二</w:t>
            </w:r>
          </w:p>
        </w:tc>
        <w:tc>
          <w:tcPr>
            <w:tcW w:w="2131" w:type="dxa"/>
            <w:vAlign w:val="top"/>
          </w:tcPr>
          <w:p>
            <w:pPr>
              <w:bidi w:val="0"/>
              <w:spacing w:line="240" w:lineRule="auto"/>
              <w:jc w:val="center"/>
              <w:rPr>
                <w:color w:val="auto"/>
                <w:sz w:val="21"/>
                <w:szCs w:val="21"/>
              </w:rPr>
            </w:pPr>
            <w:r>
              <w:rPr>
                <w:color w:val="auto"/>
                <w:sz w:val="21"/>
                <w:szCs w:val="21"/>
              </w:rPr>
              <w:t>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jc w:val="center"/>
        </w:trPr>
        <w:tc>
          <w:tcPr>
            <w:tcW w:w="2130" w:type="dxa"/>
            <w:vAlign w:val="top"/>
          </w:tcPr>
          <w:p>
            <w:pPr>
              <w:bidi w:val="0"/>
              <w:spacing w:line="240" w:lineRule="auto"/>
              <w:jc w:val="center"/>
              <w:rPr>
                <w:color w:val="auto"/>
                <w:sz w:val="21"/>
                <w:szCs w:val="21"/>
              </w:rPr>
            </w:pPr>
            <w:r>
              <w:rPr>
                <w:color w:val="auto"/>
                <w:sz w:val="21"/>
                <w:szCs w:val="21"/>
              </w:rPr>
              <w:t>不敏感</w:t>
            </w:r>
          </w:p>
        </w:tc>
        <w:tc>
          <w:tcPr>
            <w:tcW w:w="2123" w:type="dxa"/>
            <w:tcBorders>
              <w:right w:val="single" w:color="000000" w:sz="4" w:space="0"/>
            </w:tcBorders>
            <w:vAlign w:val="top"/>
          </w:tcPr>
          <w:p>
            <w:pPr>
              <w:bidi w:val="0"/>
              <w:spacing w:line="240" w:lineRule="auto"/>
              <w:jc w:val="center"/>
              <w:rPr>
                <w:color w:val="auto"/>
                <w:sz w:val="21"/>
                <w:szCs w:val="21"/>
              </w:rPr>
            </w:pPr>
            <w:r>
              <w:rPr>
                <w:color w:val="auto"/>
                <w:sz w:val="21"/>
                <w:szCs w:val="21"/>
              </w:rPr>
              <w:t>二</w:t>
            </w:r>
          </w:p>
        </w:tc>
        <w:tc>
          <w:tcPr>
            <w:tcW w:w="2125" w:type="dxa"/>
            <w:tcBorders>
              <w:left w:val="single" w:color="000000" w:sz="4" w:space="0"/>
            </w:tcBorders>
            <w:vAlign w:val="top"/>
          </w:tcPr>
          <w:p>
            <w:pPr>
              <w:bidi w:val="0"/>
              <w:spacing w:line="240" w:lineRule="auto"/>
              <w:jc w:val="center"/>
              <w:rPr>
                <w:color w:val="auto"/>
                <w:sz w:val="21"/>
                <w:szCs w:val="21"/>
              </w:rPr>
            </w:pPr>
            <w:r>
              <w:rPr>
                <w:color w:val="auto"/>
                <w:sz w:val="21"/>
                <w:szCs w:val="21"/>
              </w:rPr>
              <w:t>三</w:t>
            </w:r>
          </w:p>
        </w:tc>
        <w:tc>
          <w:tcPr>
            <w:tcW w:w="2131" w:type="dxa"/>
            <w:vAlign w:val="top"/>
          </w:tcPr>
          <w:p>
            <w:pPr>
              <w:bidi w:val="0"/>
              <w:spacing w:line="240" w:lineRule="auto"/>
              <w:jc w:val="center"/>
              <w:rPr>
                <w:color w:val="auto"/>
                <w:sz w:val="21"/>
                <w:szCs w:val="21"/>
              </w:rPr>
            </w:pPr>
            <w:r>
              <w:rPr>
                <w:color w:val="auto"/>
                <w:sz w:val="21"/>
                <w:szCs w:val="21"/>
              </w:rPr>
              <w:t>三</w:t>
            </w:r>
          </w:p>
        </w:tc>
      </w:tr>
    </w:tbl>
    <w:p>
      <w:pPr>
        <w:bidi w:val="0"/>
        <w:ind w:left="0" w:leftChars="0" w:firstLine="480" w:firstLineChars="200"/>
        <w:rPr>
          <w:color w:val="auto"/>
        </w:rPr>
      </w:pPr>
      <w:r>
        <w:rPr>
          <w:color w:val="auto"/>
        </w:rPr>
        <w:t>对照《环境影响评价技术导则地下水环境》(HJ610-2016</w:t>
      </w:r>
      <w:r>
        <w:rPr>
          <w:rFonts w:hint="eastAsia"/>
          <w:color w:val="auto"/>
          <w:lang w:eastAsia="zh-CN"/>
        </w:rPr>
        <w:t>)</w:t>
      </w:r>
      <w:r>
        <w:rPr>
          <w:color w:val="auto"/>
        </w:rPr>
        <w:t>附录A，本项目属于“V社会事业与服务业”中“160、疫病预防控制中心”，属于编制环境影响报告书项目，项目地下水环境影响评价项目类别为IV类。具体见表2.6-</w:t>
      </w:r>
      <w:r>
        <w:rPr>
          <w:rFonts w:hint="eastAsia"/>
          <w:color w:val="auto"/>
          <w:lang w:val="en-US" w:eastAsia="zh-CN"/>
        </w:rPr>
        <w:t>8</w:t>
      </w:r>
      <w:r>
        <w:rPr>
          <w:color w:val="auto"/>
        </w:rPr>
        <w:t>。</w:t>
      </w:r>
    </w:p>
    <w:p>
      <w:pPr>
        <w:bidi w:val="0"/>
        <w:jc w:val="center"/>
        <w:rPr>
          <w:b/>
          <w:bCs/>
          <w:color w:val="auto"/>
          <w:sz w:val="21"/>
          <w:szCs w:val="21"/>
        </w:rPr>
      </w:pPr>
      <w:r>
        <w:rPr>
          <w:b/>
          <w:bCs/>
          <w:color w:val="auto"/>
          <w:sz w:val="21"/>
          <w:szCs w:val="21"/>
        </w:rPr>
        <w:t>表2.6-</w:t>
      </w:r>
      <w:r>
        <w:rPr>
          <w:rFonts w:hint="eastAsia"/>
          <w:b/>
          <w:bCs/>
          <w:color w:val="auto"/>
          <w:sz w:val="21"/>
          <w:szCs w:val="21"/>
          <w:lang w:val="en-US" w:eastAsia="zh-CN"/>
        </w:rPr>
        <w:t>8</w:t>
      </w:r>
      <w:r>
        <w:rPr>
          <w:b/>
          <w:bCs/>
          <w:color w:val="auto"/>
          <w:sz w:val="21"/>
          <w:szCs w:val="21"/>
        </w:rPr>
        <w:t>地下水环境影响评价行业分类表</w:t>
      </w:r>
    </w:p>
    <w:tbl>
      <w:tblPr>
        <w:tblStyle w:val="23"/>
        <w:tblW w:w="8509"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15"/>
        <w:gridCol w:w="3574"/>
        <w:gridCol w:w="292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 w:hRule="atLeast"/>
        </w:trPr>
        <w:tc>
          <w:tcPr>
            <w:tcW w:w="5589" w:type="dxa"/>
            <w:gridSpan w:val="2"/>
            <w:vMerge w:val="restart"/>
            <w:tcBorders>
              <w:bottom w:val="nil"/>
            </w:tcBorders>
            <w:vAlign w:val="top"/>
          </w:tcPr>
          <w:p>
            <w:pPr>
              <w:widowControl/>
              <w:kinsoku w:val="0"/>
              <w:autoSpaceDE w:val="0"/>
              <w:autoSpaceDN w:val="0"/>
              <w:adjustRightInd w:val="0"/>
              <w:snapToGrid w:val="0"/>
              <w:spacing w:before="245" w:line="221" w:lineRule="auto"/>
              <w:ind w:left="2385" w:firstLine="0" w:firstLineChars="0"/>
              <w:jc w:val="left"/>
              <w:textAlignment w:val="baseline"/>
              <w:rPr>
                <w:rFonts w:ascii="宋体" w:hAnsi="宋体" w:eastAsia="宋体" w:cs="宋体"/>
                <w:b/>
                <w:bCs/>
                <w:snapToGrid w:val="0"/>
                <w:color w:val="auto"/>
                <w:kern w:val="0"/>
                <w:sz w:val="21"/>
                <w:szCs w:val="21"/>
              </w:rPr>
            </w:pPr>
            <w:r>
              <w:rPr>
                <w:rFonts w:ascii="宋体" w:hAnsi="宋体" w:eastAsia="宋体" w:cs="宋体"/>
                <w:b/>
                <w:bCs/>
                <w:snapToGrid w:val="0"/>
                <w:color w:val="auto"/>
                <w:spacing w:val="-3"/>
                <w:kern w:val="0"/>
                <w:sz w:val="21"/>
                <w:szCs w:val="21"/>
              </w:rPr>
              <w:t>行</w:t>
            </w:r>
            <w:r>
              <w:rPr>
                <w:rFonts w:ascii="宋体" w:hAnsi="宋体" w:eastAsia="宋体" w:cs="宋体"/>
                <w:b/>
                <w:bCs/>
                <w:snapToGrid w:val="0"/>
                <w:color w:val="auto"/>
                <w:spacing w:val="-2"/>
                <w:kern w:val="0"/>
                <w:sz w:val="21"/>
                <w:szCs w:val="21"/>
              </w:rPr>
              <w:t>业类别</w:t>
            </w:r>
          </w:p>
        </w:tc>
        <w:tc>
          <w:tcPr>
            <w:tcW w:w="2920" w:type="dxa"/>
            <w:vAlign w:val="top"/>
          </w:tcPr>
          <w:p>
            <w:pPr>
              <w:widowControl/>
              <w:kinsoku w:val="0"/>
              <w:autoSpaceDE w:val="0"/>
              <w:autoSpaceDN w:val="0"/>
              <w:adjustRightInd w:val="0"/>
              <w:snapToGrid w:val="0"/>
              <w:spacing w:before="70" w:line="219" w:lineRule="auto"/>
              <w:ind w:left="98" w:firstLine="0" w:firstLineChars="0"/>
              <w:jc w:val="left"/>
              <w:textAlignment w:val="baseline"/>
              <w:rPr>
                <w:rFonts w:ascii="宋体" w:hAnsi="宋体" w:eastAsia="宋体" w:cs="宋体"/>
                <w:b/>
                <w:bCs/>
                <w:snapToGrid w:val="0"/>
                <w:color w:val="auto"/>
                <w:kern w:val="0"/>
                <w:sz w:val="21"/>
                <w:szCs w:val="21"/>
              </w:rPr>
            </w:pPr>
            <w:r>
              <w:rPr>
                <w:rFonts w:ascii="宋体" w:hAnsi="宋体" w:eastAsia="宋体" w:cs="宋体"/>
                <w:b/>
                <w:bCs/>
                <w:snapToGrid w:val="0"/>
                <w:color w:val="auto"/>
                <w:spacing w:val="-1"/>
                <w:kern w:val="0"/>
                <w:sz w:val="21"/>
                <w:szCs w:val="21"/>
              </w:rPr>
              <w:t>地下水环境</w:t>
            </w:r>
            <w:r>
              <w:rPr>
                <w:rFonts w:ascii="宋体" w:hAnsi="宋体" w:eastAsia="宋体" w:cs="宋体"/>
                <w:b/>
                <w:bCs/>
                <w:snapToGrid w:val="0"/>
                <w:color w:val="auto"/>
                <w:kern w:val="0"/>
                <w:sz w:val="21"/>
                <w:szCs w:val="21"/>
              </w:rPr>
              <w:t>影响评价项目类别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5589" w:type="dxa"/>
            <w:gridSpan w:val="2"/>
            <w:vMerge w:val="continue"/>
            <w:tcBorders>
              <w:top w:val="nil"/>
            </w:tcBorders>
            <w:vAlign w:val="top"/>
          </w:tcPr>
          <w:p>
            <w:pPr>
              <w:widowControl/>
              <w:kinsoku w:val="0"/>
              <w:autoSpaceDE w:val="0"/>
              <w:autoSpaceDN w:val="0"/>
              <w:adjustRightInd w:val="0"/>
              <w:snapToGrid w:val="0"/>
              <w:spacing w:line="240" w:lineRule="auto"/>
              <w:ind w:firstLine="0" w:firstLineChars="0"/>
              <w:jc w:val="left"/>
              <w:textAlignment w:val="baseline"/>
              <w:rPr>
                <w:rFonts w:ascii="Arial" w:hAnsi="Arial" w:eastAsia="Arial" w:cs="Arial"/>
                <w:b/>
                <w:bCs/>
                <w:snapToGrid w:val="0"/>
                <w:color w:val="auto"/>
                <w:kern w:val="0"/>
                <w:sz w:val="21"/>
                <w:szCs w:val="21"/>
              </w:rPr>
            </w:pPr>
          </w:p>
        </w:tc>
        <w:tc>
          <w:tcPr>
            <w:tcW w:w="2920" w:type="dxa"/>
            <w:vAlign w:val="top"/>
          </w:tcPr>
          <w:p>
            <w:pPr>
              <w:widowControl/>
              <w:kinsoku w:val="0"/>
              <w:autoSpaceDE w:val="0"/>
              <w:autoSpaceDN w:val="0"/>
              <w:adjustRightInd w:val="0"/>
              <w:snapToGrid w:val="0"/>
              <w:spacing w:before="66" w:line="219" w:lineRule="auto"/>
              <w:ind w:left="1148" w:firstLine="0" w:firstLineChars="0"/>
              <w:jc w:val="left"/>
              <w:textAlignment w:val="baseline"/>
              <w:rPr>
                <w:rFonts w:ascii="宋体" w:hAnsi="宋体" w:eastAsia="宋体" w:cs="宋体"/>
                <w:b/>
                <w:bCs/>
                <w:snapToGrid w:val="0"/>
                <w:color w:val="auto"/>
                <w:kern w:val="0"/>
                <w:sz w:val="21"/>
                <w:szCs w:val="21"/>
              </w:rPr>
            </w:pPr>
            <w:r>
              <w:rPr>
                <w:rFonts w:ascii="宋体" w:hAnsi="宋体" w:eastAsia="宋体" w:cs="宋体"/>
                <w:b/>
                <w:bCs/>
                <w:snapToGrid w:val="0"/>
                <w:color w:val="auto"/>
                <w:spacing w:val="-1"/>
                <w:kern w:val="0"/>
                <w:sz w:val="21"/>
                <w:szCs w:val="21"/>
              </w:rPr>
              <w:t>报告</w:t>
            </w:r>
            <w:r>
              <w:rPr>
                <w:rFonts w:ascii="宋体" w:hAnsi="宋体" w:eastAsia="宋体" w:cs="宋体"/>
                <w:b/>
                <w:bCs/>
                <w:snapToGrid w:val="0"/>
                <w:color w:val="auto"/>
                <w:kern w:val="0"/>
                <w:sz w:val="21"/>
                <w:szCs w:val="21"/>
              </w:rPr>
              <w:t>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3" w:hRule="atLeast"/>
        </w:trPr>
        <w:tc>
          <w:tcPr>
            <w:tcW w:w="2015" w:type="dxa"/>
            <w:vAlign w:val="top"/>
          </w:tcPr>
          <w:p>
            <w:pPr>
              <w:widowControl/>
              <w:kinsoku w:val="0"/>
              <w:autoSpaceDE w:val="0"/>
              <w:autoSpaceDN w:val="0"/>
              <w:adjustRightInd w:val="0"/>
              <w:snapToGrid w:val="0"/>
              <w:spacing w:before="125" w:line="220" w:lineRule="auto"/>
              <w:ind w:left="64" w:firstLine="0" w:firstLineChars="0"/>
              <w:jc w:val="left"/>
              <w:textAlignment w:val="baseline"/>
              <w:rPr>
                <w:rFonts w:ascii="宋体" w:hAnsi="宋体" w:eastAsia="宋体" w:cs="宋体"/>
                <w:snapToGrid w:val="0"/>
                <w:color w:val="auto"/>
                <w:kern w:val="0"/>
                <w:sz w:val="21"/>
                <w:szCs w:val="21"/>
              </w:rPr>
            </w:pPr>
            <w:r>
              <w:rPr>
                <w:rFonts w:ascii="Times New Roman" w:hAnsi="Times New Roman" w:eastAsia="Times New Roman" w:cs="Times New Roman"/>
                <w:snapToGrid w:val="0"/>
                <w:color w:val="auto"/>
                <w:kern w:val="0"/>
                <w:sz w:val="21"/>
                <w:szCs w:val="21"/>
              </w:rPr>
              <w:t>V</w:t>
            </w:r>
            <w:r>
              <w:rPr>
                <w:rFonts w:ascii="宋体" w:hAnsi="宋体" w:eastAsia="宋体" w:cs="宋体"/>
                <w:snapToGrid w:val="0"/>
                <w:color w:val="auto"/>
                <w:kern w:val="0"/>
                <w:sz w:val="21"/>
                <w:szCs w:val="21"/>
              </w:rPr>
              <w:t>社会事业与服务业</w:t>
            </w:r>
          </w:p>
        </w:tc>
        <w:tc>
          <w:tcPr>
            <w:tcW w:w="3574" w:type="dxa"/>
            <w:vAlign w:val="top"/>
          </w:tcPr>
          <w:p>
            <w:pPr>
              <w:widowControl/>
              <w:kinsoku w:val="0"/>
              <w:autoSpaceDE w:val="0"/>
              <w:autoSpaceDN w:val="0"/>
              <w:adjustRightInd w:val="0"/>
              <w:snapToGrid w:val="0"/>
              <w:spacing w:before="125" w:line="221" w:lineRule="auto"/>
              <w:ind w:left="182" w:firstLine="0" w:firstLineChars="0"/>
              <w:jc w:val="left"/>
              <w:textAlignment w:val="baseline"/>
              <w:rPr>
                <w:rFonts w:ascii="宋体" w:hAnsi="宋体" w:eastAsia="宋体" w:cs="宋体"/>
                <w:snapToGrid w:val="0"/>
                <w:color w:val="auto"/>
                <w:kern w:val="0"/>
                <w:sz w:val="21"/>
                <w:szCs w:val="21"/>
              </w:rPr>
            </w:pPr>
            <w:r>
              <w:rPr>
                <w:rFonts w:ascii="Times New Roman" w:hAnsi="Times New Roman" w:eastAsia="Times New Roman" w:cs="Times New Roman"/>
                <w:snapToGrid w:val="0"/>
                <w:color w:val="auto"/>
                <w:spacing w:val="-2"/>
                <w:kern w:val="0"/>
                <w:sz w:val="21"/>
                <w:szCs w:val="21"/>
              </w:rPr>
              <w:t>160</w:t>
            </w:r>
            <w:r>
              <w:rPr>
                <w:rFonts w:ascii="宋体" w:hAnsi="宋体" w:eastAsia="宋体" w:cs="宋体"/>
                <w:snapToGrid w:val="0"/>
                <w:color w:val="auto"/>
                <w:spacing w:val="-2"/>
                <w:kern w:val="0"/>
                <w:sz w:val="21"/>
                <w:szCs w:val="21"/>
              </w:rPr>
              <w:t>、疾</w:t>
            </w:r>
            <w:r>
              <w:rPr>
                <w:rFonts w:ascii="宋体" w:hAnsi="宋体" w:eastAsia="宋体" w:cs="宋体"/>
                <w:snapToGrid w:val="0"/>
                <w:color w:val="auto"/>
                <w:spacing w:val="-1"/>
                <w:kern w:val="0"/>
                <w:sz w:val="21"/>
                <w:szCs w:val="21"/>
              </w:rPr>
              <w:t>病预防控制中心、其他类别</w:t>
            </w:r>
          </w:p>
        </w:tc>
        <w:tc>
          <w:tcPr>
            <w:tcW w:w="2920" w:type="dxa"/>
            <w:vAlign w:val="top"/>
          </w:tcPr>
          <w:p>
            <w:pPr>
              <w:widowControl/>
              <w:kinsoku w:val="0"/>
              <w:autoSpaceDE w:val="0"/>
              <w:autoSpaceDN w:val="0"/>
              <w:adjustRightInd w:val="0"/>
              <w:snapToGrid w:val="0"/>
              <w:spacing w:before="125" w:line="221" w:lineRule="auto"/>
              <w:ind w:left="1207" w:firstLine="0" w:firstLineChars="0"/>
              <w:jc w:val="left"/>
              <w:textAlignment w:val="baseline"/>
              <w:rPr>
                <w:rFonts w:ascii="宋体" w:hAnsi="宋体" w:eastAsia="宋体" w:cs="宋体"/>
                <w:snapToGrid w:val="0"/>
                <w:color w:val="auto"/>
                <w:kern w:val="0"/>
                <w:sz w:val="21"/>
                <w:szCs w:val="21"/>
              </w:rPr>
            </w:pPr>
            <w:r>
              <w:rPr>
                <w:rFonts w:ascii="Times New Roman" w:hAnsi="Times New Roman" w:eastAsia="Times New Roman" w:cs="Times New Roman"/>
                <w:snapToGrid w:val="0"/>
                <w:color w:val="auto"/>
                <w:kern w:val="0"/>
                <w:sz w:val="21"/>
                <w:szCs w:val="21"/>
              </w:rPr>
              <w:t>IV</w:t>
            </w:r>
            <w:r>
              <w:rPr>
                <w:rFonts w:ascii="宋体" w:hAnsi="宋体" w:eastAsia="宋体" w:cs="宋体"/>
                <w:snapToGrid w:val="0"/>
                <w:color w:val="auto"/>
                <w:spacing w:val="14"/>
                <w:kern w:val="0"/>
                <w:sz w:val="21"/>
                <w:szCs w:val="21"/>
              </w:rPr>
              <w:t>类</w:t>
            </w:r>
          </w:p>
        </w:tc>
      </w:tr>
    </w:tbl>
    <w:p>
      <w:pPr>
        <w:bidi w:val="0"/>
        <w:rPr>
          <w:color w:val="auto"/>
        </w:rPr>
      </w:pPr>
      <w:r>
        <w:rPr>
          <w:color w:val="auto"/>
        </w:rPr>
        <w:t>根据《环境影响评价技术导则地下水环境》(HJ610-2016</w:t>
      </w:r>
      <w:r>
        <w:rPr>
          <w:rFonts w:hint="eastAsia"/>
          <w:color w:val="auto"/>
          <w:lang w:eastAsia="zh-CN"/>
        </w:rPr>
        <w:t>)</w:t>
      </w:r>
      <w:r>
        <w:rPr>
          <w:color w:val="auto"/>
        </w:rPr>
        <w:t>第4.1条，IV类建设项目不开展地下水环境影响评价。</w:t>
      </w:r>
    </w:p>
    <w:p>
      <w:pPr>
        <w:pStyle w:val="6"/>
        <w:bidi w:val="0"/>
        <w:outlineLvl w:val="1"/>
        <w:rPr>
          <w:rFonts w:hint="eastAsia"/>
          <w:color w:val="auto"/>
          <w:lang w:val="en-US" w:eastAsia="zh-CN"/>
        </w:rPr>
      </w:pPr>
      <w:bookmarkStart w:id="26" w:name="_Toc16758"/>
      <w:r>
        <w:rPr>
          <w:rFonts w:hint="eastAsia"/>
          <w:color w:val="auto"/>
          <w:lang w:val="en-US" w:eastAsia="zh-CN"/>
        </w:rPr>
        <w:t>2.6.4声环境评价等级</w:t>
      </w:r>
      <w:bookmarkEnd w:id="26"/>
    </w:p>
    <w:p>
      <w:pPr>
        <w:bidi w:val="0"/>
        <w:rPr>
          <w:color w:val="auto"/>
        </w:rPr>
      </w:pPr>
      <w:r>
        <w:rPr>
          <w:rFonts w:hint="eastAsia"/>
          <w:color w:val="auto"/>
          <w:lang w:val="en-US" w:eastAsia="zh-CN"/>
        </w:rPr>
        <w:t>本项目所在区域执行《声环境质量标准》（</w:t>
      </w:r>
      <w:r>
        <w:rPr>
          <w:rFonts w:hint="default"/>
          <w:color w:val="auto"/>
          <w:lang w:val="en-US" w:eastAsia="zh-CN"/>
        </w:rPr>
        <w:t>GB3096-2008</w:t>
      </w:r>
      <w:r>
        <w:rPr>
          <w:rFonts w:hint="eastAsia"/>
          <w:color w:val="auto"/>
          <w:lang w:val="en-US" w:eastAsia="zh-CN"/>
        </w:rPr>
        <w:t>）中</w:t>
      </w:r>
      <w:r>
        <w:rPr>
          <w:rFonts w:hint="default"/>
          <w:color w:val="auto"/>
          <w:lang w:val="en-US" w:eastAsia="zh-CN"/>
        </w:rPr>
        <w:t>1</w:t>
      </w:r>
      <w:r>
        <w:rPr>
          <w:rFonts w:hint="eastAsia"/>
          <w:color w:val="auto"/>
          <w:lang w:val="en-US" w:eastAsia="zh-CN"/>
        </w:rPr>
        <w:t>类区标准，同时项目建成后声级值增加量远小于</w:t>
      </w:r>
      <w:r>
        <w:rPr>
          <w:rFonts w:hint="default"/>
          <w:color w:val="auto"/>
          <w:lang w:val="en-US" w:eastAsia="zh-CN"/>
        </w:rPr>
        <w:t>5dB</w:t>
      </w:r>
      <w:r>
        <w:rPr>
          <w:rFonts w:hint="eastAsia"/>
          <w:color w:val="auto"/>
          <w:lang w:val="en-US" w:eastAsia="zh-CN"/>
        </w:rPr>
        <w:t>（</w:t>
      </w:r>
      <w:r>
        <w:rPr>
          <w:rFonts w:hint="default"/>
          <w:color w:val="auto"/>
          <w:lang w:val="en-US" w:eastAsia="zh-CN"/>
        </w:rPr>
        <w:t>A</w:t>
      </w:r>
      <w:r>
        <w:rPr>
          <w:rFonts w:hint="eastAsia"/>
          <w:color w:val="auto"/>
          <w:lang w:val="en-US" w:eastAsia="zh-CN"/>
        </w:rPr>
        <w:t>），且本项目建成后周围声环境敏感点受影响的人口基本不变。</w:t>
      </w:r>
      <w:r>
        <w:rPr>
          <w:rFonts w:hint="eastAsia"/>
          <w:color w:val="auto"/>
          <w:lang w:val="en-US" w:eastAsia="zh-CN"/>
        </w:rPr>
        <w:t>根据《环境影响评价技术导则声环境》（HJ 2.4-2021）规定，确定本次声环境影响评价工作等级为二级。</w:t>
      </w:r>
    </w:p>
    <w:p>
      <w:pPr>
        <w:pStyle w:val="6"/>
        <w:bidi w:val="0"/>
        <w:outlineLvl w:val="1"/>
        <w:rPr>
          <w:rFonts w:hint="eastAsia"/>
          <w:color w:val="auto"/>
        </w:rPr>
      </w:pPr>
      <w:bookmarkStart w:id="27" w:name="_Toc27426"/>
      <w:r>
        <w:rPr>
          <w:rFonts w:hint="eastAsia"/>
          <w:color w:val="auto"/>
          <w:lang w:val="en-US" w:eastAsia="zh-CN"/>
        </w:rPr>
        <w:t>2.6.5土壤环境评价等级</w:t>
      </w:r>
      <w:bookmarkEnd w:id="27"/>
    </w:p>
    <w:p>
      <w:pPr>
        <w:bidi w:val="0"/>
        <w:rPr>
          <w:rFonts w:hint="eastAsia"/>
          <w:color w:val="auto"/>
        </w:rPr>
      </w:pPr>
      <w:r>
        <w:rPr>
          <w:rFonts w:hint="eastAsia"/>
          <w:color w:val="auto"/>
        </w:rPr>
        <w:t>根据《环境影响评价技术导则土壤环境》（试行）（HJ946-2018）中相关规定，评价等级划分为一级、二级和三级，具体判定依据见表</w:t>
      </w:r>
      <w:r>
        <w:rPr>
          <w:rFonts w:hint="eastAsia"/>
          <w:color w:val="auto"/>
          <w:lang w:val="en-US" w:eastAsia="zh-CN"/>
        </w:rPr>
        <w:t>2.6-9</w:t>
      </w:r>
      <w:r>
        <w:rPr>
          <w:rFonts w:hint="eastAsia"/>
          <w:color w:val="auto"/>
        </w:rPr>
        <w:t>。</w:t>
      </w:r>
    </w:p>
    <w:p>
      <w:pPr>
        <w:pStyle w:val="22"/>
        <w:bidi w:val="0"/>
        <w:rPr>
          <w:rFonts w:hint="default"/>
          <w:b/>
          <w:bCs/>
          <w:color w:val="auto"/>
          <w:lang w:val="en-US" w:eastAsia="zh-CN"/>
        </w:rPr>
      </w:pPr>
      <w:r>
        <w:rPr>
          <w:rFonts w:hint="eastAsia"/>
          <w:b/>
          <w:bCs/>
          <w:color w:val="auto"/>
          <w:lang w:val="en-US" w:eastAsia="zh-CN"/>
        </w:rPr>
        <w:t>表</w:t>
      </w:r>
      <w:r>
        <w:rPr>
          <w:rFonts w:hint="default"/>
          <w:b/>
          <w:bCs/>
          <w:color w:val="auto"/>
          <w:lang w:val="en-US" w:eastAsia="zh-CN"/>
        </w:rPr>
        <w:t>2.</w:t>
      </w:r>
      <w:r>
        <w:rPr>
          <w:rFonts w:hint="eastAsia"/>
          <w:b/>
          <w:bCs/>
          <w:color w:val="auto"/>
          <w:lang w:val="en-US" w:eastAsia="zh-CN"/>
        </w:rPr>
        <w:t>6</w:t>
      </w:r>
      <w:r>
        <w:rPr>
          <w:rFonts w:hint="default"/>
          <w:b/>
          <w:bCs/>
          <w:color w:val="auto"/>
          <w:lang w:val="en-US" w:eastAsia="zh-CN"/>
        </w:rPr>
        <w:t>-</w:t>
      </w:r>
      <w:r>
        <w:rPr>
          <w:rFonts w:hint="eastAsia"/>
          <w:b/>
          <w:bCs/>
          <w:color w:val="auto"/>
          <w:lang w:val="en-US" w:eastAsia="zh-CN"/>
        </w:rPr>
        <w:t>9土壤评价等级表</w:t>
      </w:r>
    </w:p>
    <w:tbl>
      <w:tblPr>
        <w:tblStyle w:val="18"/>
        <w:tblW w:w="859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145"/>
        <w:gridCol w:w="681"/>
        <w:gridCol w:w="846"/>
        <w:gridCol w:w="847"/>
        <w:gridCol w:w="846"/>
        <w:gridCol w:w="846"/>
        <w:gridCol w:w="847"/>
        <w:gridCol w:w="846"/>
        <w:gridCol w:w="846"/>
        <w:gridCol w:w="8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92" w:hRule="atLeast"/>
          <w:jc w:val="center"/>
        </w:trPr>
        <w:tc>
          <w:tcPr>
            <w:tcW w:w="1145" w:type="dxa"/>
            <w:vMerge w:val="restart"/>
            <w:tcBorders>
              <w:tl2br w:val="nil"/>
              <w:tr2bl w:val="nil"/>
            </w:tcBorders>
            <w:shd w:val="clear" w:color="auto" w:fill="auto"/>
            <w:vAlign w:val="center"/>
          </w:tcPr>
          <w:p>
            <w:pPr>
              <w:pStyle w:val="22"/>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敏感程度</w:t>
            </w:r>
          </w:p>
          <w:p>
            <w:pPr>
              <w:pStyle w:val="22"/>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评价工作等级占地规模</w:t>
            </w:r>
          </w:p>
        </w:tc>
        <w:tc>
          <w:tcPr>
            <w:tcW w:w="2374" w:type="dxa"/>
            <w:gridSpan w:val="3"/>
            <w:tcBorders>
              <w:tl2br w:val="nil"/>
              <w:tr2bl w:val="nil"/>
            </w:tcBorders>
            <w:shd w:val="clear" w:color="auto" w:fill="auto"/>
            <w:vAlign w:val="center"/>
          </w:tcPr>
          <w:p>
            <w:pPr>
              <w:pStyle w:val="22"/>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Ⅰ类项目</w:t>
            </w:r>
          </w:p>
        </w:tc>
        <w:tc>
          <w:tcPr>
            <w:tcW w:w="2539" w:type="dxa"/>
            <w:gridSpan w:val="3"/>
            <w:tcBorders>
              <w:tl2br w:val="nil"/>
              <w:tr2bl w:val="nil"/>
            </w:tcBorders>
            <w:shd w:val="clear" w:color="auto" w:fill="auto"/>
            <w:vAlign w:val="center"/>
          </w:tcPr>
          <w:p>
            <w:pPr>
              <w:pStyle w:val="22"/>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Ⅱ类项目</w:t>
            </w:r>
          </w:p>
        </w:tc>
        <w:tc>
          <w:tcPr>
            <w:tcW w:w="2539" w:type="dxa"/>
            <w:gridSpan w:val="3"/>
            <w:tcBorders>
              <w:tl2br w:val="nil"/>
              <w:tr2bl w:val="nil"/>
            </w:tcBorders>
            <w:shd w:val="clear" w:color="auto" w:fill="auto"/>
            <w:vAlign w:val="center"/>
          </w:tcPr>
          <w:p>
            <w:pPr>
              <w:pStyle w:val="22"/>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Ⅲ类项目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1" w:hRule="atLeast"/>
          <w:jc w:val="center"/>
        </w:trPr>
        <w:tc>
          <w:tcPr>
            <w:tcW w:w="1145" w:type="dxa"/>
            <w:vMerge w:val="continue"/>
            <w:tcBorders>
              <w:tl2br w:val="nil"/>
              <w:tr2bl w:val="nil"/>
            </w:tcBorders>
            <w:shd w:val="clear" w:color="auto" w:fill="auto"/>
            <w:vAlign w:val="center"/>
          </w:tcPr>
          <w:p>
            <w:pPr>
              <w:pStyle w:val="22"/>
              <w:bidi w:val="0"/>
              <w:jc w:val="center"/>
              <w:rPr>
                <w:rFonts w:hint="default" w:ascii="Times New Roman" w:hAnsi="Times New Roman" w:eastAsia="宋体" w:cs="Times New Roman"/>
                <w:b/>
                <w:bCs/>
                <w:color w:val="auto"/>
              </w:rPr>
            </w:pPr>
          </w:p>
        </w:tc>
        <w:tc>
          <w:tcPr>
            <w:tcW w:w="681" w:type="dxa"/>
            <w:tcBorders>
              <w:tl2br w:val="nil"/>
              <w:tr2bl w:val="nil"/>
            </w:tcBorders>
            <w:shd w:val="clear" w:color="auto" w:fill="auto"/>
            <w:vAlign w:val="center"/>
          </w:tcPr>
          <w:p>
            <w:pPr>
              <w:pStyle w:val="22"/>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大</w:t>
            </w:r>
          </w:p>
        </w:tc>
        <w:tc>
          <w:tcPr>
            <w:tcW w:w="846" w:type="dxa"/>
            <w:tcBorders>
              <w:tl2br w:val="nil"/>
              <w:tr2bl w:val="nil"/>
            </w:tcBorders>
            <w:shd w:val="clear" w:color="auto" w:fill="auto"/>
            <w:vAlign w:val="center"/>
          </w:tcPr>
          <w:p>
            <w:pPr>
              <w:pStyle w:val="22"/>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中</w:t>
            </w:r>
          </w:p>
        </w:tc>
        <w:tc>
          <w:tcPr>
            <w:tcW w:w="847" w:type="dxa"/>
            <w:tcBorders>
              <w:tl2br w:val="nil"/>
              <w:tr2bl w:val="nil"/>
            </w:tcBorders>
            <w:shd w:val="clear" w:color="auto" w:fill="auto"/>
            <w:vAlign w:val="center"/>
          </w:tcPr>
          <w:p>
            <w:pPr>
              <w:pStyle w:val="22"/>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小</w:t>
            </w:r>
          </w:p>
        </w:tc>
        <w:tc>
          <w:tcPr>
            <w:tcW w:w="846" w:type="dxa"/>
            <w:tcBorders>
              <w:tl2br w:val="nil"/>
              <w:tr2bl w:val="nil"/>
            </w:tcBorders>
            <w:shd w:val="clear" w:color="auto" w:fill="auto"/>
            <w:vAlign w:val="center"/>
          </w:tcPr>
          <w:p>
            <w:pPr>
              <w:pStyle w:val="22"/>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大</w:t>
            </w:r>
          </w:p>
        </w:tc>
        <w:tc>
          <w:tcPr>
            <w:tcW w:w="846" w:type="dxa"/>
            <w:tcBorders>
              <w:tl2br w:val="nil"/>
              <w:tr2bl w:val="nil"/>
            </w:tcBorders>
            <w:shd w:val="clear" w:color="auto" w:fill="auto"/>
            <w:vAlign w:val="center"/>
          </w:tcPr>
          <w:p>
            <w:pPr>
              <w:pStyle w:val="22"/>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中</w:t>
            </w:r>
          </w:p>
        </w:tc>
        <w:tc>
          <w:tcPr>
            <w:tcW w:w="847" w:type="dxa"/>
            <w:tcBorders>
              <w:tl2br w:val="nil"/>
              <w:tr2bl w:val="nil"/>
            </w:tcBorders>
            <w:shd w:val="clear" w:color="auto" w:fill="auto"/>
            <w:vAlign w:val="center"/>
          </w:tcPr>
          <w:p>
            <w:pPr>
              <w:pStyle w:val="22"/>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小</w:t>
            </w:r>
          </w:p>
        </w:tc>
        <w:tc>
          <w:tcPr>
            <w:tcW w:w="846" w:type="dxa"/>
            <w:tcBorders>
              <w:tl2br w:val="nil"/>
              <w:tr2bl w:val="nil"/>
            </w:tcBorders>
            <w:shd w:val="clear" w:color="auto" w:fill="auto"/>
            <w:vAlign w:val="center"/>
          </w:tcPr>
          <w:p>
            <w:pPr>
              <w:pStyle w:val="22"/>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大</w:t>
            </w:r>
          </w:p>
        </w:tc>
        <w:tc>
          <w:tcPr>
            <w:tcW w:w="846" w:type="dxa"/>
            <w:tcBorders>
              <w:tl2br w:val="nil"/>
              <w:tr2bl w:val="nil"/>
            </w:tcBorders>
            <w:shd w:val="clear" w:color="auto" w:fill="auto"/>
            <w:vAlign w:val="center"/>
          </w:tcPr>
          <w:p>
            <w:pPr>
              <w:pStyle w:val="22"/>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中</w:t>
            </w:r>
          </w:p>
        </w:tc>
        <w:tc>
          <w:tcPr>
            <w:tcW w:w="847" w:type="dxa"/>
            <w:tcBorders>
              <w:tl2br w:val="nil"/>
              <w:tr2bl w:val="nil"/>
            </w:tcBorders>
            <w:shd w:val="clear" w:color="auto" w:fill="auto"/>
            <w:vAlign w:val="center"/>
          </w:tcPr>
          <w:p>
            <w:pPr>
              <w:pStyle w:val="22"/>
              <w:bidi w:val="0"/>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lang w:val="en-US" w:eastAsia="zh-CN"/>
              </w:rPr>
              <w:t>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1" w:hRule="atLeast"/>
          <w:jc w:val="center"/>
        </w:trPr>
        <w:tc>
          <w:tcPr>
            <w:tcW w:w="1145" w:type="dxa"/>
            <w:tcBorders>
              <w:tl2br w:val="nil"/>
              <w:tr2bl w:val="nil"/>
            </w:tcBorders>
            <w:shd w:val="clear" w:color="auto" w:fill="auto"/>
            <w:vAlign w:val="center"/>
          </w:tcPr>
          <w:p>
            <w:pPr>
              <w:pStyle w:val="22"/>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敏感</w:t>
            </w:r>
          </w:p>
        </w:tc>
        <w:tc>
          <w:tcPr>
            <w:tcW w:w="681" w:type="dxa"/>
            <w:tcBorders>
              <w:tl2br w:val="nil"/>
              <w:tr2bl w:val="nil"/>
            </w:tcBorders>
            <w:shd w:val="clear" w:color="auto" w:fill="auto"/>
            <w:vAlign w:val="center"/>
          </w:tcPr>
          <w:p>
            <w:pPr>
              <w:pStyle w:val="22"/>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一级</w:t>
            </w:r>
          </w:p>
        </w:tc>
        <w:tc>
          <w:tcPr>
            <w:tcW w:w="846" w:type="dxa"/>
            <w:tcBorders>
              <w:tl2br w:val="nil"/>
              <w:tr2bl w:val="nil"/>
            </w:tcBorders>
            <w:shd w:val="clear" w:color="auto" w:fill="auto"/>
            <w:vAlign w:val="center"/>
          </w:tcPr>
          <w:p>
            <w:pPr>
              <w:pStyle w:val="22"/>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一级</w:t>
            </w:r>
          </w:p>
        </w:tc>
        <w:tc>
          <w:tcPr>
            <w:tcW w:w="847" w:type="dxa"/>
            <w:tcBorders>
              <w:tl2br w:val="nil"/>
              <w:tr2bl w:val="nil"/>
            </w:tcBorders>
            <w:shd w:val="clear" w:color="auto" w:fill="auto"/>
            <w:vAlign w:val="center"/>
          </w:tcPr>
          <w:p>
            <w:pPr>
              <w:pStyle w:val="22"/>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一级</w:t>
            </w:r>
          </w:p>
        </w:tc>
        <w:tc>
          <w:tcPr>
            <w:tcW w:w="846" w:type="dxa"/>
            <w:tcBorders>
              <w:tl2br w:val="nil"/>
              <w:tr2bl w:val="nil"/>
            </w:tcBorders>
            <w:shd w:val="clear" w:color="auto" w:fill="auto"/>
            <w:vAlign w:val="center"/>
          </w:tcPr>
          <w:p>
            <w:pPr>
              <w:pStyle w:val="22"/>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二级</w:t>
            </w:r>
          </w:p>
        </w:tc>
        <w:tc>
          <w:tcPr>
            <w:tcW w:w="846" w:type="dxa"/>
            <w:tcBorders>
              <w:tl2br w:val="nil"/>
              <w:tr2bl w:val="nil"/>
            </w:tcBorders>
            <w:shd w:val="clear" w:color="auto" w:fill="auto"/>
            <w:vAlign w:val="center"/>
          </w:tcPr>
          <w:p>
            <w:pPr>
              <w:pStyle w:val="22"/>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二级</w:t>
            </w:r>
          </w:p>
        </w:tc>
        <w:tc>
          <w:tcPr>
            <w:tcW w:w="847" w:type="dxa"/>
            <w:tcBorders>
              <w:tl2br w:val="nil"/>
              <w:tr2bl w:val="nil"/>
            </w:tcBorders>
            <w:shd w:val="clear" w:color="auto" w:fill="auto"/>
            <w:vAlign w:val="center"/>
          </w:tcPr>
          <w:p>
            <w:pPr>
              <w:pStyle w:val="22"/>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二级</w:t>
            </w:r>
          </w:p>
        </w:tc>
        <w:tc>
          <w:tcPr>
            <w:tcW w:w="846" w:type="dxa"/>
            <w:tcBorders>
              <w:tl2br w:val="nil"/>
              <w:tr2bl w:val="nil"/>
            </w:tcBorders>
            <w:shd w:val="clear" w:color="auto" w:fill="auto"/>
            <w:vAlign w:val="center"/>
          </w:tcPr>
          <w:p>
            <w:pPr>
              <w:pStyle w:val="22"/>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三级</w:t>
            </w:r>
          </w:p>
        </w:tc>
        <w:tc>
          <w:tcPr>
            <w:tcW w:w="846" w:type="dxa"/>
            <w:tcBorders>
              <w:tl2br w:val="nil"/>
              <w:tr2bl w:val="nil"/>
            </w:tcBorders>
            <w:shd w:val="clear" w:color="auto" w:fill="auto"/>
            <w:vAlign w:val="center"/>
          </w:tcPr>
          <w:p>
            <w:pPr>
              <w:pStyle w:val="22"/>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三级</w:t>
            </w:r>
          </w:p>
        </w:tc>
        <w:tc>
          <w:tcPr>
            <w:tcW w:w="847" w:type="dxa"/>
            <w:tcBorders>
              <w:tl2br w:val="nil"/>
              <w:tr2bl w:val="nil"/>
            </w:tcBorders>
            <w:shd w:val="clear" w:color="auto" w:fill="auto"/>
            <w:vAlign w:val="center"/>
          </w:tcPr>
          <w:p>
            <w:pPr>
              <w:pStyle w:val="22"/>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21" w:hRule="atLeast"/>
          <w:jc w:val="center"/>
        </w:trPr>
        <w:tc>
          <w:tcPr>
            <w:tcW w:w="1145" w:type="dxa"/>
            <w:tcBorders>
              <w:tl2br w:val="nil"/>
              <w:tr2bl w:val="nil"/>
            </w:tcBorders>
            <w:shd w:val="clear" w:color="auto" w:fill="auto"/>
            <w:vAlign w:val="center"/>
          </w:tcPr>
          <w:p>
            <w:pPr>
              <w:pStyle w:val="22"/>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较敏感</w:t>
            </w:r>
          </w:p>
        </w:tc>
        <w:tc>
          <w:tcPr>
            <w:tcW w:w="681" w:type="dxa"/>
            <w:tcBorders>
              <w:tl2br w:val="nil"/>
              <w:tr2bl w:val="nil"/>
            </w:tcBorders>
            <w:shd w:val="clear" w:color="auto" w:fill="auto"/>
            <w:vAlign w:val="center"/>
          </w:tcPr>
          <w:p>
            <w:pPr>
              <w:pStyle w:val="22"/>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一级</w:t>
            </w:r>
          </w:p>
        </w:tc>
        <w:tc>
          <w:tcPr>
            <w:tcW w:w="846" w:type="dxa"/>
            <w:tcBorders>
              <w:tl2br w:val="nil"/>
              <w:tr2bl w:val="nil"/>
            </w:tcBorders>
            <w:shd w:val="clear" w:color="auto" w:fill="auto"/>
            <w:vAlign w:val="center"/>
          </w:tcPr>
          <w:p>
            <w:pPr>
              <w:pStyle w:val="22"/>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一级</w:t>
            </w:r>
          </w:p>
        </w:tc>
        <w:tc>
          <w:tcPr>
            <w:tcW w:w="847" w:type="dxa"/>
            <w:tcBorders>
              <w:tl2br w:val="nil"/>
              <w:tr2bl w:val="nil"/>
            </w:tcBorders>
            <w:shd w:val="clear" w:color="auto" w:fill="auto"/>
            <w:vAlign w:val="center"/>
          </w:tcPr>
          <w:p>
            <w:pPr>
              <w:pStyle w:val="22"/>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二级</w:t>
            </w:r>
          </w:p>
        </w:tc>
        <w:tc>
          <w:tcPr>
            <w:tcW w:w="846" w:type="dxa"/>
            <w:tcBorders>
              <w:tl2br w:val="nil"/>
              <w:tr2bl w:val="nil"/>
            </w:tcBorders>
            <w:shd w:val="clear" w:color="auto" w:fill="auto"/>
            <w:vAlign w:val="center"/>
          </w:tcPr>
          <w:p>
            <w:pPr>
              <w:pStyle w:val="22"/>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二级</w:t>
            </w:r>
          </w:p>
        </w:tc>
        <w:tc>
          <w:tcPr>
            <w:tcW w:w="846" w:type="dxa"/>
            <w:tcBorders>
              <w:tl2br w:val="nil"/>
              <w:tr2bl w:val="nil"/>
            </w:tcBorders>
            <w:shd w:val="clear" w:color="auto" w:fill="auto"/>
            <w:vAlign w:val="center"/>
          </w:tcPr>
          <w:p>
            <w:pPr>
              <w:pStyle w:val="22"/>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二级</w:t>
            </w:r>
          </w:p>
        </w:tc>
        <w:tc>
          <w:tcPr>
            <w:tcW w:w="847" w:type="dxa"/>
            <w:tcBorders>
              <w:tl2br w:val="nil"/>
              <w:tr2bl w:val="nil"/>
            </w:tcBorders>
            <w:shd w:val="clear" w:color="auto" w:fill="auto"/>
            <w:vAlign w:val="center"/>
          </w:tcPr>
          <w:p>
            <w:pPr>
              <w:pStyle w:val="22"/>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三级</w:t>
            </w:r>
          </w:p>
        </w:tc>
        <w:tc>
          <w:tcPr>
            <w:tcW w:w="846" w:type="dxa"/>
            <w:tcBorders>
              <w:tl2br w:val="nil"/>
              <w:tr2bl w:val="nil"/>
            </w:tcBorders>
            <w:shd w:val="clear" w:color="auto" w:fill="auto"/>
            <w:vAlign w:val="center"/>
          </w:tcPr>
          <w:p>
            <w:pPr>
              <w:pStyle w:val="22"/>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三级</w:t>
            </w:r>
          </w:p>
        </w:tc>
        <w:tc>
          <w:tcPr>
            <w:tcW w:w="846" w:type="dxa"/>
            <w:tcBorders>
              <w:tl2br w:val="nil"/>
              <w:tr2bl w:val="nil"/>
            </w:tcBorders>
            <w:shd w:val="clear" w:color="auto" w:fill="auto"/>
            <w:vAlign w:val="center"/>
          </w:tcPr>
          <w:p>
            <w:pPr>
              <w:pStyle w:val="22"/>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三级</w:t>
            </w:r>
          </w:p>
        </w:tc>
        <w:tc>
          <w:tcPr>
            <w:tcW w:w="847" w:type="dxa"/>
            <w:tcBorders>
              <w:tl2br w:val="nil"/>
              <w:tr2bl w:val="nil"/>
            </w:tcBorders>
            <w:shd w:val="clear" w:color="auto" w:fill="auto"/>
            <w:vAlign w:val="center"/>
          </w:tcPr>
          <w:p>
            <w:pPr>
              <w:pStyle w:val="22"/>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31" w:hRule="atLeast"/>
          <w:jc w:val="center"/>
        </w:trPr>
        <w:tc>
          <w:tcPr>
            <w:tcW w:w="1145" w:type="dxa"/>
            <w:tcBorders>
              <w:tl2br w:val="nil"/>
              <w:tr2bl w:val="nil"/>
            </w:tcBorders>
            <w:shd w:val="clear" w:color="auto" w:fill="auto"/>
            <w:vAlign w:val="center"/>
          </w:tcPr>
          <w:p>
            <w:pPr>
              <w:pStyle w:val="22"/>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不敏感</w:t>
            </w:r>
          </w:p>
        </w:tc>
        <w:tc>
          <w:tcPr>
            <w:tcW w:w="681" w:type="dxa"/>
            <w:tcBorders>
              <w:tl2br w:val="nil"/>
              <w:tr2bl w:val="nil"/>
            </w:tcBorders>
            <w:shd w:val="clear" w:color="auto" w:fill="auto"/>
            <w:vAlign w:val="center"/>
          </w:tcPr>
          <w:p>
            <w:pPr>
              <w:pStyle w:val="22"/>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一级</w:t>
            </w:r>
          </w:p>
        </w:tc>
        <w:tc>
          <w:tcPr>
            <w:tcW w:w="846" w:type="dxa"/>
            <w:tcBorders>
              <w:tl2br w:val="nil"/>
              <w:tr2bl w:val="nil"/>
            </w:tcBorders>
            <w:shd w:val="clear" w:color="auto" w:fill="auto"/>
            <w:vAlign w:val="center"/>
          </w:tcPr>
          <w:p>
            <w:pPr>
              <w:pStyle w:val="22"/>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二级</w:t>
            </w:r>
          </w:p>
        </w:tc>
        <w:tc>
          <w:tcPr>
            <w:tcW w:w="847" w:type="dxa"/>
            <w:tcBorders>
              <w:tl2br w:val="nil"/>
              <w:tr2bl w:val="nil"/>
            </w:tcBorders>
            <w:shd w:val="clear" w:color="auto" w:fill="auto"/>
            <w:vAlign w:val="center"/>
          </w:tcPr>
          <w:p>
            <w:pPr>
              <w:pStyle w:val="22"/>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二级</w:t>
            </w:r>
          </w:p>
        </w:tc>
        <w:tc>
          <w:tcPr>
            <w:tcW w:w="846" w:type="dxa"/>
            <w:tcBorders>
              <w:tl2br w:val="nil"/>
              <w:tr2bl w:val="nil"/>
            </w:tcBorders>
            <w:shd w:val="clear" w:color="auto" w:fill="auto"/>
            <w:vAlign w:val="center"/>
          </w:tcPr>
          <w:p>
            <w:pPr>
              <w:pStyle w:val="22"/>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二级</w:t>
            </w:r>
          </w:p>
        </w:tc>
        <w:tc>
          <w:tcPr>
            <w:tcW w:w="846" w:type="dxa"/>
            <w:tcBorders>
              <w:tl2br w:val="nil"/>
              <w:tr2bl w:val="nil"/>
            </w:tcBorders>
            <w:shd w:val="clear" w:color="auto" w:fill="auto"/>
            <w:vAlign w:val="center"/>
          </w:tcPr>
          <w:p>
            <w:pPr>
              <w:pStyle w:val="22"/>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三级</w:t>
            </w:r>
          </w:p>
        </w:tc>
        <w:tc>
          <w:tcPr>
            <w:tcW w:w="847" w:type="dxa"/>
            <w:tcBorders>
              <w:tl2br w:val="nil"/>
              <w:tr2bl w:val="nil"/>
            </w:tcBorders>
            <w:shd w:val="clear" w:color="auto" w:fill="auto"/>
            <w:vAlign w:val="center"/>
          </w:tcPr>
          <w:p>
            <w:pPr>
              <w:pStyle w:val="22"/>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三级</w:t>
            </w:r>
          </w:p>
        </w:tc>
        <w:tc>
          <w:tcPr>
            <w:tcW w:w="846" w:type="dxa"/>
            <w:tcBorders>
              <w:tl2br w:val="nil"/>
              <w:tr2bl w:val="nil"/>
            </w:tcBorders>
            <w:shd w:val="clear" w:color="auto" w:fill="auto"/>
            <w:vAlign w:val="center"/>
          </w:tcPr>
          <w:p>
            <w:pPr>
              <w:pStyle w:val="22"/>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三级</w:t>
            </w:r>
          </w:p>
        </w:tc>
        <w:tc>
          <w:tcPr>
            <w:tcW w:w="846" w:type="dxa"/>
            <w:tcBorders>
              <w:tl2br w:val="nil"/>
              <w:tr2bl w:val="nil"/>
            </w:tcBorders>
            <w:shd w:val="clear" w:color="auto" w:fill="auto"/>
            <w:vAlign w:val="center"/>
          </w:tcPr>
          <w:p>
            <w:pPr>
              <w:pStyle w:val="22"/>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w:t>
            </w:r>
          </w:p>
        </w:tc>
        <w:tc>
          <w:tcPr>
            <w:tcW w:w="847" w:type="dxa"/>
            <w:tcBorders>
              <w:tl2br w:val="nil"/>
              <w:tr2bl w:val="nil"/>
            </w:tcBorders>
            <w:shd w:val="clear" w:color="auto" w:fill="auto"/>
            <w:vAlign w:val="center"/>
          </w:tcPr>
          <w:p>
            <w:pPr>
              <w:pStyle w:val="22"/>
              <w:bidi w:val="0"/>
              <w:jc w:val="center"/>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w:t>
            </w:r>
          </w:p>
        </w:tc>
      </w:tr>
    </w:tbl>
    <w:p>
      <w:pPr>
        <w:bidi w:val="0"/>
        <w:rPr>
          <w:rFonts w:hint="eastAsia"/>
          <w:color w:val="auto"/>
          <w:lang w:val="en-US" w:eastAsia="zh-CN"/>
        </w:rPr>
      </w:pPr>
      <w:r>
        <w:rPr>
          <w:rFonts w:hint="eastAsia"/>
          <w:color w:val="auto"/>
          <w:lang w:val="en-US" w:eastAsia="zh-CN"/>
        </w:rPr>
        <w:t>依据《环境影响评价技术导则土壤环境（试行）》（</w:t>
      </w:r>
      <w:r>
        <w:rPr>
          <w:rFonts w:hint="default"/>
          <w:color w:val="auto"/>
          <w:lang w:val="en-US" w:eastAsia="zh-CN"/>
        </w:rPr>
        <w:t>HJ964-2018</w:t>
      </w:r>
      <w:r>
        <w:rPr>
          <w:rFonts w:hint="eastAsia"/>
          <w:color w:val="auto"/>
          <w:lang w:val="en-US" w:eastAsia="zh-CN"/>
        </w:rPr>
        <w:t>）附录</w:t>
      </w:r>
      <w:r>
        <w:rPr>
          <w:rFonts w:hint="default"/>
          <w:color w:val="auto"/>
          <w:lang w:val="en-US" w:eastAsia="zh-CN"/>
        </w:rPr>
        <w:t>A</w:t>
      </w:r>
      <w:r>
        <w:rPr>
          <w:rFonts w:hint="eastAsia"/>
          <w:color w:val="auto"/>
          <w:lang w:val="en-US" w:eastAsia="zh-CN"/>
        </w:rPr>
        <w:t>“土壤环境影响评价项目类别表”，本项目为疾控中心项目，属于Ⅳ类项目，可不进行土壤评价。</w:t>
      </w:r>
    </w:p>
    <w:p>
      <w:pPr>
        <w:pStyle w:val="5"/>
        <w:bidi w:val="0"/>
        <w:rPr>
          <w:rFonts w:hint="default"/>
          <w:color w:val="auto"/>
          <w:sz w:val="24"/>
          <w:szCs w:val="24"/>
          <w:lang w:val="en-US"/>
        </w:rPr>
      </w:pPr>
      <w:bookmarkStart w:id="28" w:name="_Toc9512"/>
      <w:r>
        <w:rPr>
          <w:rFonts w:hint="eastAsia"/>
          <w:color w:val="auto"/>
          <w:sz w:val="24"/>
          <w:szCs w:val="24"/>
          <w:lang w:val="en-US" w:eastAsia="zh-CN"/>
        </w:rPr>
        <w:t>2.6.6生态评价工作等级</w:t>
      </w:r>
      <w:bookmarkEnd w:id="28"/>
    </w:p>
    <w:p>
      <w:pPr>
        <w:bidi w:val="0"/>
        <w:spacing w:line="360" w:lineRule="auto"/>
        <w:rPr>
          <w:rFonts w:hint="eastAsia"/>
          <w:color w:val="auto"/>
          <w:lang w:val="en-US" w:eastAsia="zh-CN"/>
        </w:rPr>
      </w:pPr>
      <w:r>
        <w:rPr>
          <w:rFonts w:hint="eastAsia"/>
          <w:color w:val="auto"/>
          <w:lang w:val="en-US" w:eastAsia="zh-CN"/>
        </w:rPr>
        <w:t>根据《</w:t>
      </w:r>
      <w:r>
        <w:rPr>
          <w:rFonts w:ascii="宋体" w:hAnsi="宋体" w:eastAsia="宋体" w:cs="宋体"/>
          <w:color w:val="auto"/>
          <w:sz w:val="24"/>
          <w:szCs w:val="24"/>
        </w:rPr>
        <w:t>环境影响评价技术导则 生态影响</w:t>
      </w:r>
      <w:r>
        <w:rPr>
          <w:rFonts w:hint="eastAsia"/>
          <w:color w:val="auto"/>
          <w:lang w:val="en-US" w:eastAsia="zh-CN"/>
        </w:rPr>
        <w:t>》（HJ 19—2022）按以下原则确定评价等级：a）涉及国家公园、自然保护区、世界自然遗产、重要生境时，评价等级为一级；</w:t>
      </w:r>
    </w:p>
    <w:p>
      <w:pPr>
        <w:bidi w:val="0"/>
        <w:spacing w:line="360" w:lineRule="auto"/>
        <w:rPr>
          <w:rFonts w:hint="eastAsia"/>
          <w:color w:val="auto"/>
          <w:lang w:val="en-US" w:eastAsia="zh-CN"/>
        </w:rPr>
      </w:pPr>
      <w:r>
        <w:rPr>
          <w:rFonts w:hint="eastAsia"/>
          <w:color w:val="auto"/>
          <w:lang w:val="en-US" w:eastAsia="zh-CN"/>
        </w:rPr>
        <w:t>b）涉及自然公园时，评价等级为二级；</w:t>
      </w:r>
    </w:p>
    <w:p>
      <w:pPr>
        <w:bidi w:val="0"/>
        <w:spacing w:line="360" w:lineRule="auto"/>
        <w:rPr>
          <w:rFonts w:hint="eastAsia"/>
          <w:color w:val="auto"/>
          <w:lang w:val="en-US" w:eastAsia="zh-CN"/>
        </w:rPr>
      </w:pPr>
      <w:r>
        <w:rPr>
          <w:rFonts w:hint="eastAsia"/>
          <w:color w:val="auto"/>
          <w:lang w:val="en-US" w:eastAsia="zh-CN"/>
        </w:rPr>
        <w:t>c）涉及生态保护红线时，评价等级不低于二级；</w:t>
      </w:r>
    </w:p>
    <w:p>
      <w:pPr>
        <w:bidi w:val="0"/>
        <w:spacing w:line="360" w:lineRule="auto"/>
        <w:rPr>
          <w:rFonts w:hint="eastAsia"/>
          <w:color w:val="auto"/>
          <w:lang w:val="en-US" w:eastAsia="zh-CN"/>
        </w:rPr>
      </w:pPr>
      <w:r>
        <w:rPr>
          <w:rFonts w:hint="eastAsia"/>
          <w:color w:val="auto"/>
          <w:lang w:val="en-US" w:eastAsia="zh-CN"/>
        </w:rPr>
        <w:t>d）根据HJ2.3判断属于水文要素影响型且地表水评价等级不低于二级的建设项目，生态影响评价等级不低于二级；</w:t>
      </w:r>
    </w:p>
    <w:p>
      <w:pPr>
        <w:bidi w:val="0"/>
        <w:spacing w:line="360" w:lineRule="auto"/>
        <w:rPr>
          <w:rFonts w:hint="eastAsia"/>
          <w:color w:val="auto"/>
          <w:lang w:val="en-US" w:eastAsia="zh-CN"/>
        </w:rPr>
      </w:pPr>
      <w:r>
        <w:rPr>
          <w:rFonts w:hint="eastAsia"/>
          <w:color w:val="auto"/>
          <w:lang w:val="en-US" w:eastAsia="zh-CN"/>
        </w:rPr>
        <w:t>e）根据HJ610、HJ964判断地下水水位或土壤影响范围内分布有天然林、公益林、湿地等生态保护目标的建设项目，生态影响评价等级不低于二级；</w:t>
      </w:r>
    </w:p>
    <w:p>
      <w:pPr>
        <w:bidi w:val="0"/>
        <w:spacing w:line="360" w:lineRule="auto"/>
        <w:ind w:firstLine="480" w:firstLineChars="200"/>
        <w:rPr>
          <w:rFonts w:hint="eastAsia"/>
          <w:color w:val="auto"/>
          <w:lang w:val="en-US" w:eastAsia="zh-CN"/>
        </w:rPr>
      </w:pPr>
      <w:r>
        <w:rPr>
          <w:rFonts w:hint="eastAsia"/>
          <w:color w:val="auto"/>
          <w:lang w:val="en-US" w:eastAsia="zh-CN"/>
        </w:rPr>
        <w:t>f）当工程占地规模大于20km</w:t>
      </w:r>
      <w:r>
        <w:rPr>
          <w:rFonts w:hint="eastAsia"/>
          <w:color w:val="auto"/>
          <w:vertAlign w:val="superscript"/>
          <w:lang w:val="en-US" w:eastAsia="zh-CN"/>
        </w:rPr>
        <w:t>2</w:t>
      </w:r>
      <w:r>
        <w:rPr>
          <w:rFonts w:hint="eastAsia"/>
          <w:color w:val="auto"/>
          <w:lang w:val="en-US" w:eastAsia="zh-CN"/>
        </w:rPr>
        <w:t>时（包括永久和临时占用陆域和水域），评价等级不低于二级；改扩建项目的占地范围以新增占地（包括陆域和水域）确定；</w:t>
      </w:r>
    </w:p>
    <w:p>
      <w:pPr>
        <w:bidi w:val="0"/>
        <w:spacing w:line="360" w:lineRule="auto"/>
        <w:rPr>
          <w:rFonts w:hint="eastAsia"/>
          <w:color w:val="auto"/>
          <w:lang w:val="en-US" w:eastAsia="zh-CN"/>
        </w:rPr>
      </w:pPr>
      <w:r>
        <w:rPr>
          <w:rFonts w:hint="eastAsia"/>
          <w:color w:val="auto"/>
          <w:lang w:val="en-US" w:eastAsia="zh-CN"/>
        </w:rPr>
        <w:t>g）除本条a）、b）、c）、d）、e）、f）以外的情况，评价等级为三级；</w:t>
      </w:r>
    </w:p>
    <w:p>
      <w:pPr>
        <w:bidi w:val="0"/>
        <w:spacing w:line="360" w:lineRule="auto"/>
        <w:ind w:left="480" w:leftChars="200" w:firstLine="0" w:firstLineChars="0"/>
        <w:rPr>
          <w:rFonts w:hint="eastAsia"/>
          <w:color w:val="auto"/>
          <w:lang w:val="en-US" w:eastAsia="zh-CN"/>
        </w:rPr>
      </w:pPr>
      <w:r>
        <w:rPr>
          <w:rFonts w:hint="eastAsia"/>
          <w:color w:val="auto"/>
          <w:lang w:val="en-US" w:eastAsia="zh-CN"/>
        </w:rPr>
        <w:t>h）当评价等级判定同时符合上述多种情况时，应采用其中最高的评价等级。</w:t>
      </w:r>
    </w:p>
    <w:p>
      <w:pPr>
        <w:bidi w:val="0"/>
        <w:spacing w:line="360" w:lineRule="auto"/>
        <w:ind w:left="0" w:leftChars="0" w:firstLine="480" w:firstLineChars="200"/>
        <w:rPr>
          <w:color w:val="auto"/>
        </w:rPr>
      </w:pPr>
      <w:r>
        <w:rPr>
          <w:rFonts w:hint="eastAsia"/>
          <w:color w:val="auto"/>
          <w:lang w:val="en-US" w:eastAsia="zh-CN"/>
        </w:rPr>
        <w:t>本项目占不地涉及国家公园、自然保护区、世界自然遗产等，地表水评价为三级B，且不开展地下水环境影响评价，项目占地面积为801.9</w:t>
      </w:r>
      <w:r>
        <w:rPr>
          <w:rFonts w:hint="default"/>
          <w:color w:val="auto"/>
          <w:lang w:val="en-US" w:eastAsia="zh-CN"/>
        </w:rPr>
        <w:t>m</w:t>
      </w:r>
      <w:r>
        <w:rPr>
          <w:rFonts w:hint="default"/>
          <w:color w:val="auto"/>
          <w:vertAlign w:val="superscript"/>
          <w:lang w:val="en-US" w:eastAsia="zh-CN"/>
        </w:rPr>
        <w:t>2</w:t>
      </w:r>
      <w:r>
        <w:rPr>
          <w:rFonts w:hint="eastAsia"/>
          <w:color w:val="auto"/>
          <w:vertAlign w:val="baseline"/>
          <w:lang w:val="en-US" w:eastAsia="zh-CN"/>
        </w:rPr>
        <w:t>，满足《环境影响评价技术导则 生态影响》（HJ 19—2022）中g）除本条a）、b）、c）、d）、e）、f）以外的情况，评价等级为三级</w:t>
      </w:r>
      <w:r>
        <w:rPr>
          <w:rFonts w:hint="eastAsia"/>
          <w:color w:val="auto"/>
          <w:lang w:val="en-US" w:eastAsia="zh-CN"/>
        </w:rPr>
        <w:t>，因此，本项目生态影响评价等级为三级。</w:t>
      </w:r>
    </w:p>
    <w:p>
      <w:pPr>
        <w:pStyle w:val="6"/>
        <w:bidi w:val="0"/>
        <w:outlineLvl w:val="1"/>
        <w:rPr>
          <w:color w:val="auto"/>
        </w:rPr>
      </w:pPr>
      <w:bookmarkStart w:id="29" w:name="_Toc9186"/>
      <w:r>
        <w:rPr>
          <w:rFonts w:hint="eastAsia"/>
          <w:color w:val="auto"/>
          <w:lang w:val="en-US" w:eastAsia="zh-CN"/>
        </w:rPr>
        <w:t>2.6.7</w:t>
      </w:r>
      <w:r>
        <w:rPr>
          <w:color w:val="auto"/>
        </w:rPr>
        <w:t>风险影响评价工作等级</w:t>
      </w:r>
      <w:bookmarkEnd w:id="29"/>
    </w:p>
    <w:p>
      <w:pPr>
        <w:bidi w:val="0"/>
        <w:rPr>
          <w:color w:val="auto"/>
        </w:rPr>
      </w:pPr>
      <w:r>
        <w:rPr>
          <w:color w:val="auto"/>
        </w:rPr>
        <w:t>根据《建设项目环境风险评价技术导则》（HJT169-2018）中环境风险评价工作等级划分表见表2.</w:t>
      </w:r>
      <w:r>
        <w:rPr>
          <w:rFonts w:hint="eastAsia" w:ascii="Times New Roman" w:eastAsia="宋体"/>
          <w:color w:val="auto"/>
          <w:lang w:val="en-US" w:eastAsia="zh-CN"/>
        </w:rPr>
        <w:t>6</w:t>
      </w:r>
      <w:r>
        <w:rPr>
          <w:color w:val="auto"/>
        </w:rPr>
        <w:t>-</w:t>
      </w:r>
      <w:r>
        <w:rPr>
          <w:rFonts w:hint="eastAsia"/>
          <w:color w:val="auto"/>
          <w:lang w:val="en-US" w:eastAsia="zh-CN"/>
        </w:rPr>
        <w:t>10</w:t>
      </w:r>
      <w:r>
        <w:rPr>
          <w:color w:val="auto"/>
        </w:rPr>
        <w:t>。</w:t>
      </w:r>
    </w:p>
    <w:p>
      <w:pPr>
        <w:pStyle w:val="22"/>
        <w:bidi w:val="0"/>
        <w:rPr>
          <w:b/>
          <w:bCs/>
          <w:color w:val="auto"/>
        </w:rPr>
      </w:pPr>
      <w:r>
        <w:rPr>
          <w:b/>
          <w:bCs/>
          <w:color w:val="auto"/>
        </w:rPr>
        <w:t>表2.</w:t>
      </w:r>
      <w:r>
        <w:rPr>
          <w:rFonts w:hint="eastAsia"/>
          <w:b/>
          <w:bCs/>
          <w:color w:val="auto"/>
          <w:lang w:val="en-US" w:eastAsia="zh-CN"/>
        </w:rPr>
        <w:t>6</w:t>
      </w:r>
      <w:r>
        <w:rPr>
          <w:b/>
          <w:bCs/>
          <w:color w:val="auto"/>
        </w:rPr>
        <w:t>-</w:t>
      </w:r>
      <w:r>
        <w:rPr>
          <w:rFonts w:hint="eastAsia"/>
          <w:b/>
          <w:bCs/>
          <w:color w:val="auto"/>
          <w:lang w:val="en-US" w:eastAsia="zh-CN"/>
        </w:rPr>
        <w:t>10</w:t>
      </w:r>
      <w:r>
        <w:rPr>
          <w:b/>
          <w:bCs/>
          <w:color w:val="auto"/>
        </w:rPr>
        <w:t>环境风险评价工作等级划分表</w:t>
      </w:r>
    </w:p>
    <w:tbl>
      <w:tblPr>
        <w:tblStyle w:val="23"/>
        <w:tblW w:w="839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61"/>
        <w:gridCol w:w="1549"/>
        <w:gridCol w:w="1547"/>
        <w:gridCol w:w="1720"/>
        <w:gridCol w:w="21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 w:hRule="atLeast"/>
          <w:jc w:val="center"/>
        </w:trPr>
        <w:tc>
          <w:tcPr>
            <w:tcW w:w="1461" w:type="dxa"/>
            <w:tcBorders>
              <w:tl2br w:val="nil"/>
              <w:tr2bl w:val="nil"/>
            </w:tcBorders>
            <w:vAlign w:val="center"/>
          </w:tcPr>
          <w:p>
            <w:pPr>
              <w:pStyle w:val="22"/>
              <w:bidi w:val="0"/>
              <w:jc w:val="center"/>
              <w:rPr>
                <w:color w:val="auto"/>
              </w:rPr>
            </w:pPr>
            <w:r>
              <w:rPr>
                <w:color w:val="auto"/>
              </w:rPr>
              <w:t>环境风险潜势</w:t>
            </w:r>
          </w:p>
        </w:tc>
        <w:tc>
          <w:tcPr>
            <w:tcW w:w="1549" w:type="dxa"/>
            <w:tcBorders>
              <w:tl2br w:val="nil"/>
              <w:tr2bl w:val="nil"/>
            </w:tcBorders>
            <w:vAlign w:val="center"/>
          </w:tcPr>
          <w:p>
            <w:pPr>
              <w:pStyle w:val="22"/>
              <w:bidi w:val="0"/>
              <w:jc w:val="center"/>
              <w:rPr>
                <w:color w:val="auto"/>
              </w:rPr>
            </w:pPr>
            <w:r>
              <w:rPr>
                <w:color w:val="auto"/>
              </w:rPr>
              <w:t>Ⅳ、Ⅳ+</w:t>
            </w:r>
          </w:p>
        </w:tc>
        <w:tc>
          <w:tcPr>
            <w:tcW w:w="1547" w:type="dxa"/>
            <w:tcBorders>
              <w:tl2br w:val="nil"/>
              <w:tr2bl w:val="nil"/>
            </w:tcBorders>
            <w:vAlign w:val="center"/>
          </w:tcPr>
          <w:p>
            <w:pPr>
              <w:pStyle w:val="22"/>
              <w:bidi w:val="0"/>
              <w:jc w:val="center"/>
              <w:rPr>
                <w:color w:val="auto"/>
              </w:rPr>
            </w:pPr>
            <w:r>
              <w:rPr>
                <w:color w:val="auto"/>
              </w:rPr>
              <w:t>Ⅲ</w:t>
            </w:r>
          </w:p>
        </w:tc>
        <w:tc>
          <w:tcPr>
            <w:tcW w:w="1720" w:type="dxa"/>
            <w:tcBorders>
              <w:tl2br w:val="nil"/>
              <w:tr2bl w:val="nil"/>
            </w:tcBorders>
            <w:vAlign w:val="center"/>
          </w:tcPr>
          <w:p>
            <w:pPr>
              <w:pStyle w:val="22"/>
              <w:bidi w:val="0"/>
              <w:jc w:val="center"/>
              <w:rPr>
                <w:color w:val="auto"/>
              </w:rPr>
            </w:pPr>
            <w:r>
              <w:rPr>
                <w:color w:val="auto"/>
              </w:rPr>
              <w:t>Ⅱ</w:t>
            </w:r>
          </w:p>
        </w:tc>
        <w:tc>
          <w:tcPr>
            <w:tcW w:w="2121" w:type="dxa"/>
            <w:tcBorders>
              <w:tl2br w:val="nil"/>
              <w:tr2bl w:val="nil"/>
            </w:tcBorders>
            <w:vAlign w:val="center"/>
          </w:tcPr>
          <w:p>
            <w:pPr>
              <w:pStyle w:val="22"/>
              <w:bidi w:val="0"/>
              <w:jc w:val="center"/>
              <w:rPr>
                <w:color w:val="auto"/>
              </w:rPr>
            </w:pPr>
            <w:r>
              <w:rPr>
                <w:color w:val="auto"/>
              </w:rPr>
              <w:t>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jc w:val="center"/>
        </w:trPr>
        <w:tc>
          <w:tcPr>
            <w:tcW w:w="1461" w:type="dxa"/>
            <w:tcBorders>
              <w:tl2br w:val="nil"/>
              <w:tr2bl w:val="nil"/>
            </w:tcBorders>
            <w:vAlign w:val="center"/>
          </w:tcPr>
          <w:p>
            <w:pPr>
              <w:pStyle w:val="22"/>
              <w:bidi w:val="0"/>
              <w:jc w:val="center"/>
              <w:rPr>
                <w:color w:val="auto"/>
              </w:rPr>
            </w:pPr>
            <w:r>
              <w:rPr>
                <w:color w:val="auto"/>
              </w:rPr>
              <w:t>评价工作等级</w:t>
            </w:r>
          </w:p>
        </w:tc>
        <w:tc>
          <w:tcPr>
            <w:tcW w:w="1549" w:type="dxa"/>
            <w:tcBorders>
              <w:tl2br w:val="nil"/>
              <w:tr2bl w:val="nil"/>
            </w:tcBorders>
            <w:vAlign w:val="center"/>
          </w:tcPr>
          <w:p>
            <w:pPr>
              <w:pStyle w:val="22"/>
              <w:bidi w:val="0"/>
              <w:jc w:val="center"/>
              <w:rPr>
                <w:color w:val="auto"/>
              </w:rPr>
            </w:pPr>
            <w:r>
              <w:rPr>
                <w:color w:val="auto"/>
              </w:rPr>
              <w:t>一</w:t>
            </w:r>
          </w:p>
        </w:tc>
        <w:tc>
          <w:tcPr>
            <w:tcW w:w="1547" w:type="dxa"/>
            <w:tcBorders>
              <w:tl2br w:val="nil"/>
              <w:tr2bl w:val="nil"/>
            </w:tcBorders>
            <w:vAlign w:val="center"/>
          </w:tcPr>
          <w:p>
            <w:pPr>
              <w:pStyle w:val="22"/>
              <w:bidi w:val="0"/>
              <w:jc w:val="center"/>
              <w:rPr>
                <w:color w:val="auto"/>
              </w:rPr>
            </w:pPr>
            <w:r>
              <w:rPr>
                <w:color w:val="auto"/>
              </w:rPr>
              <w:t>二</w:t>
            </w:r>
          </w:p>
        </w:tc>
        <w:tc>
          <w:tcPr>
            <w:tcW w:w="1720" w:type="dxa"/>
            <w:tcBorders>
              <w:tl2br w:val="nil"/>
              <w:tr2bl w:val="nil"/>
            </w:tcBorders>
            <w:vAlign w:val="center"/>
          </w:tcPr>
          <w:p>
            <w:pPr>
              <w:pStyle w:val="22"/>
              <w:bidi w:val="0"/>
              <w:jc w:val="center"/>
              <w:rPr>
                <w:color w:val="auto"/>
              </w:rPr>
            </w:pPr>
            <w:r>
              <w:rPr>
                <w:color w:val="auto"/>
              </w:rPr>
              <w:t>三</w:t>
            </w:r>
          </w:p>
        </w:tc>
        <w:tc>
          <w:tcPr>
            <w:tcW w:w="2121" w:type="dxa"/>
            <w:tcBorders>
              <w:tl2br w:val="nil"/>
              <w:tr2bl w:val="nil"/>
            </w:tcBorders>
            <w:vAlign w:val="center"/>
          </w:tcPr>
          <w:p>
            <w:pPr>
              <w:pStyle w:val="22"/>
              <w:bidi w:val="0"/>
              <w:jc w:val="center"/>
              <w:rPr>
                <w:color w:val="auto"/>
              </w:rPr>
            </w:pPr>
            <w:r>
              <w:rPr>
                <w:color w:val="auto"/>
              </w:rPr>
              <w:t>简单分析</w:t>
            </w:r>
          </w:p>
        </w:tc>
      </w:tr>
    </w:tbl>
    <w:p>
      <w:pPr>
        <w:spacing w:before="33" w:line="211" w:lineRule="auto"/>
        <w:ind w:left="127" w:right="165" w:hanging="11"/>
        <w:rPr>
          <w:rFonts w:ascii="宋体" w:hAnsi="宋体" w:eastAsia="宋体" w:cs="宋体"/>
          <w:color w:val="auto"/>
          <w:sz w:val="21"/>
          <w:szCs w:val="21"/>
        </w:rPr>
      </w:pPr>
      <w:r>
        <w:rPr>
          <w:rFonts w:ascii="宋体" w:hAnsi="宋体" w:eastAsia="宋体" w:cs="宋体"/>
          <w:color w:val="auto"/>
          <w:spacing w:val="-4"/>
          <w:sz w:val="21"/>
          <w:szCs w:val="21"/>
        </w:rPr>
        <w:t>注：简单分析是相对于详细评价工作内容而言，在描述危险物质、环境影响途径、环境危害后果、风</w:t>
      </w:r>
      <w:r>
        <w:rPr>
          <w:rFonts w:ascii="宋体" w:hAnsi="宋体" w:eastAsia="宋体" w:cs="宋体"/>
          <w:color w:val="auto"/>
          <w:spacing w:val="-2"/>
          <w:sz w:val="21"/>
          <w:szCs w:val="21"/>
        </w:rPr>
        <w:t>险防范措施等方面给出定性的说明。</w:t>
      </w:r>
    </w:p>
    <w:p>
      <w:pPr>
        <w:bidi w:val="0"/>
        <w:rPr>
          <w:color w:val="auto"/>
        </w:rPr>
      </w:pPr>
      <w:r>
        <w:rPr>
          <w:color w:val="auto"/>
        </w:rPr>
        <w:t>本项目营运期所使用的化学品中有部分为危险化学品，种类较多，如检验用试剂，各类消毒剂及其原料等</w:t>
      </w:r>
      <w:r>
        <w:rPr>
          <w:rFonts w:hint="eastAsia" w:eastAsia="宋体"/>
          <w:color w:val="auto"/>
          <w:lang w:eastAsia="zh-CN"/>
        </w:rPr>
        <w:t>，</w:t>
      </w:r>
      <w:r>
        <w:rPr>
          <w:color w:val="auto"/>
        </w:rPr>
        <w:t>其中《建设项目环境风险评价技术导则》附录B中重点关注的危险物质及临界量的为硝酸、硫酸等。危险物质数量与临界量比值（Q）＜1，具体见表2.</w:t>
      </w:r>
      <w:r>
        <w:rPr>
          <w:rFonts w:hint="eastAsia" w:ascii="Times New Roman" w:eastAsia="宋体"/>
          <w:color w:val="auto"/>
          <w:lang w:val="en-US" w:eastAsia="zh-CN"/>
        </w:rPr>
        <w:t>6</w:t>
      </w:r>
      <w:r>
        <w:rPr>
          <w:color w:val="auto"/>
        </w:rPr>
        <w:t>-</w:t>
      </w:r>
      <w:r>
        <w:rPr>
          <w:rFonts w:hint="eastAsia"/>
          <w:color w:val="auto"/>
          <w:lang w:val="en-US" w:eastAsia="zh-CN"/>
        </w:rPr>
        <w:t>11</w:t>
      </w:r>
      <w:r>
        <w:rPr>
          <w:color w:val="auto"/>
        </w:rPr>
        <w:t>。因此，环境风险潜势为Ⅰ，只需进行简单分析。</w:t>
      </w:r>
    </w:p>
    <w:p>
      <w:pPr>
        <w:pStyle w:val="22"/>
        <w:bidi w:val="0"/>
        <w:rPr>
          <w:b/>
          <w:bCs/>
          <w:color w:val="auto"/>
        </w:rPr>
      </w:pPr>
      <w:r>
        <w:rPr>
          <w:b/>
          <w:bCs/>
          <w:color w:val="auto"/>
        </w:rPr>
        <w:t>表2.</w:t>
      </w:r>
      <w:r>
        <w:rPr>
          <w:rFonts w:hint="eastAsia"/>
          <w:b/>
          <w:bCs/>
          <w:color w:val="auto"/>
          <w:lang w:val="en-US" w:eastAsia="zh-CN"/>
        </w:rPr>
        <w:t>6</w:t>
      </w:r>
      <w:r>
        <w:rPr>
          <w:b/>
          <w:bCs/>
          <w:color w:val="auto"/>
        </w:rPr>
        <w:t>-</w:t>
      </w:r>
      <w:r>
        <w:rPr>
          <w:rFonts w:hint="eastAsia"/>
          <w:b/>
          <w:bCs/>
          <w:color w:val="auto"/>
          <w:lang w:val="en-US" w:eastAsia="zh-CN"/>
        </w:rPr>
        <w:t>11</w:t>
      </w:r>
      <w:r>
        <w:rPr>
          <w:b/>
          <w:bCs/>
          <w:color w:val="auto"/>
        </w:rPr>
        <w:t>项目环境风险潜势汇总一览表</w:t>
      </w:r>
    </w:p>
    <w:tbl>
      <w:tblPr>
        <w:tblStyle w:val="23"/>
        <w:tblW w:w="852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7"/>
        <w:gridCol w:w="1416"/>
        <w:gridCol w:w="2410"/>
        <w:gridCol w:w="2149"/>
        <w:gridCol w:w="18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jc w:val="center"/>
        </w:trPr>
        <w:tc>
          <w:tcPr>
            <w:tcW w:w="677" w:type="dxa"/>
            <w:tcBorders>
              <w:tl2br w:val="nil"/>
              <w:tr2bl w:val="nil"/>
            </w:tcBorders>
            <w:vAlign w:val="center"/>
          </w:tcPr>
          <w:p>
            <w:pPr>
              <w:pStyle w:val="22"/>
              <w:bidi w:val="0"/>
              <w:jc w:val="center"/>
              <w:rPr>
                <w:color w:val="auto"/>
              </w:rPr>
            </w:pPr>
            <w:r>
              <w:rPr>
                <w:color w:val="auto"/>
              </w:rPr>
              <w:t>序号</w:t>
            </w:r>
          </w:p>
        </w:tc>
        <w:tc>
          <w:tcPr>
            <w:tcW w:w="1416" w:type="dxa"/>
            <w:tcBorders>
              <w:tl2br w:val="nil"/>
              <w:tr2bl w:val="nil"/>
            </w:tcBorders>
            <w:vAlign w:val="center"/>
          </w:tcPr>
          <w:p>
            <w:pPr>
              <w:pStyle w:val="22"/>
              <w:bidi w:val="0"/>
              <w:jc w:val="center"/>
              <w:rPr>
                <w:color w:val="auto"/>
              </w:rPr>
            </w:pPr>
            <w:r>
              <w:rPr>
                <w:color w:val="auto"/>
              </w:rPr>
              <w:t>物资名称</w:t>
            </w:r>
          </w:p>
        </w:tc>
        <w:tc>
          <w:tcPr>
            <w:tcW w:w="2410" w:type="dxa"/>
            <w:tcBorders>
              <w:tl2br w:val="nil"/>
              <w:tr2bl w:val="nil"/>
            </w:tcBorders>
            <w:vAlign w:val="center"/>
          </w:tcPr>
          <w:p>
            <w:pPr>
              <w:pStyle w:val="22"/>
              <w:bidi w:val="0"/>
              <w:jc w:val="center"/>
              <w:rPr>
                <w:color w:val="auto"/>
              </w:rPr>
            </w:pPr>
            <w:r>
              <w:rPr>
                <w:color w:val="auto"/>
              </w:rPr>
              <w:t>临界量（t）</w:t>
            </w:r>
          </w:p>
        </w:tc>
        <w:tc>
          <w:tcPr>
            <w:tcW w:w="2149" w:type="dxa"/>
            <w:tcBorders>
              <w:tl2br w:val="nil"/>
              <w:tr2bl w:val="nil"/>
            </w:tcBorders>
            <w:vAlign w:val="center"/>
          </w:tcPr>
          <w:p>
            <w:pPr>
              <w:pStyle w:val="22"/>
              <w:bidi w:val="0"/>
              <w:jc w:val="center"/>
              <w:rPr>
                <w:color w:val="auto"/>
              </w:rPr>
            </w:pPr>
            <w:r>
              <w:rPr>
                <w:color w:val="auto"/>
              </w:rPr>
              <w:t>本项目存储量（kg）</w:t>
            </w:r>
          </w:p>
        </w:tc>
        <w:tc>
          <w:tcPr>
            <w:tcW w:w="1870" w:type="dxa"/>
            <w:tcBorders>
              <w:tl2br w:val="nil"/>
              <w:tr2bl w:val="nil"/>
            </w:tcBorders>
            <w:vAlign w:val="center"/>
          </w:tcPr>
          <w:p>
            <w:pPr>
              <w:pStyle w:val="22"/>
              <w:bidi w:val="0"/>
              <w:jc w:val="center"/>
              <w:rPr>
                <w:color w:val="auto"/>
              </w:rPr>
            </w:pPr>
            <w:r>
              <w:rPr>
                <w:color w:val="auto"/>
              </w:rPr>
              <w:t>Q</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jc w:val="center"/>
        </w:trPr>
        <w:tc>
          <w:tcPr>
            <w:tcW w:w="677" w:type="dxa"/>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1</w:t>
            </w:r>
          </w:p>
        </w:tc>
        <w:tc>
          <w:tcPr>
            <w:tcW w:w="1416" w:type="dxa"/>
            <w:tcBorders>
              <w:tl2br w:val="nil"/>
              <w:tr2bl w:val="nil"/>
            </w:tcBorders>
            <w:vAlign w:val="center"/>
          </w:tcPr>
          <w:p>
            <w:pPr>
              <w:pStyle w:val="22"/>
              <w:bidi w:val="0"/>
              <w:jc w:val="center"/>
              <w:rPr>
                <w:color w:val="auto"/>
              </w:rPr>
            </w:pPr>
            <w:r>
              <w:rPr>
                <w:color w:val="auto"/>
              </w:rPr>
              <w:t>硫酸</w:t>
            </w:r>
          </w:p>
        </w:tc>
        <w:tc>
          <w:tcPr>
            <w:tcW w:w="2410" w:type="dxa"/>
            <w:tcBorders>
              <w:tl2br w:val="nil"/>
              <w:tr2bl w:val="nil"/>
            </w:tcBorders>
            <w:vAlign w:val="center"/>
          </w:tcPr>
          <w:p>
            <w:pPr>
              <w:pStyle w:val="22"/>
              <w:bidi w:val="0"/>
              <w:jc w:val="center"/>
              <w:rPr>
                <w:color w:val="auto"/>
              </w:rPr>
            </w:pPr>
            <w:r>
              <w:rPr>
                <w:color w:val="auto"/>
              </w:rPr>
              <w:t>10</w:t>
            </w:r>
          </w:p>
        </w:tc>
        <w:tc>
          <w:tcPr>
            <w:tcW w:w="2149"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15</w:t>
            </w:r>
          </w:p>
        </w:tc>
        <w:tc>
          <w:tcPr>
            <w:tcW w:w="1870" w:type="dxa"/>
            <w:tcBorders>
              <w:tl2br w:val="nil"/>
              <w:tr2bl w:val="nil"/>
            </w:tcBorders>
            <w:vAlign w:val="center"/>
          </w:tcPr>
          <w:p>
            <w:pPr>
              <w:pStyle w:val="22"/>
              <w:bidi w:val="0"/>
              <w:jc w:val="center"/>
              <w:rPr>
                <w:rFonts w:hint="default" w:eastAsia="宋体"/>
                <w:color w:val="auto"/>
                <w:lang w:val="en-US" w:eastAsia="zh-CN"/>
              </w:rPr>
            </w:pPr>
            <w:r>
              <w:rPr>
                <w:color w:val="auto"/>
              </w:rPr>
              <w:t>0.00</w:t>
            </w:r>
            <w:r>
              <w:rPr>
                <w:rFonts w:hint="eastAsia"/>
                <w:color w:val="auto"/>
                <w:lang w:val="en-US" w:eastAsia="zh-CN"/>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jc w:val="center"/>
        </w:trPr>
        <w:tc>
          <w:tcPr>
            <w:tcW w:w="677" w:type="dxa"/>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2</w:t>
            </w:r>
          </w:p>
        </w:tc>
        <w:tc>
          <w:tcPr>
            <w:tcW w:w="1416" w:type="dxa"/>
            <w:tcBorders>
              <w:tl2br w:val="nil"/>
              <w:tr2bl w:val="nil"/>
            </w:tcBorders>
            <w:vAlign w:val="center"/>
          </w:tcPr>
          <w:p>
            <w:pPr>
              <w:pStyle w:val="22"/>
              <w:bidi w:val="0"/>
              <w:jc w:val="center"/>
              <w:rPr>
                <w:color w:val="auto"/>
              </w:rPr>
            </w:pPr>
            <w:r>
              <w:rPr>
                <w:color w:val="auto"/>
              </w:rPr>
              <w:t>盐酸</w:t>
            </w:r>
          </w:p>
        </w:tc>
        <w:tc>
          <w:tcPr>
            <w:tcW w:w="2410" w:type="dxa"/>
            <w:tcBorders>
              <w:tl2br w:val="nil"/>
              <w:tr2bl w:val="nil"/>
            </w:tcBorders>
            <w:vAlign w:val="center"/>
          </w:tcPr>
          <w:p>
            <w:pPr>
              <w:pStyle w:val="22"/>
              <w:bidi w:val="0"/>
              <w:jc w:val="center"/>
              <w:rPr>
                <w:color w:val="auto"/>
              </w:rPr>
            </w:pPr>
            <w:r>
              <w:rPr>
                <w:color w:val="auto"/>
              </w:rPr>
              <w:t>7.5</w:t>
            </w:r>
          </w:p>
        </w:tc>
        <w:tc>
          <w:tcPr>
            <w:tcW w:w="2149" w:type="dxa"/>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6</w:t>
            </w:r>
          </w:p>
        </w:tc>
        <w:tc>
          <w:tcPr>
            <w:tcW w:w="1870" w:type="dxa"/>
            <w:tcBorders>
              <w:tl2br w:val="nil"/>
              <w:tr2bl w:val="nil"/>
            </w:tcBorders>
            <w:vAlign w:val="center"/>
          </w:tcPr>
          <w:p>
            <w:pPr>
              <w:pStyle w:val="22"/>
              <w:bidi w:val="0"/>
              <w:jc w:val="center"/>
              <w:rPr>
                <w:rFonts w:hint="eastAsia" w:eastAsia="宋体"/>
                <w:color w:val="auto"/>
                <w:lang w:eastAsia="zh-CN"/>
              </w:rPr>
            </w:pPr>
            <w:r>
              <w:rPr>
                <w:color w:val="auto"/>
              </w:rPr>
              <w:t>0.00</w:t>
            </w:r>
            <w:r>
              <w:rPr>
                <w:rFonts w:hint="eastAsia"/>
                <w:color w:val="auto"/>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jc w:val="center"/>
        </w:trPr>
        <w:tc>
          <w:tcPr>
            <w:tcW w:w="677" w:type="dxa"/>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3</w:t>
            </w:r>
          </w:p>
        </w:tc>
        <w:tc>
          <w:tcPr>
            <w:tcW w:w="1416" w:type="dxa"/>
            <w:tcBorders>
              <w:tl2br w:val="nil"/>
              <w:tr2bl w:val="nil"/>
            </w:tcBorders>
            <w:vAlign w:val="center"/>
          </w:tcPr>
          <w:p>
            <w:pPr>
              <w:pStyle w:val="22"/>
              <w:bidi w:val="0"/>
              <w:jc w:val="center"/>
              <w:rPr>
                <w:color w:val="auto"/>
              </w:rPr>
            </w:pPr>
            <w:r>
              <w:rPr>
                <w:color w:val="auto"/>
              </w:rPr>
              <w:t>硝酸</w:t>
            </w:r>
          </w:p>
        </w:tc>
        <w:tc>
          <w:tcPr>
            <w:tcW w:w="2410" w:type="dxa"/>
            <w:tcBorders>
              <w:tl2br w:val="nil"/>
              <w:tr2bl w:val="nil"/>
            </w:tcBorders>
            <w:vAlign w:val="center"/>
          </w:tcPr>
          <w:p>
            <w:pPr>
              <w:pStyle w:val="22"/>
              <w:bidi w:val="0"/>
              <w:jc w:val="center"/>
              <w:rPr>
                <w:color w:val="auto"/>
              </w:rPr>
            </w:pPr>
            <w:r>
              <w:rPr>
                <w:color w:val="auto"/>
              </w:rPr>
              <w:t>7.5</w:t>
            </w:r>
          </w:p>
        </w:tc>
        <w:tc>
          <w:tcPr>
            <w:tcW w:w="2149" w:type="dxa"/>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7</w:t>
            </w:r>
          </w:p>
        </w:tc>
        <w:tc>
          <w:tcPr>
            <w:tcW w:w="1870" w:type="dxa"/>
            <w:tcBorders>
              <w:tl2br w:val="nil"/>
              <w:tr2bl w:val="nil"/>
            </w:tcBorders>
            <w:vAlign w:val="center"/>
          </w:tcPr>
          <w:p>
            <w:pPr>
              <w:pStyle w:val="22"/>
              <w:bidi w:val="0"/>
              <w:jc w:val="center"/>
              <w:rPr>
                <w:rFonts w:hint="default" w:eastAsia="宋体"/>
                <w:color w:val="auto"/>
                <w:lang w:val="en-US" w:eastAsia="zh-CN"/>
              </w:rPr>
            </w:pPr>
            <w:r>
              <w:rPr>
                <w:color w:val="auto"/>
              </w:rPr>
              <w:t>0.00</w:t>
            </w:r>
            <w:r>
              <w:rPr>
                <w:rFonts w:hint="eastAsia"/>
                <w:color w:val="auto"/>
                <w:lang w:val="en-US" w:eastAsia="zh-CN"/>
              </w:rPr>
              <w:t>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677" w:type="dxa"/>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4</w:t>
            </w:r>
          </w:p>
        </w:tc>
        <w:tc>
          <w:tcPr>
            <w:tcW w:w="1416" w:type="dxa"/>
            <w:tcBorders>
              <w:tl2br w:val="nil"/>
              <w:tr2bl w:val="nil"/>
            </w:tcBorders>
            <w:vAlign w:val="center"/>
          </w:tcPr>
          <w:p>
            <w:pPr>
              <w:pStyle w:val="22"/>
              <w:bidi w:val="0"/>
              <w:jc w:val="center"/>
              <w:rPr>
                <w:color w:val="auto"/>
              </w:rPr>
            </w:pPr>
            <w:r>
              <w:rPr>
                <w:color w:val="auto"/>
              </w:rPr>
              <w:t>异丙醇</w:t>
            </w:r>
          </w:p>
        </w:tc>
        <w:tc>
          <w:tcPr>
            <w:tcW w:w="2410" w:type="dxa"/>
            <w:tcBorders>
              <w:tl2br w:val="nil"/>
              <w:tr2bl w:val="nil"/>
            </w:tcBorders>
            <w:vAlign w:val="center"/>
          </w:tcPr>
          <w:p>
            <w:pPr>
              <w:pStyle w:val="22"/>
              <w:bidi w:val="0"/>
              <w:jc w:val="center"/>
              <w:rPr>
                <w:color w:val="auto"/>
              </w:rPr>
            </w:pPr>
            <w:r>
              <w:rPr>
                <w:color w:val="auto"/>
              </w:rPr>
              <w:t>10</w:t>
            </w:r>
          </w:p>
        </w:tc>
        <w:tc>
          <w:tcPr>
            <w:tcW w:w="2149"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0.25</w:t>
            </w:r>
          </w:p>
        </w:tc>
        <w:tc>
          <w:tcPr>
            <w:tcW w:w="1870" w:type="dxa"/>
            <w:tcBorders>
              <w:tl2br w:val="nil"/>
              <w:tr2bl w:val="nil"/>
            </w:tcBorders>
            <w:vAlign w:val="center"/>
          </w:tcPr>
          <w:p>
            <w:pPr>
              <w:pStyle w:val="22"/>
              <w:bidi w:val="0"/>
              <w:jc w:val="center"/>
              <w:rPr>
                <w:rFonts w:hint="default" w:eastAsia="宋体"/>
                <w:color w:val="auto"/>
                <w:lang w:val="en-US" w:eastAsia="zh-CN"/>
              </w:rPr>
            </w:pPr>
            <w:r>
              <w:rPr>
                <w:color w:val="auto"/>
              </w:rPr>
              <w:t>0.0000</w:t>
            </w:r>
            <w:r>
              <w:rPr>
                <w:rFonts w:hint="eastAsia"/>
                <w:color w:val="auto"/>
                <w:lang w:val="en-US" w:eastAsia="zh-CN"/>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677" w:type="dxa"/>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5</w:t>
            </w:r>
          </w:p>
        </w:tc>
        <w:tc>
          <w:tcPr>
            <w:tcW w:w="1416" w:type="dxa"/>
            <w:tcBorders>
              <w:tl2br w:val="nil"/>
              <w:tr2bl w:val="nil"/>
            </w:tcBorders>
            <w:vAlign w:val="center"/>
          </w:tcPr>
          <w:p>
            <w:pPr>
              <w:pStyle w:val="22"/>
              <w:bidi w:val="0"/>
              <w:jc w:val="center"/>
              <w:rPr>
                <w:color w:val="auto"/>
              </w:rPr>
            </w:pPr>
            <w:r>
              <w:rPr>
                <w:color w:val="auto"/>
              </w:rPr>
              <w:t>丙醇</w:t>
            </w:r>
          </w:p>
        </w:tc>
        <w:tc>
          <w:tcPr>
            <w:tcW w:w="2410" w:type="dxa"/>
            <w:tcBorders>
              <w:tl2br w:val="nil"/>
              <w:tr2bl w:val="nil"/>
            </w:tcBorders>
            <w:vAlign w:val="center"/>
          </w:tcPr>
          <w:p>
            <w:pPr>
              <w:pStyle w:val="22"/>
              <w:bidi w:val="0"/>
              <w:jc w:val="center"/>
              <w:rPr>
                <w:color w:val="auto"/>
              </w:rPr>
            </w:pPr>
            <w:r>
              <w:rPr>
                <w:color w:val="auto"/>
              </w:rPr>
              <w:t>10</w:t>
            </w:r>
          </w:p>
        </w:tc>
        <w:tc>
          <w:tcPr>
            <w:tcW w:w="2149" w:type="dxa"/>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5</w:t>
            </w:r>
          </w:p>
        </w:tc>
        <w:tc>
          <w:tcPr>
            <w:tcW w:w="1870" w:type="dxa"/>
            <w:tcBorders>
              <w:tl2br w:val="nil"/>
              <w:tr2bl w:val="nil"/>
            </w:tcBorders>
            <w:vAlign w:val="center"/>
          </w:tcPr>
          <w:p>
            <w:pPr>
              <w:pStyle w:val="22"/>
              <w:bidi w:val="0"/>
              <w:jc w:val="center"/>
              <w:rPr>
                <w:rFonts w:hint="eastAsia" w:eastAsia="宋体"/>
                <w:color w:val="auto"/>
                <w:lang w:val="en-US" w:eastAsia="zh-CN"/>
              </w:rPr>
            </w:pPr>
            <w:r>
              <w:rPr>
                <w:color w:val="auto"/>
              </w:rPr>
              <w:t>0.000</w:t>
            </w:r>
            <w:r>
              <w:rPr>
                <w:rFonts w:hint="eastAsia"/>
                <w:color w:val="auto"/>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677" w:type="dxa"/>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6</w:t>
            </w:r>
          </w:p>
        </w:tc>
        <w:tc>
          <w:tcPr>
            <w:tcW w:w="1416" w:type="dxa"/>
            <w:tcBorders>
              <w:tl2br w:val="nil"/>
              <w:tr2bl w:val="nil"/>
            </w:tcBorders>
            <w:vAlign w:val="center"/>
          </w:tcPr>
          <w:p>
            <w:pPr>
              <w:pStyle w:val="22"/>
              <w:bidi w:val="0"/>
              <w:jc w:val="center"/>
              <w:rPr>
                <w:color w:val="auto"/>
              </w:rPr>
            </w:pPr>
            <w:r>
              <w:rPr>
                <w:color w:val="auto"/>
              </w:rPr>
              <w:t>三氯甲烷</w:t>
            </w:r>
          </w:p>
        </w:tc>
        <w:tc>
          <w:tcPr>
            <w:tcW w:w="2410" w:type="dxa"/>
            <w:tcBorders>
              <w:tl2br w:val="nil"/>
              <w:tr2bl w:val="nil"/>
            </w:tcBorders>
            <w:vAlign w:val="center"/>
          </w:tcPr>
          <w:p>
            <w:pPr>
              <w:pStyle w:val="22"/>
              <w:bidi w:val="0"/>
              <w:jc w:val="center"/>
              <w:rPr>
                <w:color w:val="auto"/>
              </w:rPr>
            </w:pPr>
            <w:r>
              <w:rPr>
                <w:color w:val="auto"/>
              </w:rPr>
              <w:t>10</w:t>
            </w:r>
          </w:p>
        </w:tc>
        <w:tc>
          <w:tcPr>
            <w:tcW w:w="2149" w:type="dxa"/>
            <w:tcBorders>
              <w:tl2br w:val="nil"/>
              <w:tr2bl w:val="nil"/>
            </w:tcBorders>
            <w:vAlign w:val="center"/>
          </w:tcPr>
          <w:p>
            <w:pPr>
              <w:pStyle w:val="22"/>
              <w:bidi w:val="0"/>
              <w:jc w:val="center"/>
              <w:rPr>
                <w:color w:val="auto"/>
              </w:rPr>
            </w:pPr>
            <w:r>
              <w:rPr>
                <w:color w:val="auto"/>
              </w:rPr>
              <w:t>1.5</w:t>
            </w:r>
          </w:p>
        </w:tc>
        <w:tc>
          <w:tcPr>
            <w:tcW w:w="1870" w:type="dxa"/>
            <w:tcBorders>
              <w:tl2br w:val="nil"/>
              <w:tr2bl w:val="nil"/>
            </w:tcBorders>
            <w:vAlign w:val="center"/>
          </w:tcPr>
          <w:p>
            <w:pPr>
              <w:pStyle w:val="22"/>
              <w:bidi w:val="0"/>
              <w:jc w:val="center"/>
              <w:rPr>
                <w:color w:val="auto"/>
              </w:rPr>
            </w:pPr>
            <w:r>
              <w:rPr>
                <w:color w:val="auto"/>
              </w:rPr>
              <w:t>0.00015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jc w:val="center"/>
        </w:trPr>
        <w:tc>
          <w:tcPr>
            <w:tcW w:w="677" w:type="dxa"/>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7</w:t>
            </w:r>
          </w:p>
        </w:tc>
        <w:tc>
          <w:tcPr>
            <w:tcW w:w="1416" w:type="dxa"/>
            <w:tcBorders>
              <w:tl2br w:val="nil"/>
              <w:tr2bl w:val="nil"/>
            </w:tcBorders>
            <w:vAlign w:val="center"/>
          </w:tcPr>
          <w:p>
            <w:pPr>
              <w:pStyle w:val="22"/>
              <w:bidi w:val="0"/>
              <w:jc w:val="center"/>
              <w:rPr>
                <w:color w:val="auto"/>
              </w:rPr>
            </w:pPr>
            <w:r>
              <w:rPr>
                <w:color w:val="auto"/>
              </w:rPr>
              <w:t>合计</w:t>
            </w:r>
          </w:p>
        </w:tc>
        <w:tc>
          <w:tcPr>
            <w:tcW w:w="2410" w:type="dxa"/>
            <w:tcBorders>
              <w:tl2br w:val="nil"/>
              <w:tr2bl w:val="nil"/>
            </w:tcBorders>
            <w:vAlign w:val="center"/>
          </w:tcPr>
          <w:p>
            <w:pPr>
              <w:pStyle w:val="22"/>
              <w:bidi w:val="0"/>
              <w:jc w:val="center"/>
              <w:rPr>
                <w:color w:val="auto"/>
              </w:rPr>
            </w:pPr>
          </w:p>
        </w:tc>
        <w:tc>
          <w:tcPr>
            <w:tcW w:w="2149" w:type="dxa"/>
            <w:tcBorders>
              <w:tl2br w:val="nil"/>
              <w:tr2bl w:val="nil"/>
            </w:tcBorders>
            <w:vAlign w:val="center"/>
          </w:tcPr>
          <w:p>
            <w:pPr>
              <w:pStyle w:val="22"/>
              <w:bidi w:val="0"/>
              <w:jc w:val="center"/>
              <w:rPr>
                <w:color w:val="auto"/>
              </w:rPr>
            </w:pPr>
          </w:p>
        </w:tc>
        <w:tc>
          <w:tcPr>
            <w:tcW w:w="1870" w:type="dxa"/>
            <w:tcBorders>
              <w:tl2br w:val="nil"/>
              <w:tr2bl w:val="nil"/>
            </w:tcBorders>
            <w:vAlign w:val="center"/>
          </w:tcPr>
          <w:p>
            <w:pPr>
              <w:pStyle w:val="22"/>
              <w:bidi w:val="0"/>
              <w:rPr>
                <w:rFonts w:hint="eastAsia"/>
                <w:color w:val="auto"/>
                <w:lang w:val="en-US" w:eastAsia="zh-CN"/>
              </w:rPr>
            </w:pPr>
            <w:r>
              <w:rPr>
                <w:rFonts w:hint="eastAsia"/>
                <w:color w:val="auto"/>
                <w:lang w:val="en-US" w:eastAsia="zh-CN"/>
              </w:rPr>
              <w:t>0.011075</w:t>
            </w:r>
          </w:p>
        </w:tc>
      </w:tr>
    </w:tbl>
    <w:p>
      <w:pPr>
        <w:pStyle w:val="5"/>
        <w:bidi w:val="0"/>
        <w:outlineLvl w:val="0"/>
        <w:rPr>
          <w:rFonts w:hint="default"/>
          <w:color w:val="auto"/>
          <w:lang w:val="en-US" w:eastAsia="zh-CN"/>
        </w:rPr>
      </w:pPr>
      <w:bookmarkStart w:id="30" w:name="_Toc27518"/>
      <w:r>
        <w:rPr>
          <w:rFonts w:hint="eastAsia"/>
          <w:color w:val="auto"/>
          <w:lang w:val="en-US" w:eastAsia="zh-CN"/>
        </w:rPr>
        <w:t>2.7评价范围</w:t>
      </w:r>
      <w:bookmarkEnd w:id="30"/>
    </w:p>
    <w:p>
      <w:pPr>
        <w:bidi w:val="0"/>
        <w:rPr>
          <w:color w:val="auto"/>
        </w:rPr>
      </w:pPr>
      <w:r>
        <w:rPr>
          <w:rFonts w:hint="eastAsia"/>
          <w:color w:val="auto"/>
          <w:lang w:val="en-US" w:eastAsia="zh-CN"/>
        </w:rPr>
        <w:t>根据《环境影响评价技术导则》的有关规定，并结合本项目的排污特点，项目周边自然、社会环境特征，对本项目的环境影响分析及评价等级的划分，确定本项目评价范围。</w:t>
      </w:r>
    </w:p>
    <w:p>
      <w:pPr>
        <w:pStyle w:val="6"/>
        <w:bidi w:val="0"/>
        <w:outlineLvl w:val="1"/>
        <w:rPr>
          <w:color w:val="auto"/>
        </w:rPr>
      </w:pPr>
      <w:bookmarkStart w:id="31" w:name="_Toc10941"/>
      <w:r>
        <w:rPr>
          <w:rFonts w:hint="eastAsia"/>
          <w:color w:val="auto"/>
          <w:lang w:val="en-US" w:eastAsia="zh-CN"/>
        </w:rPr>
        <w:t>2.7.1大气环境影响评价范围</w:t>
      </w:r>
      <w:bookmarkEnd w:id="31"/>
    </w:p>
    <w:p>
      <w:pPr>
        <w:bidi w:val="0"/>
        <w:jc w:val="left"/>
        <w:rPr>
          <w:color w:val="auto"/>
        </w:rPr>
      </w:pPr>
      <w:r>
        <w:rPr>
          <w:rFonts w:hint="eastAsia"/>
          <w:color w:val="auto"/>
          <w:lang w:val="en-US" w:eastAsia="zh-CN"/>
        </w:rPr>
        <w:t>根据《环境影响评价技术导则 大气环境》（</w:t>
      </w:r>
      <w:r>
        <w:rPr>
          <w:rFonts w:hint="default"/>
          <w:color w:val="auto"/>
          <w:lang w:val="en-US" w:eastAsia="zh-CN"/>
        </w:rPr>
        <w:t>HJ2.2-2018</w:t>
      </w:r>
      <w:r>
        <w:rPr>
          <w:rFonts w:hint="eastAsia"/>
          <w:color w:val="auto"/>
          <w:lang w:val="en-US" w:eastAsia="zh-CN"/>
        </w:rPr>
        <w:t>）中相关规定，本</w:t>
      </w:r>
    </w:p>
    <w:p>
      <w:pPr>
        <w:bidi w:val="0"/>
        <w:ind w:left="0" w:leftChars="0" w:firstLine="0" w:firstLineChars="0"/>
        <w:jc w:val="left"/>
        <w:rPr>
          <w:color w:val="auto"/>
        </w:rPr>
      </w:pPr>
      <w:r>
        <w:rPr>
          <w:rFonts w:hint="eastAsia"/>
          <w:color w:val="auto"/>
          <w:lang w:val="en-US" w:eastAsia="zh-CN"/>
        </w:rPr>
        <w:t>项目大气环境影响评价等级为三级。因此，本项目不需要设置大气环境影响评</w:t>
      </w:r>
    </w:p>
    <w:p>
      <w:pPr>
        <w:bidi w:val="0"/>
        <w:ind w:left="0" w:leftChars="0" w:firstLine="0" w:firstLineChars="0"/>
        <w:jc w:val="left"/>
        <w:rPr>
          <w:color w:val="auto"/>
        </w:rPr>
      </w:pPr>
      <w:r>
        <w:rPr>
          <w:rFonts w:hint="eastAsia"/>
          <w:color w:val="auto"/>
          <w:lang w:val="en-US" w:eastAsia="zh-CN"/>
        </w:rPr>
        <w:t>价范围</w:t>
      </w:r>
      <w:r>
        <w:rPr>
          <w:color w:val="auto"/>
        </w:rPr>
        <w:t>。</w:t>
      </w:r>
    </w:p>
    <w:p>
      <w:pPr>
        <w:pStyle w:val="6"/>
        <w:bidi w:val="0"/>
        <w:outlineLvl w:val="1"/>
        <w:rPr>
          <w:color w:val="auto"/>
        </w:rPr>
      </w:pPr>
      <w:bookmarkStart w:id="32" w:name="_Toc18040"/>
      <w:r>
        <w:rPr>
          <w:rFonts w:hint="eastAsia"/>
          <w:color w:val="auto"/>
          <w:lang w:val="en-US" w:eastAsia="zh-CN"/>
        </w:rPr>
        <w:t>2.7.2水环境影响评价范围</w:t>
      </w:r>
      <w:bookmarkEnd w:id="32"/>
    </w:p>
    <w:p>
      <w:pPr>
        <w:bidi w:val="0"/>
        <w:rPr>
          <w:color w:val="auto"/>
        </w:rPr>
      </w:pPr>
      <w:r>
        <w:rPr>
          <w:color w:val="auto"/>
        </w:rPr>
        <w:t>经现场踏勘得知，项目属于三级B项目，因此不进行地表水环境影响评价。水环境的评价对象主要是项目区的地下水，本项目为Ⅳ类项目。仅对项目区域地下水做简单分析。</w:t>
      </w:r>
    </w:p>
    <w:p>
      <w:pPr>
        <w:pStyle w:val="6"/>
        <w:bidi w:val="0"/>
        <w:outlineLvl w:val="1"/>
        <w:rPr>
          <w:color w:val="auto"/>
        </w:rPr>
      </w:pPr>
      <w:bookmarkStart w:id="33" w:name="_Toc21460"/>
      <w:r>
        <w:rPr>
          <w:rFonts w:hint="eastAsia"/>
          <w:color w:val="auto"/>
          <w:lang w:val="en-US" w:eastAsia="zh-CN"/>
        </w:rPr>
        <w:t>2.7.3声环境影响评价范围</w:t>
      </w:r>
      <w:bookmarkEnd w:id="33"/>
    </w:p>
    <w:p>
      <w:pPr>
        <w:bidi w:val="0"/>
        <w:rPr>
          <w:color w:val="auto"/>
        </w:rPr>
      </w:pPr>
      <w:r>
        <w:rPr>
          <w:rFonts w:hint="eastAsia"/>
          <w:color w:val="auto"/>
          <w:lang w:val="en-US" w:eastAsia="zh-CN"/>
        </w:rPr>
        <w:t>根据声环境评价工作等级和项目噪声源可能影响的区域，评价范围确定为场界外</w:t>
      </w:r>
      <w:r>
        <w:rPr>
          <w:rFonts w:hint="default"/>
          <w:color w:val="auto"/>
          <w:lang w:val="en-US" w:eastAsia="zh-CN"/>
        </w:rPr>
        <w:t>200m</w:t>
      </w:r>
      <w:r>
        <w:rPr>
          <w:rFonts w:hint="eastAsia"/>
          <w:color w:val="auto"/>
          <w:lang w:val="en-US" w:eastAsia="zh-CN"/>
        </w:rPr>
        <w:t>以内。</w:t>
      </w:r>
    </w:p>
    <w:p>
      <w:pPr>
        <w:pStyle w:val="6"/>
        <w:bidi w:val="0"/>
        <w:outlineLvl w:val="1"/>
        <w:rPr>
          <w:rFonts w:hint="default"/>
          <w:color w:val="auto"/>
          <w:lang w:val="en-US" w:eastAsia="zh-CN"/>
        </w:rPr>
      </w:pPr>
      <w:bookmarkStart w:id="34" w:name="_Toc842"/>
      <w:r>
        <w:rPr>
          <w:rFonts w:hint="eastAsia"/>
          <w:color w:val="auto"/>
          <w:lang w:val="en-US" w:eastAsia="zh-CN"/>
        </w:rPr>
        <w:t>2.7.4生态环境影响范围</w:t>
      </w:r>
      <w:bookmarkEnd w:id="34"/>
    </w:p>
    <w:p>
      <w:pPr>
        <w:bidi w:val="0"/>
        <w:rPr>
          <w:color w:val="auto"/>
        </w:rPr>
      </w:pPr>
      <w:r>
        <w:rPr>
          <w:color w:val="auto"/>
        </w:rPr>
        <w:t>根据</w:t>
      </w:r>
      <w:r>
        <w:rPr>
          <w:rFonts w:hint="eastAsia"/>
          <w:color w:val="auto"/>
          <w:lang w:val="en-US" w:eastAsia="zh-CN"/>
        </w:rPr>
        <w:t>《</w:t>
      </w:r>
      <w:r>
        <w:rPr>
          <w:color w:val="auto"/>
        </w:rPr>
        <w:t>环境影响评价技术导则 生态影响</w:t>
      </w:r>
      <w:r>
        <w:rPr>
          <w:rFonts w:hint="eastAsia"/>
          <w:color w:val="auto"/>
          <w:lang w:val="en-US" w:eastAsia="zh-CN"/>
        </w:rPr>
        <w:t>》（HJ 19—2022）</w:t>
      </w:r>
      <w:r>
        <w:rPr>
          <w:color w:val="auto"/>
        </w:rPr>
        <w:t>，项目的生态环境影响评价等级为三级，本次评价仅对建设项目所在的区域的生态环境影响进行简要分析，生态环境影响评价范围为</w:t>
      </w:r>
      <w:r>
        <w:rPr>
          <w:rFonts w:hint="eastAsia"/>
          <w:color w:val="auto"/>
          <w:lang w:val="en-US" w:eastAsia="zh-CN"/>
        </w:rPr>
        <w:t>项目区及用地边界外</w:t>
      </w:r>
      <w:r>
        <w:rPr>
          <w:rFonts w:hint="default"/>
          <w:color w:val="auto"/>
          <w:lang w:val="en-US" w:eastAsia="zh-CN"/>
        </w:rPr>
        <w:t>200m</w:t>
      </w:r>
      <w:r>
        <w:rPr>
          <w:rFonts w:hint="eastAsia"/>
          <w:color w:val="auto"/>
          <w:lang w:val="en-US" w:eastAsia="zh-CN"/>
        </w:rPr>
        <w:t>范围。</w:t>
      </w:r>
    </w:p>
    <w:p>
      <w:pPr>
        <w:pStyle w:val="6"/>
        <w:bidi w:val="0"/>
        <w:outlineLvl w:val="1"/>
        <w:rPr>
          <w:rFonts w:hint="eastAsia"/>
          <w:color w:val="auto"/>
          <w:lang w:val="en-US" w:eastAsia="zh-CN"/>
        </w:rPr>
      </w:pPr>
      <w:bookmarkStart w:id="35" w:name="_Toc17082"/>
      <w:r>
        <w:rPr>
          <w:rFonts w:hint="eastAsia"/>
          <w:color w:val="auto"/>
          <w:lang w:val="en-US" w:eastAsia="zh-CN"/>
        </w:rPr>
        <w:t>2.7.5土壤环境影响范围</w:t>
      </w:r>
      <w:bookmarkEnd w:id="35"/>
    </w:p>
    <w:p>
      <w:pPr>
        <w:bidi w:val="0"/>
        <w:rPr>
          <w:color w:val="auto"/>
        </w:rPr>
      </w:pPr>
      <w:r>
        <w:rPr>
          <w:color w:val="auto"/>
        </w:rPr>
        <w:t>按照《环境影响评价技术导则土壤环境》（HJ964-2018）中内容。本项目为Ⅳ类项目。可不开展土壤环境影响评价，本项目仅对现状环境进行简单描述。</w:t>
      </w:r>
    </w:p>
    <w:p>
      <w:pPr>
        <w:pStyle w:val="6"/>
        <w:bidi w:val="0"/>
        <w:outlineLvl w:val="1"/>
        <w:rPr>
          <w:color w:val="auto"/>
        </w:rPr>
      </w:pPr>
      <w:bookmarkStart w:id="36" w:name="_Toc23974"/>
      <w:r>
        <w:rPr>
          <w:rFonts w:hint="eastAsia"/>
          <w:color w:val="auto"/>
          <w:lang w:val="en-US" w:eastAsia="zh-CN"/>
        </w:rPr>
        <w:t>2.7.6环境风险影响评价范围</w:t>
      </w:r>
      <w:bookmarkEnd w:id="36"/>
    </w:p>
    <w:p>
      <w:pPr>
        <w:bidi w:val="0"/>
        <w:rPr>
          <w:color w:val="auto"/>
        </w:rPr>
      </w:pPr>
      <w:r>
        <w:rPr>
          <w:rFonts w:hint="eastAsia"/>
          <w:color w:val="auto"/>
          <w:lang w:val="en-US" w:eastAsia="zh-CN"/>
        </w:rPr>
        <w:t>本项目环境风险评价等级为简单分析，根据《建设项目环境风险评价技术导则》（HJ169-2018），不设环境风险评价范围。</w:t>
      </w:r>
    </w:p>
    <w:p>
      <w:pPr>
        <w:pStyle w:val="5"/>
        <w:bidi w:val="0"/>
        <w:outlineLvl w:val="0"/>
        <w:rPr>
          <w:color w:val="auto"/>
        </w:rPr>
      </w:pPr>
      <w:bookmarkStart w:id="37" w:name="_Toc31002"/>
      <w:r>
        <w:rPr>
          <w:rFonts w:hint="eastAsia"/>
          <w:color w:val="auto"/>
          <w:lang w:val="en-US" w:eastAsia="zh-CN"/>
        </w:rPr>
        <w:t>2.8</w:t>
      </w:r>
      <w:r>
        <w:rPr>
          <w:color w:val="auto"/>
        </w:rPr>
        <w:t>污染控制和环境保护目标</w:t>
      </w:r>
      <w:bookmarkEnd w:id="37"/>
    </w:p>
    <w:p>
      <w:pPr>
        <w:bidi w:val="0"/>
        <w:rPr>
          <w:color w:val="auto"/>
        </w:rPr>
      </w:pPr>
      <w:r>
        <w:rPr>
          <w:color w:val="auto"/>
        </w:rPr>
        <w:t>本项目评价范围内没有自然保护区、风景名胜区、世界文化和自然遗产地、饮用水水源保护区，没有以医疗卫生、文化教育、科研、行政办公等为主要功能的区域，也没有文物保护单位，具有特殊历史、文化、科学、民族意义的保护地，周围环境现状主要为</w:t>
      </w:r>
      <w:r>
        <w:rPr>
          <w:rFonts w:hint="eastAsia"/>
          <w:color w:val="auto"/>
          <w:lang w:val="en-US" w:eastAsia="zh-CN"/>
        </w:rPr>
        <w:t>小区</w:t>
      </w:r>
      <w:r>
        <w:rPr>
          <w:color w:val="auto"/>
        </w:rPr>
        <w:t>。</w:t>
      </w:r>
    </w:p>
    <w:p>
      <w:pPr>
        <w:bidi w:val="0"/>
        <w:rPr>
          <w:rFonts w:hint="default" w:eastAsia="宋体"/>
          <w:color w:val="auto"/>
          <w:lang w:val="en-US" w:eastAsia="zh-CN"/>
        </w:rPr>
      </w:pPr>
      <w:r>
        <w:rPr>
          <w:color w:val="auto"/>
        </w:rPr>
        <w:t>本项目环境保护目标汇总见下表，保护目标相对位置图详见</w:t>
      </w:r>
      <w:r>
        <w:rPr>
          <w:rFonts w:hint="eastAsia"/>
          <w:color w:val="auto"/>
          <w:lang w:val="en-US" w:eastAsia="zh-CN"/>
        </w:rPr>
        <w:t>附图3。</w:t>
      </w:r>
    </w:p>
    <w:p>
      <w:pPr>
        <w:pStyle w:val="22"/>
        <w:bidi w:val="0"/>
        <w:rPr>
          <w:b/>
          <w:bCs/>
          <w:color w:val="auto"/>
        </w:rPr>
      </w:pPr>
      <w:r>
        <w:rPr>
          <w:b/>
          <w:bCs/>
          <w:color w:val="auto"/>
        </w:rPr>
        <w:t>表2</w:t>
      </w:r>
      <w:r>
        <w:rPr>
          <w:rFonts w:hint="eastAsia"/>
          <w:b/>
          <w:bCs/>
          <w:color w:val="auto"/>
          <w:lang w:val="en-US" w:eastAsia="zh-CN"/>
        </w:rPr>
        <w:t>.8-1</w:t>
      </w:r>
      <w:r>
        <w:rPr>
          <w:b/>
          <w:bCs/>
          <w:color w:val="auto"/>
        </w:rPr>
        <w:t>本项目环境保护目标</w:t>
      </w:r>
    </w:p>
    <w:p>
      <w:pPr>
        <w:spacing w:line="35" w:lineRule="exact"/>
        <w:rPr>
          <w:color w:val="auto"/>
        </w:rPr>
      </w:pPr>
    </w:p>
    <w:tbl>
      <w:tblPr>
        <w:tblStyle w:val="23"/>
        <w:tblW w:w="84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5"/>
        <w:gridCol w:w="2070"/>
        <w:gridCol w:w="1102"/>
        <w:gridCol w:w="1338"/>
        <w:gridCol w:w="26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jc w:val="center"/>
        </w:trPr>
        <w:tc>
          <w:tcPr>
            <w:tcW w:w="1245" w:type="dxa"/>
            <w:tcBorders>
              <w:tl2br w:val="nil"/>
              <w:tr2bl w:val="nil"/>
            </w:tcBorders>
            <w:vAlign w:val="center"/>
          </w:tcPr>
          <w:p>
            <w:pPr>
              <w:pStyle w:val="22"/>
              <w:bidi w:val="0"/>
              <w:jc w:val="center"/>
              <w:rPr>
                <w:b/>
                <w:bCs/>
                <w:color w:val="auto"/>
                <w:highlight w:val="none"/>
              </w:rPr>
            </w:pPr>
            <w:r>
              <w:rPr>
                <w:b/>
                <w:bCs/>
                <w:color w:val="auto"/>
                <w:highlight w:val="none"/>
              </w:rPr>
              <w:t>环境要素</w:t>
            </w:r>
          </w:p>
        </w:tc>
        <w:tc>
          <w:tcPr>
            <w:tcW w:w="2070" w:type="dxa"/>
            <w:tcBorders>
              <w:tl2br w:val="nil"/>
              <w:tr2bl w:val="nil"/>
            </w:tcBorders>
            <w:vAlign w:val="center"/>
          </w:tcPr>
          <w:p>
            <w:pPr>
              <w:pStyle w:val="22"/>
              <w:bidi w:val="0"/>
              <w:jc w:val="center"/>
              <w:rPr>
                <w:b/>
                <w:bCs/>
                <w:color w:val="auto"/>
                <w:highlight w:val="none"/>
              </w:rPr>
            </w:pPr>
            <w:r>
              <w:rPr>
                <w:b/>
                <w:bCs/>
                <w:color w:val="auto"/>
                <w:highlight w:val="none"/>
              </w:rPr>
              <w:t>名称</w:t>
            </w:r>
          </w:p>
        </w:tc>
        <w:tc>
          <w:tcPr>
            <w:tcW w:w="1102" w:type="dxa"/>
            <w:tcBorders>
              <w:tl2br w:val="nil"/>
              <w:tr2bl w:val="nil"/>
            </w:tcBorders>
            <w:vAlign w:val="center"/>
          </w:tcPr>
          <w:p>
            <w:pPr>
              <w:pStyle w:val="22"/>
              <w:bidi w:val="0"/>
              <w:jc w:val="center"/>
              <w:rPr>
                <w:b/>
                <w:bCs/>
                <w:color w:val="auto"/>
                <w:highlight w:val="none"/>
              </w:rPr>
            </w:pPr>
            <w:r>
              <w:rPr>
                <w:b/>
                <w:bCs/>
                <w:color w:val="auto"/>
                <w:highlight w:val="none"/>
              </w:rPr>
              <w:t>方位</w:t>
            </w:r>
          </w:p>
        </w:tc>
        <w:tc>
          <w:tcPr>
            <w:tcW w:w="1338" w:type="dxa"/>
            <w:tcBorders>
              <w:tl2br w:val="nil"/>
              <w:tr2bl w:val="nil"/>
            </w:tcBorders>
            <w:vAlign w:val="center"/>
          </w:tcPr>
          <w:p>
            <w:pPr>
              <w:pStyle w:val="22"/>
              <w:bidi w:val="0"/>
              <w:jc w:val="center"/>
              <w:rPr>
                <w:b/>
                <w:bCs/>
                <w:color w:val="auto"/>
                <w:highlight w:val="none"/>
              </w:rPr>
            </w:pPr>
            <w:r>
              <w:rPr>
                <w:b/>
                <w:bCs/>
                <w:color w:val="auto"/>
                <w:highlight w:val="none"/>
              </w:rPr>
              <w:t>距离（m）</w:t>
            </w:r>
          </w:p>
        </w:tc>
        <w:tc>
          <w:tcPr>
            <w:tcW w:w="2669" w:type="dxa"/>
            <w:tcBorders>
              <w:tl2br w:val="nil"/>
              <w:tr2bl w:val="nil"/>
            </w:tcBorders>
            <w:vAlign w:val="center"/>
          </w:tcPr>
          <w:p>
            <w:pPr>
              <w:pStyle w:val="22"/>
              <w:bidi w:val="0"/>
              <w:jc w:val="center"/>
              <w:rPr>
                <w:b/>
                <w:bCs/>
                <w:color w:val="auto"/>
                <w:highlight w:val="none"/>
              </w:rPr>
            </w:pPr>
            <w:r>
              <w:rPr>
                <w:b/>
                <w:bCs/>
                <w:color w:val="auto"/>
                <w:highlight w:val="none"/>
              </w:rPr>
              <w:t>环境功能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 w:hRule="atLeast"/>
          <w:jc w:val="center"/>
        </w:trPr>
        <w:tc>
          <w:tcPr>
            <w:tcW w:w="1245" w:type="dxa"/>
            <w:vMerge w:val="restart"/>
            <w:tcBorders>
              <w:tl2br w:val="nil"/>
              <w:tr2bl w:val="nil"/>
            </w:tcBorders>
            <w:vAlign w:val="center"/>
          </w:tcPr>
          <w:p>
            <w:pPr>
              <w:pStyle w:val="22"/>
              <w:bidi w:val="0"/>
              <w:jc w:val="center"/>
              <w:rPr>
                <w:color w:val="auto"/>
                <w:highlight w:val="none"/>
              </w:rPr>
            </w:pPr>
            <w:r>
              <w:rPr>
                <w:color w:val="auto"/>
                <w:highlight w:val="none"/>
              </w:rPr>
              <w:t>环境空气</w:t>
            </w:r>
          </w:p>
        </w:tc>
        <w:tc>
          <w:tcPr>
            <w:tcW w:w="2070" w:type="dxa"/>
            <w:tcBorders>
              <w:tl2br w:val="nil"/>
              <w:tr2bl w:val="nil"/>
            </w:tcBorders>
            <w:vAlign w:val="center"/>
          </w:tcPr>
          <w:p>
            <w:pPr>
              <w:pStyle w:val="22"/>
              <w:bidi w:val="0"/>
              <w:jc w:val="center"/>
              <w:rPr>
                <w:rFonts w:hint="default" w:eastAsia="宋体"/>
                <w:color w:val="auto"/>
                <w:highlight w:val="none"/>
                <w:lang w:val="en-US" w:eastAsia="zh-CN"/>
              </w:rPr>
            </w:pPr>
            <w:r>
              <w:rPr>
                <w:rFonts w:hint="eastAsia"/>
                <w:color w:val="auto"/>
                <w:highlight w:val="none"/>
                <w:lang w:val="en-US" w:eastAsia="zh-CN"/>
              </w:rPr>
              <w:t>皮山农场昆泉九号小区</w:t>
            </w:r>
          </w:p>
        </w:tc>
        <w:tc>
          <w:tcPr>
            <w:tcW w:w="1102" w:type="dxa"/>
            <w:tcBorders>
              <w:tl2br w:val="nil"/>
              <w:tr2bl w:val="nil"/>
            </w:tcBorders>
            <w:vAlign w:val="center"/>
          </w:tcPr>
          <w:p>
            <w:pPr>
              <w:pStyle w:val="22"/>
              <w:bidi w:val="0"/>
              <w:jc w:val="center"/>
              <w:rPr>
                <w:rFonts w:hint="eastAsia" w:eastAsia="宋体"/>
                <w:color w:val="auto"/>
                <w:highlight w:val="none"/>
                <w:lang w:eastAsia="zh-CN"/>
              </w:rPr>
            </w:pPr>
            <w:r>
              <w:rPr>
                <w:rFonts w:hint="eastAsia"/>
                <w:color w:val="auto"/>
                <w:highlight w:val="none"/>
                <w:lang w:val="en-US" w:eastAsia="zh-CN"/>
              </w:rPr>
              <w:t>N</w:t>
            </w:r>
          </w:p>
        </w:tc>
        <w:tc>
          <w:tcPr>
            <w:tcW w:w="1338" w:type="dxa"/>
            <w:tcBorders>
              <w:tl2br w:val="nil"/>
              <w:tr2bl w:val="nil"/>
            </w:tcBorders>
            <w:vAlign w:val="center"/>
          </w:tcPr>
          <w:p>
            <w:pPr>
              <w:pStyle w:val="22"/>
              <w:bidi w:val="0"/>
              <w:jc w:val="center"/>
              <w:rPr>
                <w:rFonts w:hint="default" w:eastAsia="宋体"/>
                <w:color w:val="auto"/>
                <w:highlight w:val="none"/>
                <w:lang w:val="en-US" w:eastAsia="zh-CN"/>
              </w:rPr>
            </w:pPr>
            <w:r>
              <w:rPr>
                <w:rFonts w:hint="eastAsia"/>
                <w:color w:val="auto"/>
                <w:highlight w:val="none"/>
                <w:lang w:val="en-US" w:eastAsia="zh-CN"/>
              </w:rPr>
              <w:t>150</w:t>
            </w:r>
          </w:p>
        </w:tc>
        <w:tc>
          <w:tcPr>
            <w:tcW w:w="2669" w:type="dxa"/>
            <w:vMerge w:val="restart"/>
            <w:tcBorders>
              <w:tl2br w:val="nil"/>
              <w:tr2bl w:val="nil"/>
            </w:tcBorders>
            <w:vAlign w:val="center"/>
          </w:tcPr>
          <w:p>
            <w:pPr>
              <w:pStyle w:val="22"/>
              <w:bidi w:val="0"/>
              <w:jc w:val="center"/>
              <w:rPr>
                <w:color w:val="auto"/>
                <w:highlight w:val="none"/>
              </w:rPr>
            </w:pPr>
            <w:r>
              <w:rPr>
                <w:color w:val="auto"/>
                <w:highlight w:val="none"/>
              </w:rPr>
              <w:t>《环境空气质量标准》（GB3095-2012）二级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 w:hRule="atLeast"/>
          <w:jc w:val="center"/>
        </w:trPr>
        <w:tc>
          <w:tcPr>
            <w:tcW w:w="1245" w:type="dxa"/>
            <w:vMerge w:val="continue"/>
            <w:tcBorders>
              <w:tl2br w:val="nil"/>
              <w:tr2bl w:val="nil"/>
            </w:tcBorders>
            <w:vAlign w:val="center"/>
          </w:tcPr>
          <w:p>
            <w:pPr>
              <w:pStyle w:val="22"/>
              <w:bidi w:val="0"/>
              <w:jc w:val="center"/>
              <w:rPr>
                <w:color w:val="auto"/>
                <w:highlight w:val="none"/>
              </w:rPr>
            </w:pPr>
          </w:p>
        </w:tc>
        <w:tc>
          <w:tcPr>
            <w:tcW w:w="2070" w:type="dxa"/>
            <w:tcBorders>
              <w:tl2br w:val="nil"/>
              <w:tr2bl w:val="nil"/>
            </w:tcBorders>
            <w:vAlign w:val="center"/>
          </w:tcPr>
          <w:p>
            <w:pPr>
              <w:pStyle w:val="22"/>
              <w:bidi w:val="0"/>
              <w:jc w:val="center"/>
              <w:rPr>
                <w:color w:val="auto"/>
                <w:highlight w:val="none"/>
              </w:rPr>
            </w:pPr>
            <w:r>
              <w:rPr>
                <w:rFonts w:hint="eastAsia"/>
                <w:color w:val="auto"/>
                <w:highlight w:val="none"/>
                <w:lang w:val="en-US" w:eastAsia="zh-CN"/>
              </w:rPr>
              <w:t>皮山农场五号小区</w:t>
            </w:r>
          </w:p>
        </w:tc>
        <w:tc>
          <w:tcPr>
            <w:tcW w:w="1102" w:type="dxa"/>
            <w:tcBorders>
              <w:tl2br w:val="nil"/>
              <w:tr2bl w:val="nil"/>
            </w:tcBorders>
            <w:vAlign w:val="center"/>
          </w:tcPr>
          <w:p>
            <w:pPr>
              <w:pStyle w:val="22"/>
              <w:bidi w:val="0"/>
              <w:jc w:val="center"/>
              <w:rPr>
                <w:rFonts w:hint="default" w:eastAsia="宋体"/>
                <w:color w:val="auto"/>
                <w:highlight w:val="none"/>
                <w:lang w:val="en-US" w:eastAsia="zh-CN"/>
              </w:rPr>
            </w:pPr>
            <w:r>
              <w:rPr>
                <w:rFonts w:hint="eastAsia"/>
                <w:color w:val="auto"/>
                <w:highlight w:val="none"/>
                <w:lang w:val="en-US" w:eastAsia="zh-CN"/>
              </w:rPr>
              <w:t>W</w:t>
            </w:r>
          </w:p>
        </w:tc>
        <w:tc>
          <w:tcPr>
            <w:tcW w:w="1338" w:type="dxa"/>
            <w:tcBorders>
              <w:tl2br w:val="nil"/>
              <w:tr2bl w:val="nil"/>
            </w:tcBorders>
            <w:vAlign w:val="center"/>
          </w:tcPr>
          <w:p>
            <w:pPr>
              <w:pStyle w:val="22"/>
              <w:bidi w:val="0"/>
              <w:jc w:val="center"/>
              <w:rPr>
                <w:rFonts w:hint="default" w:eastAsia="宋体"/>
                <w:color w:val="auto"/>
                <w:highlight w:val="none"/>
                <w:lang w:val="en-US" w:eastAsia="zh-CN"/>
              </w:rPr>
            </w:pPr>
            <w:r>
              <w:rPr>
                <w:rFonts w:hint="eastAsia"/>
                <w:color w:val="auto"/>
                <w:highlight w:val="none"/>
                <w:lang w:val="en-US" w:eastAsia="zh-CN"/>
              </w:rPr>
              <w:t>210</w:t>
            </w:r>
          </w:p>
        </w:tc>
        <w:tc>
          <w:tcPr>
            <w:tcW w:w="2669" w:type="dxa"/>
            <w:vMerge w:val="continue"/>
            <w:tcBorders>
              <w:tl2br w:val="nil"/>
              <w:tr2bl w:val="nil"/>
            </w:tcBorders>
            <w:vAlign w:val="center"/>
          </w:tcPr>
          <w:p>
            <w:pPr>
              <w:pStyle w:val="22"/>
              <w:bidi w:val="0"/>
              <w:jc w:val="cente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1245" w:type="dxa"/>
            <w:vMerge w:val="continue"/>
            <w:tcBorders>
              <w:tl2br w:val="nil"/>
              <w:tr2bl w:val="nil"/>
            </w:tcBorders>
            <w:vAlign w:val="center"/>
          </w:tcPr>
          <w:p>
            <w:pPr>
              <w:pStyle w:val="22"/>
              <w:bidi w:val="0"/>
              <w:jc w:val="center"/>
              <w:rPr>
                <w:color w:val="auto"/>
                <w:highlight w:val="none"/>
              </w:rPr>
            </w:pPr>
          </w:p>
        </w:tc>
        <w:tc>
          <w:tcPr>
            <w:tcW w:w="2070" w:type="dxa"/>
            <w:tcBorders>
              <w:tl2br w:val="nil"/>
              <w:tr2bl w:val="nil"/>
            </w:tcBorders>
            <w:vAlign w:val="center"/>
          </w:tcPr>
          <w:p>
            <w:pPr>
              <w:pStyle w:val="22"/>
              <w:bidi w:val="0"/>
              <w:jc w:val="center"/>
              <w:rPr>
                <w:rFonts w:hint="default" w:eastAsia="宋体"/>
                <w:color w:val="auto"/>
                <w:highlight w:val="none"/>
                <w:lang w:val="en-US" w:eastAsia="zh-CN"/>
              </w:rPr>
            </w:pPr>
            <w:r>
              <w:rPr>
                <w:rFonts w:hint="eastAsia"/>
                <w:color w:val="auto"/>
                <w:highlight w:val="none"/>
                <w:lang w:val="en-US" w:eastAsia="zh-CN"/>
              </w:rPr>
              <w:t>美德小区</w:t>
            </w:r>
          </w:p>
        </w:tc>
        <w:tc>
          <w:tcPr>
            <w:tcW w:w="1102" w:type="dxa"/>
            <w:tcBorders>
              <w:tl2br w:val="nil"/>
              <w:tr2bl w:val="nil"/>
            </w:tcBorders>
            <w:vAlign w:val="center"/>
          </w:tcPr>
          <w:p>
            <w:pPr>
              <w:pStyle w:val="22"/>
              <w:bidi w:val="0"/>
              <w:jc w:val="center"/>
              <w:rPr>
                <w:rFonts w:hint="default" w:eastAsia="宋体"/>
                <w:color w:val="auto"/>
                <w:highlight w:val="none"/>
                <w:lang w:val="en-US" w:eastAsia="zh-CN"/>
              </w:rPr>
            </w:pPr>
            <w:r>
              <w:rPr>
                <w:rFonts w:hint="eastAsia"/>
                <w:color w:val="auto"/>
                <w:highlight w:val="none"/>
                <w:lang w:val="en-US" w:eastAsia="zh-CN"/>
              </w:rPr>
              <w:t>S</w:t>
            </w:r>
          </w:p>
        </w:tc>
        <w:tc>
          <w:tcPr>
            <w:tcW w:w="1338" w:type="dxa"/>
            <w:tcBorders>
              <w:tl2br w:val="nil"/>
              <w:tr2bl w:val="nil"/>
            </w:tcBorders>
            <w:vAlign w:val="center"/>
          </w:tcPr>
          <w:p>
            <w:pPr>
              <w:pStyle w:val="22"/>
              <w:bidi w:val="0"/>
              <w:jc w:val="center"/>
              <w:rPr>
                <w:color w:val="auto"/>
                <w:highlight w:val="none"/>
              </w:rPr>
            </w:pPr>
            <w:r>
              <w:rPr>
                <w:rFonts w:hint="eastAsia"/>
                <w:color w:val="auto"/>
                <w:highlight w:val="none"/>
                <w:lang w:val="en-US" w:eastAsia="zh-CN"/>
              </w:rPr>
              <w:t>680</w:t>
            </w:r>
          </w:p>
        </w:tc>
        <w:tc>
          <w:tcPr>
            <w:tcW w:w="2669" w:type="dxa"/>
            <w:vMerge w:val="continue"/>
            <w:tcBorders>
              <w:tl2br w:val="nil"/>
              <w:tr2bl w:val="nil"/>
            </w:tcBorders>
            <w:vAlign w:val="center"/>
          </w:tcPr>
          <w:p>
            <w:pPr>
              <w:pStyle w:val="22"/>
              <w:bidi w:val="0"/>
              <w:jc w:val="cente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1245" w:type="dxa"/>
            <w:vMerge w:val="continue"/>
            <w:tcBorders>
              <w:tl2br w:val="nil"/>
              <w:tr2bl w:val="nil"/>
            </w:tcBorders>
            <w:vAlign w:val="center"/>
          </w:tcPr>
          <w:p>
            <w:pPr>
              <w:pStyle w:val="22"/>
              <w:bidi w:val="0"/>
              <w:jc w:val="center"/>
              <w:rPr>
                <w:color w:val="auto"/>
                <w:highlight w:val="none"/>
              </w:rPr>
            </w:pPr>
          </w:p>
        </w:tc>
        <w:tc>
          <w:tcPr>
            <w:tcW w:w="2070"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皮山农场昌盛小区</w:t>
            </w:r>
          </w:p>
        </w:tc>
        <w:tc>
          <w:tcPr>
            <w:tcW w:w="1102"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WS</w:t>
            </w:r>
          </w:p>
        </w:tc>
        <w:tc>
          <w:tcPr>
            <w:tcW w:w="1338"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820</w:t>
            </w:r>
          </w:p>
        </w:tc>
        <w:tc>
          <w:tcPr>
            <w:tcW w:w="2669" w:type="dxa"/>
            <w:vMerge w:val="continue"/>
            <w:tcBorders>
              <w:tl2br w:val="nil"/>
              <w:tr2bl w:val="nil"/>
            </w:tcBorders>
            <w:vAlign w:val="center"/>
          </w:tcPr>
          <w:p>
            <w:pPr>
              <w:pStyle w:val="22"/>
              <w:bidi w:val="0"/>
              <w:jc w:val="cente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1245" w:type="dxa"/>
            <w:vMerge w:val="continue"/>
            <w:tcBorders>
              <w:tl2br w:val="nil"/>
              <w:tr2bl w:val="nil"/>
            </w:tcBorders>
            <w:vAlign w:val="center"/>
          </w:tcPr>
          <w:p>
            <w:pPr>
              <w:pStyle w:val="22"/>
              <w:bidi w:val="0"/>
              <w:jc w:val="center"/>
              <w:rPr>
                <w:color w:val="auto"/>
                <w:highlight w:val="none"/>
              </w:rPr>
            </w:pPr>
          </w:p>
        </w:tc>
        <w:tc>
          <w:tcPr>
            <w:tcW w:w="2070"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和谐小区</w:t>
            </w:r>
          </w:p>
        </w:tc>
        <w:tc>
          <w:tcPr>
            <w:tcW w:w="1102"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WS</w:t>
            </w:r>
          </w:p>
        </w:tc>
        <w:tc>
          <w:tcPr>
            <w:tcW w:w="1338"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980</w:t>
            </w:r>
          </w:p>
        </w:tc>
        <w:tc>
          <w:tcPr>
            <w:tcW w:w="2669" w:type="dxa"/>
            <w:vMerge w:val="continue"/>
            <w:tcBorders>
              <w:tl2br w:val="nil"/>
              <w:tr2bl w:val="nil"/>
            </w:tcBorders>
            <w:vAlign w:val="center"/>
          </w:tcPr>
          <w:p>
            <w:pPr>
              <w:pStyle w:val="22"/>
              <w:bidi w:val="0"/>
              <w:jc w:val="cente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1245" w:type="dxa"/>
            <w:vMerge w:val="continue"/>
            <w:tcBorders>
              <w:tl2br w:val="nil"/>
              <w:tr2bl w:val="nil"/>
            </w:tcBorders>
            <w:vAlign w:val="center"/>
          </w:tcPr>
          <w:p>
            <w:pPr>
              <w:pStyle w:val="22"/>
              <w:bidi w:val="0"/>
              <w:jc w:val="center"/>
              <w:rPr>
                <w:color w:val="auto"/>
                <w:highlight w:val="none"/>
              </w:rPr>
            </w:pPr>
          </w:p>
        </w:tc>
        <w:tc>
          <w:tcPr>
            <w:tcW w:w="2070"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瑞祥小区</w:t>
            </w:r>
          </w:p>
        </w:tc>
        <w:tc>
          <w:tcPr>
            <w:tcW w:w="1102"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W</w:t>
            </w:r>
          </w:p>
        </w:tc>
        <w:tc>
          <w:tcPr>
            <w:tcW w:w="1338"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1085</w:t>
            </w:r>
          </w:p>
        </w:tc>
        <w:tc>
          <w:tcPr>
            <w:tcW w:w="2669" w:type="dxa"/>
            <w:vMerge w:val="continue"/>
            <w:tcBorders>
              <w:tl2br w:val="nil"/>
              <w:tr2bl w:val="nil"/>
            </w:tcBorders>
            <w:vAlign w:val="center"/>
          </w:tcPr>
          <w:p>
            <w:pPr>
              <w:pStyle w:val="22"/>
              <w:bidi w:val="0"/>
              <w:jc w:val="cente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1245" w:type="dxa"/>
            <w:vMerge w:val="continue"/>
            <w:tcBorders>
              <w:tl2br w:val="nil"/>
              <w:tr2bl w:val="nil"/>
            </w:tcBorders>
            <w:vAlign w:val="center"/>
          </w:tcPr>
          <w:p>
            <w:pPr>
              <w:pStyle w:val="22"/>
              <w:bidi w:val="0"/>
              <w:jc w:val="center"/>
              <w:rPr>
                <w:color w:val="auto"/>
                <w:highlight w:val="none"/>
              </w:rPr>
            </w:pPr>
          </w:p>
        </w:tc>
        <w:tc>
          <w:tcPr>
            <w:tcW w:w="2070" w:type="dxa"/>
            <w:tcBorders>
              <w:tl2br w:val="nil"/>
              <w:tr2bl w:val="nil"/>
            </w:tcBorders>
            <w:vAlign w:val="center"/>
          </w:tcPr>
          <w:p>
            <w:pPr>
              <w:pStyle w:val="22"/>
              <w:bidi w:val="0"/>
              <w:jc w:val="center"/>
              <w:rPr>
                <w:rFonts w:hint="eastAsia"/>
                <w:color w:val="auto"/>
                <w:highlight w:val="none"/>
                <w:lang w:val="en-US" w:eastAsia="zh-CN"/>
              </w:rPr>
            </w:pPr>
            <w:r>
              <w:rPr>
                <w:rFonts w:hint="eastAsia"/>
                <w:color w:val="auto"/>
                <w:highlight w:val="none"/>
                <w:lang w:val="en-US" w:eastAsia="zh-CN"/>
              </w:rPr>
              <w:t>皮山农场四号小区</w:t>
            </w:r>
          </w:p>
        </w:tc>
        <w:tc>
          <w:tcPr>
            <w:tcW w:w="1102"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S</w:t>
            </w:r>
          </w:p>
        </w:tc>
        <w:tc>
          <w:tcPr>
            <w:tcW w:w="1338"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380</w:t>
            </w:r>
          </w:p>
        </w:tc>
        <w:tc>
          <w:tcPr>
            <w:tcW w:w="2669" w:type="dxa"/>
            <w:vMerge w:val="continue"/>
            <w:tcBorders>
              <w:tl2br w:val="nil"/>
              <w:tr2bl w:val="nil"/>
            </w:tcBorders>
            <w:vAlign w:val="center"/>
          </w:tcPr>
          <w:p>
            <w:pPr>
              <w:pStyle w:val="22"/>
              <w:bidi w:val="0"/>
              <w:jc w:val="cente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1245" w:type="dxa"/>
            <w:vMerge w:val="continue"/>
            <w:tcBorders>
              <w:tl2br w:val="nil"/>
              <w:tr2bl w:val="nil"/>
            </w:tcBorders>
            <w:vAlign w:val="center"/>
          </w:tcPr>
          <w:p>
            <w:pPr>
              <w:pStyle w:val="22"/>
              <w:bidi w:val="0"/>
              <w:jc w:val="center"/>
              <w:rPr>
                <w:color w:val="auto"/>
                <w:highlight w:val="none"/>
              </w:rPr>
            </w:pPr>
          </w:p>
        </w:tc>
        <w:tc>
          <w:tcPr>
            <w:tcW w:w="2070"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昆泉小区</w:t>
            </w:r>
          </w:p>
        </w:tc>
        <w:tc>
          <w:tcPr>
            <w:tcW w:w="1102"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WN</w:t>
            </w:r>
          </w:p>
        </w:tc>
        <w:tc>
          <w:tcPr>
            <w:tcW w:w="1338"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330</w:t>
            </w:r>
          </w:p>
        </w:tc>
        <w:tc>
          <w:tcPr>
            <w:tcW w:w="2669" w:type="dxa"/>
            <w:vMerge w:val="continue"/>
            <w:tcBorders>
              <w:tl2br w:val="nil"/>
              <w:tr2bl w:val="nil"/>
            </w:tcBorders>
            <w:vAlign w:val="center"/>
          </w:tcPr>
          <w:p>
            <w:pPr>
              <w:pStyle w:val="22"/>
              <w:bidi w:val="0"/>
              <w:jc w:val="cente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1245" w:type="dxa"/>
            <w:vMerge w:val="continue"/>
            <w:tcBorders>
              <w:tl2br w:val="nil"/>
              <w:tr2bl w:val="nil"/>
            </w:tcBorders>
            <w:vAlign w:val="center"/>
          </w:tcPr>
          <w:p>
            <w:pPr>
              <w:pStyle w:val="22"/>
              <w:bidi w:val="0"/>
              <w:jc w:val="center"/>
              <w:rPr>
                <w:color w:val="auto"/>
                <w:highlight w:val="none"/>
              </w:rPr>
            </w:pPr>
          </w:p>
        </w:tc>
        <w:tc>
          <w:tcPr>
            <w:tcW w:w="2070"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皮山农场中学</w:t>
            </w:r>
          </w:p>
        </w:tc>
        <w:tc>
          <w:tcPr>
            <w:tcW w:w="1102"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W</w:t>
            </w:r>
          </w:p>
        </w:tc>
        <w:tc>
          <w:tcPr>
            <w:tcW w:w="1338"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680</w:t>
            </w:r>
          </w:p>
        </w:tc>
        <w:tc>
          <w:tcPr>
            <w:tcW w:w="2669" w:type="dxa"/>
            <w:vMerge w:val="continue"/>
            <w:tcBorders>
              <w:tl2br w:val="nil"/>
              <w:tr2bl w:val="nil"/>
            </w:tcBorders>
            <w:vAlign w:val="center"/>
          </w:tcPr>
          <w:p>
            <w:pPr>
              <w:pStyle w:val="22"/>
              <w:bidi w:val="0"/>
              <w:jc w:val="cente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2" w:hRule="atLeast"/>
          <w:jc w:val="center"/>
        </w:trPr>
        <w:tc>
          <w:tcPr>
            <w:tcW w:w="1245" w:type="dxa"/>
            <w:vMerge w:val="continue"/>
            <w:tcBorders>
              <w:tl2br w:val="nil"/>
              <w:tr2bl w:val="nil"/>
            </w:tcBorders>
            <w:vAlign w:val="center"/>
          </w:tcPr>
          <w:p>
            <w:pPr>
              <w:pStyle w:val="22"/>
              <w:bidi w:val="0"/>
              <w:jc w:val="center"/>
              <w:rPr>
                <w:color w:val="auto"/>
                <w:highlight w:val="none"/>
              </w:rPr>
            </w:pPr>
          </w:p>
        </w:tc>
        <w:tc>
          <w:tcPr>
            <w:tcW w:w="2070"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昆泉镇派出所</w:t>
            </w:r>
          </w:p>
        </w:tc>
        <w:tc>
          <w:tcPr>
            <w:tcW w:w="1102"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WS</w:t>
            </w:r>
          </w:p>
        </w:tc>
        <w:tc>
          <w:tcPr>
            <w:tcW w:w="1338"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650</w:t>
            </w:r>
          </w:p>
        </w:tc>
        <w:tc>
          <w:tcPr>
            <w:tcW w:w="2669" w:type="dxa"/>
            <w:vMerge w:val="continue"/>
            <w:tcBorders>
              <w:tl2br w:val="nil"/>
              <w:tr2bl w:val="nil"/>
            </w:tcBorders>
            <w:vAlign w:val="center"/>
          </w:tcPr>
          <w:p>
            <w:pPr>
              <w:pStyle w:val="22"/>
              <w:bidi w:val="0"/>
              <w:jc w:val="cente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1245" w:type="dxa"/>
            <w:vMerge w:val="continue"/>
            <w:tcBorders>
              <w:tl2br w:val="nil"/>
              <w:tr2bl w:val="nil"/>
            </w:tcBorders>
            <w:vAlign w:val="center"/>
          </w:tcPr>
          <w:p>
            <w:pPr>
              <w:pStyle w:val="22"/>
              <w:bidi w:val="0"/>
              <w:jc w:val="center"/>
              <w:rPr>
                <w:color w:val="auto"/>
                <w:highlight w:val="none"/>
              </w:rPr>
            </w:pPr>
          </w:p>
        </w:tc>
        <w:tc>
          <w:tcPr>
            <w:tcW w:w="2070"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第十四师无花果产业园</w:t>
            </w:r>
          </w:p>
        </w:tc>
        <w:tc>
          <w:tcPr>
            <w:tcW w:w="1102"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WS</w:t>
            </w:r>
          </w:p>
        </w:tc>
        <w:tc>
          <w:tcPr>
            <w:tcW w:w="1338"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1220</w:t>
            </w:r>
          </w:p>
        </w:tc>
        <w:tc>
          <w:tcPr>
            <w:tcW w:w="2669" w:type="dxa"/>
            <w:vMerge w:val="continue"/>
            <w:tcBorders>
              <w:tl2br w:val="nil"/>
              <w:tr2bl w:val="nil"/>
            </w:tcBorders>
            <w:vAlign w:val="center"/>
          </w:tcPr>
          <w:p>
            <w:pPr>
              <w:pStyle w:val="22"/>
              <w:bidi w:val="0"/>
              <w:jc w:val="cente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1245" w:type="dxa"/>
            <w:vMerge w:val="continue"/>
            <w:tcBorders>
              <w:tl2br w:val="nil"/>
              <w:tr2bl w:val="nil"/>
            </w:tcBorders>
            <w:vAlign w:val="center"/>
          </w:tcPr>
          <w:p>
            <w:pPr>
              <w:pStyle w:val="22"/>
              <w:bidi w:val="0"/>
              <w:jc w:val="center"/>
              <w:rPr>
                <w:color w:val="auto"/>
                <w:highlight w:val="none"/>
              </w:rPr>
            </w:pPr>
          </w:p>
        </w:tc>
        <w:tc>
          <w:tcPr>
            <w:tcW w:w="2070"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农场小区</w:t>
            </w:r>
          </w:p>
        </w:tc>
        <w:tc>
          <w:tcPr>
            <w:tcW w:w="1102"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W</w:t>
            </w:r>
          </w:p>
        </w:tc>
        <w:tc>
          <w:tcPr>
            <w:tcW w:w="1338"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1091</w:t>
            </w:r>
          </w:p>
        </w:tc>
        <w:tc>
          <w:tcPr>
            <w:tcW w:w="2669" w:type="dxa"/>
            <w:vMerge w:val="continue"/>
            <w:tcBorders>
              <w:tl2br w:val="nil"/>
              <w:tr2bl w:val="nil"/>
            </w:tcBorders>
            <w:vAlign w:val="center"/>
          </w:tcPr>
          <w:p>
            <w:pPr>
              <w:pStyle w:val="22"/>
              <w:bidi w:val="0"/>
              <w:jc w:val="cente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1245" w:type="dxa"/>
            <w:vMerge w:val="continue"/>
            <w:tcBorders>
              <w:tl2br w:val="nil"/>
              <w:tr2bl w:val="nil"/>
            </w:tcBorders>
            <w:vAlign w:val="center"/>
          </w:tcPr>
          <w:p>
            <w:pPr>
              <w:pStyle w:val="22"/>
              <w:bidi w:val="0"/>
              <w:jc w:val="center"/>
              <w:rPr>
                <w:color w:val="auto"/>
                <w:highlight w:val="none"/>
              </w:rPr>
            </w:pPr>
          </w:p>
        </w:tc>
        <w:tc>
          <w:tcPr>
            <w:tcW w:w="2070"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皮山农场三连</w:t>
            </w:r>
          </w:p>
        </w:tc>
        <w:tc>
          <w:tcPr>
            <w:tcW w:w="1102"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WS</w:t>
            </w:r>
          </w:p>
        </w:tc>
        <w:tc>
          <w:tcPr>
            <w:tcW w:w="1338"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1532</w:t>
            </w:r>
          </w:p>
        </w:tc>
        <w:tc>
          <w:tcPr>
            <w:tcW w:w="2669" w:type="dxa"/>
            <w:vMerge w:val="continue"/>
            <w:tcBorders>
              <w:tl2br w:val="nil"/>
              <w:tr2bl w:val="nil"/>
            </w:tcBorders>
            <w:vAlign w:val="center"/>
          </w:tcPr>
          <w:p>
            <w:pPr>
              <w:pStyle w:val="22"/>
              <w:bidi w:val="0"/>
              <w:jc w:val="center"/>
              <w:rPr>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jc w:val="center"/>
        </w:trPr>
        <w:tc>
          <w:tcPr>
            <w:tcW w:w="1245" w:type="dxa"/>
            <w:vMerge w:val="continue"/>
            <w:tcBorders>
              <w:tl2br w:val="nil"/>
              <w:tr2bl w:val="nil"/>
            </w:tcBorders>
            <w:vAlign w:val="center"/>
          </w:tcPr>
          <w:p>
            <w:pPr>
              <w:pStyle w:val="22"/>
              <w:bidi w:val="0"/>
              <w:jc w:val="center"/>
              <w:rPr>
                <w:color w:val="auto"/>
                <w:highlight w:val="none"/>
              </w:rPr>
            </w:pPr>
          </w:p>
        </w:tc>
        <w:tc>
          <w:tcPr>
            <w:tcW w:w="2070"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皮山农场京苑一期小区</w:t>
            </w:r>
          </w:p>
        </w:tc>
        <w:tc>
          <w:tcPr>
            <w:tcW w:w="1102"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WS</w:t>
            </w:r>
          </w:p>
        </w:tc>
        <w:tc>
          <w:tcPr>
            <w:tcW w:w="1338"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1373</w:t>
            </w:r>
          </w:p>
        </w:tc>
        <w:tc>
          <w:tcPr>
            <w:tcW w:w="2669" w:type="dxa"/>
            <w:vMerge w:val="continue"/>
            <w:tcBorders>
              <w:tl2br w:val="nil"/>
              <w:tr2bl w:val="nil"/>
            </w:tcBorders>
            <w:vAlign w:val="center"/>
          </w:tcPr>
          <w:p>
            <w:pPr>
              <w:pStyle w:val="22"/>
              <w:bidi w:val="0"/>
              <w:jc w:val="center"/>
              <w:rPr>
                <w:color w:val="auto"/>
                <w:highlight w:val="none"/>
              </w:rPr>
            </w:pPr>
          </w:p>
        </w:tc>
      </w:tr>
    </w:tbl>
    <w:p>
      <w:pPr>
        <w:pStyle w:val="5"/>
        <w:bidi w:val="0"/>
        <w:outlineLvl w:val="0"/>
        <w:rPr>
          <w:color w:val="auto"/>
        </w:rPr>
      </w:pPr>
      <w:bookmarkStart w:id="38" w:name="_Toc14918"/>
      <w:r>
        <w:rPr>
          <w:rFonts w:hint="eastAsia"/>
          <w:color w:val="auto"/>
          <w:lang w:val="en-US" w:eastAsia="zh-CN"/>
        </w:rPr>
        <w:t>2.9</w:t>
      </w:r>
      <w:r>
        <w:rPr>
          <w:color w:val="auto"/>
        </w:rPr>
        <w:t>产业政策与相关政策相符性</w:t>
      </w:r>
      <w:bookmarkEnd w:id="38"/>
    </w:p>
    <w:p>
      <w:pPr>
        <w:pStyle w:val="6"/>
        <w:bidi w:val="0"/>
        <w:rPr>
          <w:color w:val="auto"/>
        </w:rPr>
      </w:pPr>
      <w:bookmarkStart w:id="39" w:name="_Toc29596"/>
      <w:r>
        <w:rPr>
          <w:color w:val="auto"/>
        </w:rPr>
        <w:t>2.</w:t>
      </w:r>
      <w:r>
        <w:rPr>
          <w:rFonts w:hint="eastAsia"/>
          <w:color w:val="auto"/>
          <w:lang w:val="en-US" w:eastAsia="zh-CN"/>
        </w:rPr>
        <w:t>9</w:t>
      </w:r>
      <w:r>
        <w:rPr>
          <w:color w:val="auto"/>
        </w:rPr>
        <w:t>.1产业政策相符性</w:t>
      </w:r>
      <w:bookmarkEnd w:id="39"/>
    </w:p>
    <w:p>
      <w:pPr>
        <w:spacing w:before="227" w:line="185" w:lineRule="auto"/>
        <w:ind w:firstLine="505"/>
        <w:rPr>
          <w:rFonts w:ascii="宋体" w:hAnsi="宋体" w:eastAsia="宋体" w:cs="宋体"/>
          <w:color w:val="auto"/>
          <w:sz w:val="24"/>
          <w:szCs w:val="24"/>
        </w:rPr>
      </w:pPr>
      <w:r>
        <w:rPr>
          <w:rFonts w:ascii="宋体" w:hAnsi="宋体" w:eastAsia="宋体" w:cs="宋体"/>
          <w:color w:val="auto"/>
          <w:spacing w:val="-3"/>
          <w:sz w:val="24"/>
          <w:szCs w:val="24"/>
        </w:rPr>
        <w:t>与国家的产业政策相符性见表</w:t>
      </w:r>
      <w:r>
        <w:rPr>
          <w:rFonts w:ascii="Times New Roman" w:hAnsi="Times New Roman" w:eastAsia="Times New Roman" w:cs="Times New Roman"/>
          <w:color w:val="auto"/>
          <w:spacing w:val="-3"/>
          <w:sz w:val="24"/>
          <w:szCs w:val="24"/>
        </w:rPr>
        <w:t>2.9-1</w:t>
      </w:r>
      <w:r>
        <w:rPr>
          <w:rFonts w:ascii="宋体" w:hAnsi="宋体" w:eastAsia="宋体" w:cs="宋体"/>
          <w:color w:val="auto"/>
          <w:spacing w:val="-3"/>
          <w:sz w:val="24"/>
          <w:szCs w:val="24"/>
        </w:rPr>
        <w:t>。</w:t>
      </w:r>
    </w:p>
    <w:p>
      <w:pPr>
        <w:pStyle w:val="22"/>
        <w:bidi w:val="0"/>
        <w:rPr>
          <w:b/>
          <w:bCs/>
          <w:color w:val="auto"/>
        </w:rPr>
      </w:pPr>
      <w:r>
        <w:rPr>
          <w:b/>
          <w:bCs/>
          <w:color w:val="auto"/>
        </w:rPr>
        <w:t>表2.9-1本项目与国家产业政策相符性</w:t>
      </w:r>
    </w:p>
    <w:p>
      <w:pPr>
        <w:spacing w:line="50" w:lineRule="exact"/>
        <w:rPr>
          <w:color w:val="auto"/>
        </w:rPr>
      </w:pPr>
    </w:p>
    <w:tbl>
      <w:tblPr>
        <w:tblStyle w:val="23"/>
        <w:tblW w:w="83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3"/>
        <w:gridCol w:w="2284"/>
        <w:gridCol w:w="2927"/>
        <w:gridCol w:w="23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7" w:hRule="atLeast"/>
          <w:jc w:val="center"/>
        </w:trPr>
        <w:tc>
          <w:tcPr>
            <w:tcW w:w="723" w:type="dxa"/>
            <w:tcBorders>
              <w:tl2br w:val="nil"/>
              <w:tr2bl w:val="nil"/>
            </w:tcBorders>
            <w:vAlign w:val="center"/>
          </w:tcPr>
          <w:p>
            <w:pPr>
              <w:pStyle w:val="22"/>
              <w:bidi w:val="0"/>
              <w:jc w:val="center"/>
              <w:rPr>
                <w:b/>
                <w:bCs/>
                <w:color w:val="auto"/>
              </w:rPr>
            </w:pPr>
            <w:r>
              <w:rPr>
                <w:b/>
                <w:bCs/>
                <w:color w:val="auto"/>
              </w:rPr>
              <w:t>序号</w:t>
            </w:r>
          </w:p>
        </w:tc>
        <w:tc>
          <w:tcPr>
            <w:tcW w:w="2284" w:type="dxa"/>
            <w:tcBorders>
              <w:tl2br w:val="nil"/>
              <w:tr2bl w:val="nil"/>
            </w:tcBorders>
            <w:vAlign w:val="center"/>
          </w:tcPr>
          <w:p>
            <w:pPr>
              <w:pStyle w:val="22"/>
              <w:bidi w:val="0"/>
              <w:jc w:val="center"/>
              <w:rPr>
                <w:b/>
                <w:bCs/>
                <w:color w:val="auto"/>
              </w:rPr>
            </w:pPr>
            <w:r>
              <w:rPr>
                <w:b/>
                <w:bCs/>
                <w:color w:val="auto"/>
              </w:rPr>
              <w:t>文件</w:t>
            </w:r>
          </w:p>
        </w:tc>
        <w:tc>
          <w:tcPr>
            <w:tcW w:w="2927" w:type="dxa"/>
            <w:tcBorders>
              <w:tl2br w:val="nil"/>
              <w:tr2bl w:val="nil"/>
            </w:tcBorders>
            <w:vAlign w:val="center"/>
          </w:tcPr>
          <w:p>
            <w:pPr>
              <w:pStyle w:val="22"/>
              <w:bidi w:val="0"/>
              <w:jc w:val="center"/>
              <w:rPr>
                <w:b/>
                <w:bCs/>
                <w:color w:val="auto"/>
              </w:rPr>
            </w:pPr>
            <w:r>
              <w:rPr>
                <w:b/>
                <w:bCs/>
                <w:color w:val="auto"/>
              </w:rPr>
              <w:t>要求</w:t>
            </w:r>
          </w:p>
        </w:tc>
        <w:tc>
          <w:tcPr>
            <w:tcW w:w="2374" w:type="dxa"/>
            <w:tcBorders>
              <w:tl2br w:val="nil"/>
              <w:tr2bl w:val="nil"/>
            </w:tcBorders>
            <w:vAlign w:val="center"/>
          </w:tcPr>
          <w:p>
            <w:pPr>
              <w:pStyle w:val="22"/>
              <w:bidi w:val="0"/>
              <w:jc w:val="center"/>
              <w:rPr>
                <w:b/>
                <w:bCs/>
                <w:color w:val="auto"/>
              </w:rPr>
            </w:pPr>
            <w:r>
              <w:rPr>
                <w:b/>
                <w:bCs/>
                <w:color w:val="auto"/>
              </w:rPr>
              <w:t>相符性分析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3" w:hRule="atLeast"/>
          <w:jc w:val="center"/>
        </w:trPr>
        <w:tc>
          <w:tcPr>
            <w:tcW w:w="723" w:type="dxa"/>
            <w:tcBorders>
              <w:tl2br w:val="nil"/>
              <w:tr2bl w:val="nil"/>
            </w:tcBorders>
            <w:vAlign w:val="center"/>
          </w:tcPr>
          <w:p>
            <w:pPr>
              <w:pStyle w:val="22"/>
              <w:bidi w:val="0"/>
              <w:jc w:val="center"/>
              <w:rPr>
                <w:color w:val="auto"/>
              </w:rPr>
            </w:pPr>
          </w:p>
          <w:p>
            <w:pPr>
              <w:pStyle w:val="22"/>
              <w:bidi w:val="0"/>
              <w:jc w:val="center"/>
              <w:rPr>
                <w:color w:val="auto"/>
              </w:rPr>
            </w:pPr>
            <w:r>
              <w:rPr>
                <w:color w:val="auto"/>
              </w:rPr>
              <w:t>1</w:t>
            </w:r>
          </w:p>
        </w:tc>
        <w:tc>
          <w:tcPr>
            <w:tcW w:w="2284" w:type="dxa"/>
            <w:tcBorders>
              <w:tl2br w:val="nil"/>
              <w:tr2bl w:val="nil"/>
            </w:tcBorders>
            <w:vAlign w:val="center"/>
          </w:tcPr>
          <w:p>
            <w:pPr>
              <w:pStyle w:val="22"/>
              <w:bidi w:val="0"/>
              <w:jc w:val="center"/>
              <w:rPr>
                <w:color w:val="auto"/>
              </w:rPr>
            </w:pPr>
            <w:r>
              <w:rPr>
                <w:color w:val="auto"/>
              </w:rPr>
              <w:t>产业结构调整指导目录（2019年本）</w:t>
            </w:r>
            <w:r>
              <w:rPr>
                <w:rFonts w:hint="eastAsia"/>
                <w:color w:val="auto"/>
                <w:lang w:eastAsia="zh-CN"/>
              </w:rPr>
              <w:t>“</w:t>
            </w:r>
            <w:r>
              <w:rPr>
                <w:color w:val="auto"/>
              </w:rPr>
              <w:t>鼓励类</w:t>
            </w:r>
            <w:r>
              <w:rPr>
                <w:rFonts w:hint="eastAsia"/>
                <w:color w:val="auto"/>
                <w:lang w:eastAsia="zh-CN"/>
              </w:rPr>
              <w:t>”</w:t>
            </w:r>
            <w:r>
              <w:rPr>
                <w:color w:val="auto"/>
              </w:rPr>
              <w:t>中三十七条：卫生健康</w:t>
            </w:r>
          </w:p>
        </w:tc>
        <w:tc>
          <w:tcPr>
            <w:tcW w:w="2927" w:type="dxa"/>
            <w:tcBorders>
              <w:tl2br w:val="nil"/>
              <w:tr2bl w:val="nil"/>
            </w:tcBorders>
            <w:vAlign w:val="center"/>
          </w:tcPr>
          <w:p>
            <w:pPr>
              <w:pStyle w:val="22"/>
              <w:bidi w:val="0"/>
              <w:jc w:val="center"/>
              <w:rPr>
                <w:color w:val="auto"/>
              </w:rPr>
            </w:pPr>
            <w:r>
              <w:rPr>
                <w:color w:val="auto"/>
              </w:rPr>
              <w:t>第1条：预防保健、卫生应急、卫生监督服务设施建设；</w:t>
            </w:r>
          </w:p>
          <w:p>
            <w:pPr>
              <w:pStyle w:val="22"/>
              <w:bidi w:val="0"/>
              <w:jc w:val="center"/>
              <w:rPr>
                <w:color w:val="auto"/>
              </w:rPr>
            </w:pPr>
            <w:r>
              <w:rPr>
                <w:color w:val="auto"/>
              </w:rPr>
              <w:t>第5条医疗卫生服务设施建设</w:t>
            </w:r>
          </w:p>
        </w:tc>
        <w:tc>
          <w:tcPr>
            <w:tcW w:w="2374" w:type="dxa"/>
            <w:tcBorders>
              <w:tl2br w:val="nil"/>
              <w:tr2bl w:val="nil"/>
            </w:tcBorders>
            <w:vAlign w:val="center"/>
          </w:tcPr>
          <w:p>
            <w:pPr>
              <w:pStyle w:val="22"/>
              <w:bidi w:val="0"/>
              <w:jc w:val="center"/>
              <w:rPr>
                <w:color w:val="auto"/>
              </w:rPr>
            </w:pPr>
          </w:p>
          <w:p>
            <w:pPr>
              <w:pStyle w:val="22"/>
              <w:bidi w:val="0"/>
              <w:jc w:val="center"/>
              <w:rPr>
                <w:color w:val="auto"/>
              </w:rPr>
            </w:pPr>
            <w:r>
              <w:rPr>
                <w:color w:val="auto"/>
              </w:rPr>
              <w:t>符合</w:t>
            </w:r>
          </w:p>
        </w:tc>
      </w:tr>
    </w:tbl>
    <w:p>
      <w:pPr>
        <w:pStyle w:val="6"/>
        <w:bidi w:val="0"/>
        <w:rPr>
          <w:rFonts w:hint="eastAsia"/>
          <w:color w:val="auto"/>
          <w:lang w:val="en-US" w:eastAsia="zh-CN"/>
        </w:rPr>
      </w:pPr>
      <w:bookmarkStart w:id="40" w:name="_Toc27322"/>
      <w:r>
        <w:rPr>
          <w:rFonts w:hint="eastAsia"/>
          <w:color w:val="auto"/>
          <w:lang w:val="en-US" w:eastAsia="zh-CN"/>
        </w:rPr>
        <w:t>2.9.2三线一单符合性分析</w:t>
      </w:r>
      <w:bookmarkEnd w:id="40"/>
    </w:p>
    <w:p>
      <w:pPr>
        <w:bidi w:val="0"/>
        <w:rPr>
          <w:rFonts w:hint="eastAsia"/>
          <w:color w:val="auto"/>
          <w:lang w:val="en-US" w:eastAsia="zh-CN"/>
        </w:rPr>
      </w:pPr>
      <w:r>
        <w:rPr>
          <w:rFonts w:hint="eastAsia"/>
          <w:color w:val="auto"/>
          <w:lang w:val="en-US" w:eastAsia="zh-CN"/>
        </w:rPr>
        <w:t>根据中华人民共和国环境保护部环评[2016]150号文《关于以改善环境质量为核心加强环境影响评价管理的通知》与《第十四师昆玉市“三线一单”生态环境分区管控方案》要求：为适应以改善环境质量为核心的环境管理要求，切实加强环境影响评价管理，落实“生态保护红线、环境质量底线、资源利用上线和环境准入负面清单”约束，建立项目环评审批与规划环评、现有项目环境管理、区域环境质量联动机制，更好地发挥环评制度从源头防范环境污染和生态破坏的作用，加快推进改善环境质量。</w:t>
      </w:r>
    </w:p>
    <w:p>
      <w:pPr>
        <w:bidi w:val="0"/>
        <w:rPr>
          <w:rFonts w:hint="default"/>
          <w:color w:val="auto"/>
          <w:lang w:val="en-US" w:eastAsia="zh-CN"/>
        </w:rPr>
      </w:pPr>
      <w:bookmarkStart w:id="41" w:name="_Toc26457"/>
      <w:r>
        <w:rPr>
          <w:rFonts w:hint="eastAsia"/>
          <w:color w:val="auto"/>
          <w:lang w:val="en-US" w:eastAsia="zh-CN"/>
        </w:rPr>
        <w:t>①与生态红线符合性分析</w:t>
      </w:r>
      <w:bookmarkEnd w:id="41"/>
    </w:p>
    <w:p>
      <w:pPr>
        <w:bidi w:val="0"/>
        <w:rPr>
          <w:color w:val="auto"/>
        </w:rPr>
      </w:pPr>
      <w:r>
        <w:rPr>
          <w:rFonts w:hint="eastAsia"/>
          <w:color w:val="auto"/>
          <w:lang w:val="en-US" w:eastAsia="zh-CN"/>
        </w:rPr>
        <w:t>按照“生态功能不降低、面积不减少、性质不改变”的基本要求，对划定的生态保护红线实施严格管控，保障和维护地区生态安全的底线和生命线。</w:t>
      </w:r>
    </w:p>
    <w:p>
      <w:pPr>
        <w:bidi w:val="0"/>
        <w:rPr>
          <w:color w:val="auto"/>
          <w:highlight w:val="none"/>
        </w:rPr>
      </w:pPr>
      <w:r>
        <w:rPr>
          <w:rFonts w:hint="eastAsia"/>
          <w:color w:val="auto"/>
          <w:highlight w:val="none"/>
          <w:lang w:val="en-US" w:eastAsia="zh-CN"/>
        </w:rPr>
        <w:t>本项目位于第十四师皮山农场，根据《第十四师昆玉市“三线一单”生态环境分区管控方案》，本项目区域属于昆玉市皮山农场重点管控单元，不在生态保护红线内。</w:t>
      </w:r>
    </w:p>
    <w:p>
      <w:pPr>
        <w:bidi w:val="0"/>
        <w:rPr>
          <w:color w:val="auto"/>
          <w:highlight w:val="none"/>
        </w:rPr>
      </w:pPr>
      <w:bookmarkStart w:id="42" w:name="_Toc22503"/>
      <w:r>
        <w:rPr>
          <w:rFonts w:hint="eastAsia"/>
          <w:color w:val="auto"/>
          <w:highlight w:val="none"/>
          <w:lang w:val="en-US" w:eastAsia="zh-CN"/>
        </w:rPr>
        <w:t>②与环境质量底线符合性分析</w:t>
      </w:r>
      <w:bookmarkEnd w:id="42"/>
    </w:p>
    <w:p>
      <w:pPr>
        <w:bidi w:val="0"/>
        <w:rPr>
          <w:rFonts w:hint="eastAsia"/>
          <w:color w:val="auto"/>
          <w:highlight w:val="none"/>
          <w:lang w:val="en-US" w:eastAsia="zh-CN"/>
        </w:rPr>
      </w:pPr>
      <w:r>
        <w:rPr>
          <w:rFonts w:hint="eastAsia"/>
          <w:color w:val="auto"/>
          <w:highlight w:val="none"/>
          <w:lang w:val="en-US" w:eastAsia="zh-CN"/>
        </w:rPr>
        <w:t>本项目污水处理站恶臭经集中收集后通过活性炭吸附后排放，无组织NH</w:t>
      </w:r>
      <w:r>
        <w:rPr>
          <w:rFonts w:hint="eastAsia"/>
          <w:color w:val="auto"/>
          <w:highlight w:val="none"/>
          <w:vertAlign w:val="subscript"/>
          <w:lang w:val="en-US" w:eastAsia="zh-CN"/>
        </w:rPr>
        <w:t>3</w:t>
      </w:r>
      <w:r>
        <w:rPr>
          <w:rFonts w:hint="eastAsia"/>
          <w:color w:val="auto"/>
          <w:highlight w:val="none"/>
          <w:lang w:val="en-US" w:eastAsia="zh-CN"/>
        </w:rPr>
        <w:t>、H</w:t>
      </w:r>
      <w:r>
        <w:rPr>
          <w:rFonts w:hint="eastAsia"/>
          <w:color w:val="auto"/>
          <w:highlight w:val="none"/>
          <w:vertAlign w:val="subscript"/>
          <w:lang w:val="en-US" w:eastAsia="zh-CN"/>
        </w:rPr>
        <w:t>2</w:t>
      </w:r>
      <w:r>
        <w:rPr>
          <w:rFonts w:hint="eastAsia"/>
          <w:color w:val="auto"/>
          <w:highlight w:val="none"/>
          <w:lang w:val="en-US" w:eastAsia="zh-CN"/>
        </w:rPr>
        <w:t>S四周边界浓度能够满足《医疗机构水污染物排放标准》（GB18466-2005）表3标准要求；本项目理化实验废水经酸碱中和预处理后、实验楼生活污水经化粪池预处理后与微生物实验室废水一同进入自建污水处理站进行处理；办公楼生活污水经化粪池处理后与前述废水一同经市政污水管网排入皮山农场污水处理厂进行进一步处理后用于绿化灌溉；项目产生的各项固体废物均能得到妥善处置。因此，项目各污染物对环境质量的影响很小，不突破所在区域环境质量底线。</w:t>
      </w:r>
    </w:p>
    <w:p>
      <w:pPr>
        <w:bidi w:val="0"/>
        <w:rPr>
          <w:color w:val="auto"/>
          <w:highlight w:val="none"/>
        </w:rPr>
      </w:pPr>
      <w:bookmarkStart w:id="43" w:name="_Toc22272"/>
      <w:r>
        <w:rPr>
          <w:rFonts w:hint="eastAsia"/>
          <w:color w:val="auto"/>
          <w:highlight w:val="none"/>
          <w:lang w:val="en-US" w:eastAsia="zh-CN"/>
        </w:rPr>
        <w:t>③与资源利用上限符合性分析</w:t>
      </w:r>
      <w:bookmarkEnd w:id="43"/>
    </w:p>
    <w:p>
      <w:pPr>
        <w:bidi w:val="0"/>
        <w:rPr>
          <w:color w:val="auto"/>
        </w:rPr>
      </w:pPr>
      <w:bookmarkStart w:id="44" w:name="_Toc11161"/>
      <w:r>
        <w:rPr>
          <w:color w:val="auto"/>
          <w:highlight w:val="none"/>
        </w:rPr>
        <w:t>能源消耗：本项目生产运行过程中主要为设备用电，项目生产设备均不属于</w:t>
      </w:r>
      <w:r>
        <w:rPr>
          <w:color w:val="auto"/>
        </w:rPr>
        <w:t>淘汰类设备，不属于高能耗项目。</w:t>
      </w:r>
    </w:p>
    <w:p>
      <w:pPr>
        <w:bidi w:val="0"/>
        <w:rPr>
          <w:color w:val="auto"/>
        </w:rPr>
      </w:pPr>
      <w:r>
        <w:rPr>
          <w:color w:val="auto"/>
        </w:rPr>
        <w:t>水资源消耗：本项目用水主要为实验用水以及职工生活用水，用水量均较小，本项目不属于高耗水项目。</w:t>
      </w:r>
    </w:p>
    <w:p>
      <w:pPr>
        <w:bidi w:val="0"/>
        <w:rPr>
          <w:color w:val="auto"/>
        </w:rPr>
      </w:pPr>
      <w:r>
        <w:rPr>
          <w:color w:val="auto"/>
        </w:rPr>
        <w:t>土地资源：</w:t>
      </w:r>
      <w:r>
        <w:rPr>
          <w:rFonts w:hint="eastAsia"/>
          <w:color w:val="auto"/>
          <w:lang w:val="en-US" w:eastAsia="zh-CN"/>
        </w:rPr>
        <w:t>本项目占地为医疗设施用地，不占用基本农田，不开垦新的土地</w:t>
      </w:r>
      <w:r>
        <w:rPr>
          <w:color w:val="auto"/>
        </w:rPr>
        <w:t>，项目建设符合</w:t>
      </w:r>
      <w:r>
        <w:rPr>
          <w:rFonts w:hint="eastAsia" w:ascii="Times New Roman" w:eastAsia="宋体"/>
          <w:color w:val="auto"/>
          <w:lang w:val="en-US" w:eastAsia="zh-CN"/>
        </w:rPr>
        <w:t>第十四</w:t>
      </w:r>
      <w:r>
        <w:rPr>
          <w:rFonts w:hint="eastAsia"/>
          <w:color w:val="auto"/>
          <w:lang w:val="en-US" w:eastAsia="zh-CN"/>
        </w:rPr>
        <w:t>皮山农场</w:t>
      </w:r>
      <w:r>
        <w:rPr>
          <w:color w:val="auto"/>
        </w:rPr>
        <w:t>土地利用总体规划。</w:t>
      </w:r>
    </w:p>
    <w:p>
      <w:pPr>
        <w:bidi w:val="0"/>
        <w:rPr>
          <w:color w:val="auto"/>
        </w:rPr>
      </w:pPr>
      <w:r>
        <w:rPr>
          <w:color w:val="auto"/>
        </w:rPr>
        <w:t>项目资源消耗量相对区域资源总量较少，各项资源利用均在区域可承载能力范围内，符合资源利用上线要求。</w:t>
      </w:r>
    </w:p>
    <w:p>
      <w:pPr>
        <w:bidi w:val="0"/>
        <w:rPr>
          <w:color w:val="auto"/>
          <w:highlight w:val="none"/>
        </w:rPr>
      </w:pPr>
      <w:r>
        <w:rPr>
          <w:rFonts w:hint="eastAsia"/>
          <w:color w:val="auto"/>
          <w:highlight w:val="none"/>
          <w:lang w:val="en-US" w:eastAsia="zh-CN"/>
        </w:rPr>
        <w:t>④与环境准入负面清单符合性分析</w:t>
      </w:r>
      <w:bookmarkEnd w:id="44"/>
    </w:p>
    <w:p>
      <w:pPr>
        <w:bidi w:val="0"/>
        <w:rPr>
          <w:color w:val="auto"/>
          <w:highlight w:val="none"/>
        </w:rPr>
      </w:pPr>
      <w:r>
        <w:rPr>
          <w:rFonts w:hint="eastAsia"/>
          <w:color w:val="auto"/>
          <w:highlight w:val="none"/>
          <w:lang w:val="en-US" w:eastAsia="zh-CN"/>
        </w:rPr>
        <w:t>根据《第十四师昆玉市“三线一单”生态环境分区管控方案及生态环境准入清单》本项目所属为文件中昆玉市皮山农场重点管控单元，管控单元编号：ZH65900920009。本项目与其符合情况见表2.9-2。项目区第十四师昆玉市环境管控单元图见附图4。</w:t>
      </w:r>
    </w:p>
    <w:p>
      <w:pPr>
        <w:pStyle w:val="22"/>
        <w:bidi w:val="0"/>
        <w:rPr>
          <w:b/>
          <w:bCs/>
          <w:color w:val="auto"/>
          <w:highlight w:val="none"/>
        </w:rPr>
      </w:pPr>
      <w:r>
        <w:rPr>
          <w:rFonts w:hint="eastAsia"/>
          <w:b/>
          <w:bCs/>
          <w:color w:val="auto"/>
          <w:highlight w:val="none"/>
          <w:lang w:val="en-US" w:eastAsia="zh-CN"/>
        </w:rPr>
        <w:t>表2.9-2项目与第十四师昆玉市“三线一单”生态环境分区管控方案</w:t>
      </w:r>
    </w:p>
    <w:p>
      <w:pPr>
        <w:pStyle w:val="22"/>
        <w:bidi w:val="0"/>
        <w:rPr>
          <w:b/>
          <w:bCs/>
          <w:color w:val="auto"/>
          <w:highlight w:val="none"/>
        </w:rPr>
      </w:pPr>
      <w:bookmarkStart w:id="45" w:name="_Toc11148"/>
      <w:r>
        <w:rPr>
          <w:rFonts w:hint="eastAsia"/>
          <w:b/>
          <w:bCs/>
          <w:color w:val="auto"/>
          <w:highlight w:val="none"/>
          <w:lang w:val="en-US" w:eastAsia="zh-CN"/>
        </w:rPr>
        <w:t>及生态环境准入清单符合性分析一览表</w:t>
      </w:r>
      <w:bookmarkEnd w:id="45"/>
    </w:p>
    <w:tbl>
      <w:tblPr>
        <w:tblStyle w:val="19"/>
        <w:tblW w:w="82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0"/>
        <w:gridCol w:w="3668"/>
        <w:gridCol w:w="2818"/>
        <w:gridCol w:w="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880" w:type="dxa"/>
            <w:noWrap w:val="0"/>
            <w:vAlign w:val="center"/>
          </w:tcPr>
          <w:p>
            <w:pPr>
              <w:pStyle w:val="22"/>
              <w:keepNext w:val="0"/>
              <w:keepLines w:val="0"/>
              <w:suppressLineNumbers w:val="0"/>
              <w:bidi w:val="0"/>
              <w:spacing w:before="0" w:beforeAutospacing="0" w:after="0" w:afterAutospacing="0"/>
              <w:ind w:left="0" w:right="0"/>
              <w:rPr>
                <w:rFonts w:hint="default"/>
                <w:b/>
                <w:bCs/>
                <w:color w:val="auto"/>
                <w:highlight w:val="none"/>
                <w:lang w:val="en-US" w:eastAsia="zh-CN"/>
              </w:rPr>
            </w:pPr>
            <w:r>
              <w:rPr>
                <w:rFonts w:hint="default"/>
                <w:b/>
                <w:bCs/>
                <w:color w:val="auto"/>
                <w:highlight w:val="none"/>
              </w:rPr>
              <w:t>内容</w:t>
            </w:r>
          </w:p>
        </w:tc>
        <w:tc>
          <w:tcPr>
            <w:tcW w:w="3668" w:type="dxa"/>
            <w:noWrap w:val="0"/>
            <w:vAlign w:val="center"/>
          </w:tcPr>
          <w:p>
            <w:pPr>
              <w:pStyle w:val="22"/>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lang w:eastAsia="zh-CN"/>
              </w:rPr>
              <w:t>要求</w:t>
            </w:r>
          </w:p>
        </w:tc>
        <w:tc>
          <w:tcPr>
            <w:tcW w:w="2818" w:type="dxa"/>
            <w:noWrap w:val="0"/>
            <w:vAlign w:val="center"/>
          </w:tcPr>
          <w:p>
            <w:pPr>
              <w:pStyle w:val="22"/>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符合性分析</w:t>
            </w:r>
          </w:p>
        </w:tc>
        <w:tc>
          <w:tcPr>
            <w:tcW w:w="872" w:type="dxa"/>
            <w:noWrap w:val="0"/>
            <w:vAlign w:val="center"/>
          </w:tcPr>
          <w:p>
            <w:pPr>
              <w:pStyle w:val="22"/>
              <w:keepNext w:val="0"/>
              <w:keepLines w:val="0"/>
              <w:suppressLineNumbers w:val="0"/>
              <w:bidi w:val="0"/>
              <w:spacing w:before="0" w:beforeAutospacing="0" w:after="0" w:afterAutospacing="0"/>
              <w:ind w:left="0" w:right="0"/>
              <w:rPr>
                <w:rFonts w:hint="default"/>
                <w:b/>
                <w:bCs/>
                <w:color w:val="auto"/>
                <w:highlight w:val="none"/>
              </w:rPr>
            </w:pPr>
            <w:r>
              <w:rPr>
                <w:rFonts w:hint="default"/>
                <w:b/>
                <w:bCs/>
                <w:color w:val="auto"/>
                <w:highlight w:val="none"/>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0" w:type="dxa"/>
            <w:noWrap w:val="0"/>
            <w:vAlign w:val="center"/>
          </w:tcPr>
          <w:p>
            <w:pPr>
              <w:pStyle w:val="22"/>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default"/>
                <w:color w:val="auto"/>
                <w:highlight w:val="none"/>
                <w:lang w:val="en-US" w:eastAsia="zh-CN"/>
              </w:rPr>
              <w:t>空间布局约束</w:t>
            </w:r>
          </w:p>
        </w:tc>
        <w:tc>
          <w:tcPr>
            <w:tcW w:w="3668" w:type="dxa"/>
            <w:noWrap w:val="0"/>
            <w:vAlign w:val="center"/>
          </w:tcPr>
          <w:p>
            <w:pPr>
              <w:pStyle w:val="22"/>
              <w:keepNext w:val="0"/>
              <w:keepLines w:val="0"/>
              <w:suppressLineNumbers w:val="0"/>
              <w:bidi w:val="0"/>
              <w:spacing w:before="0" w:beforeAutospacing="0" w:after="0" w:afterAutospacing="0"/>
              <w:ind w:left="0" w:right="0"/>
              <w:jc w:val="left"/>
              <w:rPr>
                <w:rFonts w:hint="default"/>
                <w:color w:val="auto"/>
                <w:highlight w:val="none"/>
                <w:lang w:val="en-US" w:eastAsia="zh-CN"/>
              </w:rPr>
            </w:pPr>
            <w:r>
              <w:rPr>
                <w:rFonts w:hint="default"/>
                <w:color w:val="auto"/>
                <w:highlight w:val="none"/>
                <w:lang w:val="en-US" w:eastAsia="zh-CN"/>
              </w:rPr>
              <w:t>水环境其他重点管控区：</w:t>
            </w:r>
          </w:p>
          <w:p>
            <w:pPr>
              <w:pStyle w:val="22"/>
              <w:keepNext w:val="0"/>
              <w:keepLines w:val="0"/>
              <w:suppressLineNumbers w:val="0"/>
              <w:bidi w:val="0"/>
              <w:spacing w:before="0" w:beforeAutospacing="0" w:after="0" w:afterAutospacing="0"/>
              <w:ind w:left="0" w:right="0"/>
              <w:jc w:val="left"/>
              <w:rPr>
                <w:rFonts w:hint="default"/>
                <w:color w:val="auto"/>
                <w:highlight w:val="none"/>
                <w:lang w:val="en-US" w:eastAsia="zh-CN"/>
              </w:rPr>
            </w:pPr>
            <w:r>
              <w:rPr>
                <w:rFonts w:hint="default"/>
                <w:color w:val="auto"/>
                <w:highlight w:val="none"/>
                <w:lang w:val="en-US" w:eastAsia="zh-CN"/>
              </w:rPr>
              <w:t>（1）水环境其他重点管控区执行相关要求。</w:t>
            </w:r>
          </w:p>
          <w:p>
            <w:pPr>
              <w:pStyle w:val="22"/>
              <w:keepNext w:val="0"/>
              <w:keepLines w:val="0"/>
              <w:suppressLineNumbers w:val="0"/>
              <w:bidi w:val="0"/>
              <w:spacing w:before="0" w:beforeAutospacing="0" w:after="0" w:afterAutospacing="0"/>
              <w:ind w:left="0" w:right="0"/>
              <w:jc w:val="left"/>
              <w:rPr>
                <w:rFonts w:hint="default"/>
                <w:color w:val="auto"/>
                <w:highlight w:val="none"/>
                <w:lang w:val="en-US" w:eastAsia="zh-CN"/>
              </w:rPr>
            </w:pPr>
            <w:r>
              <w:rPr>
                <w:rFonts w:hint="default"/>
                <w:color w:val="auto"/>
                <w:highlight w:val="none"/>
                <w:lang w:val="en-US" w:eastAsia="zh-CN"/>
              </w:rPr>
              <w:t>荒漠：</w:t>
            </w:r>
          </w:p>
          <w:p>
            <w:pPr>
              <w:pStyle w:val="22"/>
              <w:keepNext w:val="0"/>
              <w:keepLines w:val="0"/>
              <w:suppressLineNumbers w:val="0"/>
              <w:bidi w:val="0"/>
              <w:spacing w:before="0" w:beforeAutospacing="0" w:after="0" w:afterAutospacing="0"/>
              <w:ind w:left="0" w:right="0"/>
              <w:jc w:val="left"/>
              <w:rPr>
                <w:rFonts w:hint="default"/>
                <w:color w:val="auto"/>
                <w:highlight w:val="none"/>
                <w:lang w:val="en-US" w:eastAsia="zh-CN"/>
              </w:rPr>
            </w:pPr>
            <w:r>
              <w:rPr>
                <w:rFonts w:hint="default"/>
                <w:color w:val="auto"/>
                <w:highlight w:val="none"/>
                <w:lang w:val="en-US" w:eastAsia="zh-CN"/>
              </w:rPr>
              <w:t>（2）完善农田防护林。采用林、灌、草相结合的复合林带，建立完整的防风固沙林和相应配套的外围防沙灌木带体系。保护现有荒漠植被。避免营造高耗水的人工速生林。</w:t>
            </w:r>
          </w:p>
          <w:p>
            <w:pPr>
              <w:pStyle w:val="22"/>
              <w:keepNext w:val="0"/>
              <w:keepLines w:val="0"/>
              <w:suppressLineNumbers w:val="0"/>
              <w:bidi w:val="0"/>
              <w:spacing w:before="0" w:beforeAutospacing="0" w:after="0" w:afterAutospacing="0"/>
              <w:ind w:left="0" w:right="0"/>
              <w:jc w:val="left"/>
              <w:rPr>
                <w:rFonts w:hint="default"/>
                <w:color w:val="auto"/>
                <w:highlight w:val="none"/>
                <w:lang w:val="en-US" w:eastAsia="zh-CN"/>
              </w:rPr>
            </w:pPr>
            <w:r>
              <w:rPr>
                <w:rFonts w:hint="default"/>
                <w:color w:val="auto"/>
                <w:highlight w:val="none"/>
                <w:lang w:val="en-US" w:eastAsia="zh-CN"/>
              </w:rPr>
              <w:t>国家级重点生态功能区：</w:t>
            </w:r>
          </w:p>
          <w:p>
            <w:pPr>
              <w:pStyle w:val="22"/>
              <w:keepNext w:val="0"/>
              <w:keepLines w:val="0"/>
              <w:suppressLineNumbers w:val="0"/>
              <w:bidi w:val="0"/>
              <w:spacing w:before="0" w:beforeAutospacing="0" w:after="0" w:afterAutospacing="0"/>
              <w:ind w:left="0" w:right="0"/>
              <w:jc w:val="left"/>
              <w:rPr>
                <w:rFonts w:hint="default"/>
                <w:color w:val="auto"/>
                <w:highlight w:val="none"/>
              </w:rPr>
            </w:pPr>
            <w:r>
              <w:rPr>
                <w:rFonts w:hint="default"/>
                <w:color w:val="auto"/>
                <w:highlight w:val="none"/>
                <w:lang w:val="en-US" w:eastAsia="zh-CN"/>
              </w:rPr>
              <w:t>（3）皮山农场为限制开发区（国家级重点生态功能区），严禁开展不符合主体功能定位的各类活动，执行《昆玉市国家重点生态功能区产业准入负面清单》。</w:t>
            </w:r>
          </w:p>
        </w:tc>
        <w:tc>
          <w:tcPr>
            <w:tcW w:w="2818" w:type="dxa"/>
            <w:noWrap w:val="0"/>
            <w:vAlign w:val="center"/>
          </w:tcPr>
          <w:p>
            <w:pPr>
              <w:pStyle w:val="22"/>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本项目占地为医疗设施用地，不占用基本农田，不开垦新的土地，项目运行后，对污染物采取相应措施，污染物均达标排放，对周边影响甚微，不会降低周边环境质量。</w:t>
            </w:r>
          </w:p>
          <w:p>
            <w:pPr>
              <w:pStyle w:val="22"/>
              <w:keepNext w:val="0"/>
              <w:keepLines w:val="0"/>
              <w:suppressLineNumbers w:val="0"/>
              <w:bidi w:val="0"/>
              <w:spacing w:before="0" w:beforeAutospacing="0" w:after="0" w:afterAutospacing="0"/>
              <w:ind w:left="0" w:right="0"/>
              <w:jc w:val="both"/>
              <w:rPr>
                <w:rFonts w:hint="default"/>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本项目为公共服务类项目，符合</w:t>
            </w:r>
            <w:r>
              <w:rPr>
                <w:rFonts w:hint="default"/>
                <w:color w:val="auto"/>
                <w:highlight w:val="none"/>
                <w:lang w:val="en-US" w:eastAsia="zh-CN"/>
              </w:rPr>
              <w:t>昆玉市国家重点生态功能区产业准入负面清单</w:t>
            </w:r>
            <w:r>
              <w:rPr>
                <w:rFonts w:hint="eastAsia"/>
                <w:color w:val="auto"/>
                <w:highlight w:val="none"/>
                <w:lang w:val="en-US" w:eastAsia="zh-CN"/>
              </w:rPr>
              <w:t>，本项目的建设提升了披上农场的疾病检测能力与医疗水平。</w:t>
            </w:r>
          </w:p>
        </w:tc>
        <w:tc>
          <w:tcPr>
            <w:tcW w:w="872" w:type="dxa"/>
            <w:noWrap w:val="0"/>
            <w:vAlign w:val="center"/>
          </w:tcPr>
          <w:p>
            <w:pPr>
              <w:pStyle w:val="22"/>
              <w:keepNext w:val="0"/>
              <w:keepLines w:val="0"/>
              <w:suppressLineNumbers w:val="0"/>
              <w:bidi w:val="0"/>
              <w:spacing w:before="0" w:beforeAutospacing="0" w:after="0" w:afterAutospacing="0"/>
              <w:ind w:left="0" w:right="0"/>
              <w:rPr>
                <w:rFonts w:hint="default"/>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9" w:hRule="atLeast"/>
          <w:jc w:val="center"/>
        </w:trPr>
        <w:tc>
          <w:tcPr>
            <w:tcW w:w="880" w:type="dxa"/>
            <w:noWrap w:val="0"/>
            <w:vAlign w:val="center"/>
          </w:tcPr>
          <w:p>
            <w:pPr>
              <w:pStyle w:val="22"/>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污染物排放管控</w:t>
            </w:r>
          </w:p>
          <w:p>
            <w:pPr>
              <w:pStyle w:val="22"/>
              <w:keepNext w:val="0"/>
              <w:keepLines w:val="0"/>
              <w:suppressLineNumbers w:val="0"/>
              <w:bidi w:val="0"/>
              <w:spacing w:before="0" w:beforeAutospacing="0" w:after="0" w:afterAutospacing="0"/>
              <w:ind w:left="0" w:right="0"/>
              <w:rPr>
                <w:rFonts w:hint="default"/>
                <w:color w:val="auto"/>
                <w:highlight w:val="none"/>
              </w:rPr>
            </w:pPr>
          </w:p>
        </w:tc>
        <w:tc>
          <w:tcPr>
            <w:tcW w:w="3668" w:type="dxa"/>
            <w:noWrap w:val="0"/>
            <w:vAlign w:val="center"/>
          </w:tcPr>
          <w:p>
            <w:pPr>
              <w:pStyle w:val="22"/>
              <w:keepNext w:val="0"/>
              <w:keepLines w:val="0"/>
              <w:suppressLineNumbers w:val="0"/>
              <w:bidi w:val="0"/>
              <w:spacing w:before="0" w:beforeAutospacing="0" w:after="0" w:afterAutospacing="0"/>
              <w:ind w:left="0" w:right="0"/>
              <w:jc w:val="left"/>
              <w:rPr>
                <w:rFonts w:hint="default"/>
                <w:color w:val="auto"/>
                <w:highlight w:val="none"/>
                <w:lang w:val="en-US" w:eastAsia="zh-CN"/>
              </w:rPr>
            </w:pPr>
            <w:r>
              <w:rPr>
                <w:rFonts w:hint="default"/>
                <w:color w:val="auto"/>
                <w:highlight w:val="none"/>
                <w:lang w:val="en-US" w:eastAsia="zh-CN"/>
              </w:rPr>
              <w:t>水环境其他重点管控区：</w:t>
            </w:r>
          </w:p>
          <w:p>
            <w:pPr>
              <w:pStyle w:val="22"/>
              <w:keepNext w:val="0"/>
              <w:keepLines w:val="0"/>
              <w:suppressLineNumbers w:val="0"/>
              <w:bidi w:val="0"/>
              <w:spacing w:before="0" w:beforeAutospacing="0" w:after="0" w:afterAutospacing="0"/>
              <w:ind w:left="0" w:right="0"/>
              <w:jc w:val="left"/>
              <w:rPr>
                <w:rFonts w:hint="default"/>
                <w:color w:val="auto"/>
                <w:highlight w:val="none"/>
                <w:lang w:val="en-US" w:eastAsia="zh-CN"/>
              </w:rPr>
            </w:pPr>
            <w:r>
              <w:rPr>
                <w:rFonts w:hint="default"/>
                <w:color w:val="auto"/>
                <w:highlight w:val="none"/>
                <w:lang w:val="en-US" w:eastAsia="zh-CN"/>
              </w:rPr>
              <w:t>（1）水环境其他重点管控区执行相关要求。</w:t>
            </w:r>
          </w:p>
          <w:p>
            <w:pPr>
              <w:pStyle w:val="22"/>
              <w:keepNext w:val="0"/>
              <w:keepLines w:val="0"/>
              <w:suppressLineNumbers w:val="0"/>
              <w:bidi w:val="0"/>
              <w:spacing w:before="0" w:beforeAutospacing="0" w:after="0" w:afterAutospacing="0"/>
              <w:ind w:left="0" w:right="0"/>
              <w:jc w:val="left"/>
              <w:rPr>
                <w:rFonts w:hint="default"/>
                <w:color w:val="auto"/>
                <w:highlight w:val="none"/>
                <w:lang w:val="en-US" w:eastAsia="zh-CN"/>
              </w:rPr>
            </w:pPr>
            <w:r>
              <w:rPr>
                <w:rFonts w:hint="default"/>
                <w:color w:val="auto"/>
                <w:highlight w:val="none"/>
                <w:lang w:val="en-US" w:eastAsia="zh-CN"/>
              </w:rPr>
              <w:t>农田：</w:t>
            </w:r>
          </w:p>
          <w:p>
            <w:pPr>
              <w:pStyle w:val="22"/>
              <w:keepNext w:val="0"/>
              <w:keepLines w:val="0"/>
              <w:suppressLineNumbers w:val="0"/>
              <w:bidi w:val="0"/>
              <w:spacing w:before="0" w:beforeAutospacing="0" w:after="0" w:afterAutospacing="0"/>
              <w:ind w:left="0" w:right="0"/>
              <w:jc w:val="left"/>
              <w:rPr>
                <w:rFonts w:hint="default"/>
                <w:color w:val="auto"/>
                <w:highlight w:val="none"/>
                <w:lang w:val="en-US" w:eastAsia="zh-CN"/>
              </w:rPr>
            </w:pPr>
            <w:r>
              <w:rPr>
                <w:rFonts w:hint="default"/>
                <w:color w:val="auto"/>
                <w:highlight w:val="none"/>
                <w:lang w:val="en-US" w:eastAsia="zh-CN"/>
              </w:rPr>
              <w:t>（2）严格控制农药使用，逐步削减农业面源污染物排放量。</w:t>
            </w:r>
          </w:p>
          <w:p>
            <w:pPr>
              <w:pStyle w:val="22"/>
              <w:keepNext w:val="0"/>
              <w:keepLines w:val="0"/>
              <w:suppressLineNumbers w:val="0"/>
              <w:bidi w:val="0"/>
              <w:spacing w:before="0" w:beforeAutospacing="0" w:after="0" w:afterAutospacing="0"/>
              <w:ind w:left="0" w:right="0"/>
              <w:jc w:val="left"/>
              <w:rPr>
                <w:rFonts w:hint="default"/>
                <w:color w:val="auto"/>
                <w:highlight w:val="none"/>
              </w:rPr>
            </w:pPr>
            <w:r>
              <w:rPr>
                <w:rFonts w:hint="default"/>
                <w:color w:val="auto"/>
                <w:highlight w:val="none"/>
                <w:lang w:val="en-US" w:eastAsia="zh-CN"/>
              </w:rPr>
              <w:t>（3）积极推进综合利用各种建筑废弃物及秸秆、地膜、畜禽粪便等农业废弃物。</w:t>
            </w:r>
          </w:p>
        </w:tc>
        <w:tc>
          <w:tcPr>
            <w:tcW w:w="2818" w:type="dxa"/>
            <w:noWrap w:val="0"/>
            <w:vAlign w:val="center"/>
          </w:tcPr>
          <w:p>
            <w:pPr>
              <w:pStyle w:val="22"/>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eastAsia"/>
                <w:color w:val="auto"/>
                <w:highlight w:val="none"/>
                <w:lang w:val="en-US" w:eastAsia="zh-CN"/>
              </w:rPr>
              <w:t>本项目污水处理站恶臭经集中收集后通过活性炭吸附后排放，无组织NH</w:t>
            </w:r>
            <w:r>
              <w:rPr>
                <w:rFonts w:hint="eastAsia"/>
                <w:color w:val="auto"/>
                <w:highlight w:val="none"/>
                <w:vertAlign w:val="subscript"/>
                <w:lang w:val="en-US" w:eastAsia="zh-CN"/>
              </w:rPr>
              <w:t>3</w:t>
            </w:r>
            <w:r>
              <w:rPr>
                <w:rFonts w:hint="eastAsia"/>
                <w:color w:val="auto"/>
                <w:highlight w:val="none"/>
                <w:lang w:val="en-US" w:eastAsia="zh-CN"/>
              </w:rPr>
              <w:t>、H</w:t>
            </w:r>
            <w:r>
              <w:rPr>
                <w:rFonts w:hint="eastAsia"/>
                <w:color w:val="auto"/>
                <w:highlight w:val="none"/>
                <w:vertAlign w:val="subscript"/>
                <w:lang w:val="en-US" w:eastAsia="zh-CN"/>
              </w:rPr>
              <w:t>2</w:t>
            </w:r>
            <w:r>
              <w:rPr>
                <w:rFonts w:hint="eastAsia"/>
                <w:color w:val="auto"/>
                <w:highlight w:val="none"/>
                <w:lang w:val="en-US" w:eastAsia="zh-CN"/>
              </w:rPr>
              <w:t>S四周边界浓度能够满足《医疗机构水污染物排放标准》（GB18466-2005）表3标准要求；本项目理化实验废水经酸碱中和预处理后、实验楼生活污水经化粪池预处理后与微生物实验室废水一同进入自建污水处理站进行处理；办公楼生活污水经化粪池处理后与前述废水一同经市政污水管网排入皮山农场污水处理厂进行进一步处理一般固体废弃物委托环卫部门定时清运，危险废物</w:t>
            </w:r>
            <w:r>
              <w:rPr>
                <w:rFonts w:hint="eastAsia"/>
                <w:color w:val="auto"/>
                <w:highlight w:val="none"/>
                <w:lang w:eastAsia="zh-CN"/>
              </w:rPr>
              <w:t>暂存于危废暂存间，委托有危废资质单位处理</w:t>
            </w:r>
          </w:p>
        </w:tc>
        <w:tc>
          <w:tcPr>
            <w:tcW w:w="872" w:type="dxa"/>
            <w:noWrap w:val="0"/>
            <w:vAlign w:val="center"/>
          </w:tcPr>
          <w:p>
            <w:pPr>
              <w:pStyle w:val="22"/>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880" w:type="dxa"/>
            <w:noWrap w:val="0"/>
            <w:vAlign w:val="center"/>
          </w:tcPr>
          <w:p>
            <w:pPr>
              <w:pStyle w:val="22"/>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环境风险防控</w:t>
            </w:r>
          </w:p>
        </w:tc>
        <w:tc>
          <w:tcPr>
            <w:tcW w:w="3668" w:type="dxa"/>
            <w:noWrap w:val="0"/>
            <w:vAlign w:val="center"/>
          </w:tcPr>
          <w:p>
            <w:pPr>
              <w:pStyle w:val="22"/>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default"/>
                <w:color w:val="auto"/>
                <w:highlight w:val="none"/>
                <w:lang w:val="en-US" w:eastAsia="zh-CN"/>
              </w:rPr>
              <w:t>水环境其他重点管控区：</w:t>
            </w:r>
          </w:p>
          <w:p>
            <w:pPr>
              <w:pStyle w:val="22"/>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default"/>
                <w:color w:val="auto"/>
                <w:highlight w:val="none"/>
                <w:lang w:val="en-US" w:eastAsia="zh-CN"/>
              </w:rPr>
              <w:t>（1）执行水环境其他</w:t>
            </w:r>
          </w:p>
          <w:p>
            <w:pPr>
              <w:pStyle w:val="22"/>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default"/>
                <w:color w:val="auto"/>
                <w:highlight w:val="none"/>
                <w:lang w:val="en-US" w:eastAsia="zh-CN"/>
              </w:rPr>
              <w:t>重点管控区环境风险防控准入要求。</w:t>
            </w:r>
          </w:p>
          <w:p>
            <w:pPr>
              <w:pStyle w:val="22"/>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default"/>
                <w:color w:val="auto"/>
                <w:highlight w:val="none"/>
                <w:lang w:val="en-US" w:eastAsia="zh-CN"/>
              </w:rPr>
              <w:t>（2）合理布局各行业重大风险源的位置，避免将各种风险源设置在集中居民区或环境保护目标的上风向，远离主要的河流等地表水体。</w:t>
            </w:r>
          </w:p>
        </w:tc>
        <w:tc>
          <w:tcPr>
            <w:tcW w:w="2818" w:type="dxa"/>
            <w:noWrap w:val="0"/>
            <w:vAlign w:val="center"/>
          </w:tcPr>
          <w:p>
            <w:pPr>
              <w:pStyle w:val="22"/>
              <w:keepNext w:val="0"/>
              <w:keepLines w:val="0"/>
              <w:suppressLineNumbers w:val="0"/>
              <w:bidi w:val="0"/>
              <w:spacing w:before="0" w:beforeAutospacing="0" w:after="0" w:afterAutospacing="0"/>
              <w:ind w:left="0" w:right="0"/>
              <w:rPr>
                <w:rFonts w:hint="eastAsia" w:eastAsia="宋体"/>
                <w:color w:val="auto"/>
                <w:highlight w:val="none"/>
                <w:lang w:val="en-US" w:eastAsia="zh-CN"/>
              </w:rPr>
            </w:pPr>
            <w:r>
              <w:rPr>
                <w:rFonts w:hint="default"/>
                <w:color w:val="auto"/>
              </w:rPr>
              <w:t>本项目运营期内环境风险主要为污水事故排放，医疗垃圾收集、贮存和转运过程存在的风险等</w:t>
            </w:r>
            <w:r>
              <w:rPr>
                <w:rFonts w:hint="eastAsia"/>
                <w:color w:val="auto"/>
                <w:lang w:eastAsia="zh-CN"/>
              </w:rPr>
              <w:t>，</w:t>
            </w:r>
            <w:r>
              <w:rPr>
                <w:rFonts w:hint="eastAsia"/>
                <w:color w:val="auto"/>
                <w:lang w:val="en-US" w:eastAsia="zh-CN"/>
              </w:rPr>
              <w:t>为避免风险事故，尤其是避免风险事故发生后对环境造成严重的污染，建设单位应树立并强化环境风险意识，增加对环境风险的防范措施，并使这些措施在实际工作中得到落实。</w:t>
            </w:r>
          </w:p>
        </w:tc>
        <w:tc>
          <w:tcPr>
            <w:tcW w:w="872" w:type="dxa"/>
            <w:noWrap w:val="0"/>
            <w:vAlign w:val="center"/>
          </w:tcPr>
          <w:p>
            <w:pPr>
              <w:pStyle w:val="22"/>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880" w:type="dxa"/>
            <w:noWrap w:val="0"/>
            <w:vAlign w:val="center"/>
          </w:tcPr>
          <w:p>
            <w:pPr>
              <w:pStyle w:val="22"/>
              <w:keepNext w:val="0"/>
              <w:keepLines w:val="0"/>
              <w:suppressLineNumbers w:val="0"/>
              <w:bidi w:val="0"/>
              <w:spacing w:before="0" w:beforeAutospacing="0" w:after="0" w:afterAutospacing="0"/>
              <w:ind w:left="0" w:right="0"/>
              <w:rPr>
                <w:rFonts w:hint="default"/>
                <w:color w:val="auto"/>
                <w:highlight w:val="none"/>
              </w:rPr>
            </w:pPr>
            <w:r>
              <w:rPr>
                <w:rFonts w:hint="default"/>
                <w:color w:val="auto"/>
                <w:highlight w:val="none"/>
                <w:lang w:val="en-US" w:eastAsia="zh-CN"/>
              </w:rPr>
              <w:t>资源利用效率</w:t>
            </w:r>
          </w:p>
          <w:p>
            <w:pPr>
              <w:pStyle w:val="22"/>
              <w:keepNext w:val="0"/>
              <w:keepLines w:val="0"/>
              <w:suppressLineNumbers w:val="0"/>
              <w:bidi w:val="0"/>
              <w:spacing w:before="0" w:beforeAutospacing="0" w:after="0" w:afterAutospacing="0"/>
              <w:ind w:left="0" w:right="0"/>
              <w:rPr>
                <w:rFonts w:hint="default"/>
                <w:color w:val="auto"/>
                <w:highlight w:val="none"/>
              </w:rPr>
            </w:pPr>
          </w:p>
        </w:tc>
        <w:tc>
          <w:tcPr>
            <w:tcW w:w="3668" w:type="dxa"/>
            <w:noWrap w:val="0"/>
            <w:vAlign w:val="center"/>
          </w:tcPr>
          <w:p>
            <w:pPr>
              <w:pStyle w:val="22"/>
              <w:keepNext w:val="0"/>
              <w:keepLines w:val="0"/>
              <w:suppressLineNumbers w:val="0"/>
              <w:bidi w:val="0"/>
              <w:spacing w:before="0" w:beforeAutospacing="0" w:after="0" w:afterAutospacing="0"/>
              <w:ind w:left="0" w:right="0"/>
              <w:jc w:val="both"/>
              <w:rPr>
                <w:rFonts w:hint="default"/>
                <w:color w:val="auto"/>
                <w:highlight w:val="none"/>
                <w:lang w:val="en-US" w:eastAsia="zh-CN"/>
              </w:rPr>
            </w:pPr>
            <w:r>
              <w:rPr>
                <w:rFonts w:hint="default"/>
                <w:color w:val="auto"/>
                <w:highlight w:val="none"/>
                <w:lang w:val="en-US" w:eastAsia="zh-CN"/>
              </w:rPr>
              <w:t>农田：</w:t>
            </w:r>
          </w:p>
          <w:p>
            <w:pPr>
              <w:pStyle w:val="22"/>
              <w:keepNext w:val="0"/>
              <w:keepLines w:val="0"/>
              <w:suppressLineNumbers w:val="0"/>
              <w:bidi w:val="0"/>
              <w:spacing w:before="0" w:beforeAutospacing="0" w:after="0" w:afterAutospacing="0"/>
              <w:ind w:left="0" w:right="0"/>
              <w:jc w:val="both"/>
              <w:rPr>
                <w:rFonts w:hint="default"/>
                <w:color w:val="auto"/>
                <w:highlight w:val="none"/>
              </w:rPr>
            </w:pPr>
            <w:r>
              <w:rPr>
                <w:rFonts w:hint="default"/>
                <w:color w:val="auto"/>
                <w:highlight w:val="none"/>
                <w:lang w:val="en-US" w:eastAsia="zh-CN"/>
              </w:rPr>
              <w:t>（1）发展以喷滴灌和渠道防渗为中心的节水农业。改善灌溉基础设施，发展节水农林业，控制种植高耗水作物。</w:t>
            </w:r>
          </w:p>
        </w:tc>
        <w:tc>
          <w:tcPr>
            <w:tcW w:w="2818" w:type="dxa"/>
            <w:noWrap w:val="0"/>
            <w:vAlign w:val="center"/>
          </w:tcPr>
          <w:p>
            <w:pPr>
              <w:keepNext w:val="0"/>
              <w:keepLines w:val="0"/>
              <w:suppressLineNumbers w:val="0"/>
              <w:bidi w:val="0"/>
              <w:spacing w:before="0" w:beforeAutospacing="0" w:after="0" w:afterAutospacing="0" w:line="240" w:lineRule="auto"/>
              <w:ind w:left="0" w:right="0"/>
              <w:rPr>
                <w:rFonts w:hint="default"/>
                <w:color w:val="auto"/>
                <w:highlight w:val="none"/>
              </w:rPr>
            </w:pPr>
            <w:r>
              <w:rPr>
                <w:rFonts w:hint="eastAsia" w:ascii="宋体" w:hAnsi="宋体" w:eastAsia="宋体" w:cs="宋体"/>
                <w:color w:val="auto"/>
                <w:sz w:val="21"/>
                <w:szCs w:val="21"/>
              </w:rPr>
              <w:t>本项目建成运行后通过内部管理、污染治理等多方面采取可行的防治措施，以“节能、降耗、减污”为目标，有限地控制污染，项目的水、气等资源不会突破区域的资源利用上线。</w:t>
            </w:r>
          </w:p>
        </w:tc>
        <w:tc>
          <w:tcPr>
            <w:tcW w:w="872" w:type="dxa"/>
            <w:noWrap w:val="0"/>
            <w:vAlign w:val="center"/>
          </w:tcPr>
          <w:p>
            <w:pPr>
              <w:pStyle w:val="22"/>
              <w:keepNext w:val="0"/>
              <w:keepLines w:val="0"/>
              <w:suppressLineNumbers w:val="0"/>
              <w:bidi w:val="0"/>
              <w:spacing w:before="0" w:beforeAutospacing="0" w:after="0" w:afterAutospacing="0"/>
              <w:ind w:left="0" w:right="0"/>
              <w:rPr>
                <w:rFonts w:hint="eastAsia"/>
                <w:color w:val="auto"/>
                <w:highlight w:val="none"/>
                <w:lang w:val="en-US" w:eastAsia="zh-CN"/>
              </w:rPr>
            </w:pPr>
            <w:r>
              <w:rPr>
                <w:rFonts w:hint="eastAsia"/>
                <w:color w:val="auto"/>
                <w:highlight w:val="none"/>
                <w:lang w:val="en-US" w:eastAsia="zh-CN"/>
              </w:rPr>
              <w:t>符合</w:t>
            </w:r>
          </w:p>
        </w:tc>
      </w:tr>
    </w:tbl>
    <w:p>
      <w:pPr>
        <w:pStyle w:val="6"/>
        <w:bidi w:val="0"/>
        <w:rPr>
          <w:rFonts w:hint="eastAsia"/>
          <w:color w:val="auto"/>
          <w:lang w:val="en-US" w:eastAsia="zh-CN"/>
        </w:rPr>
      </w:pPr>
      <w:bookmarkStart w:id="46" w:name="_Toc3824"/>
      <w:r>
        <w:rPr>
          <w:rFonts w:hint="eastAsia"/>
          <w:color w:val="auto"/>
          <w:lang w:val="en-US" w:eastAsia="zh-CN"/>
        </w:rPr>
        <w:t>2.9.3选址符合性分析</w:t>
      </w:r>
      <w:bookmarkEnd w:id="46"/>
    </w:p>
    <w:p>
      <w:pPr>
        <w:bidi w:val="0"/>
        <w:rPr>
          <w:color w:val="auto"/>
        </w:rPr>
      </w:pPr>
      <w:r>
        <w:rPr>
          <w:color w:val="auto"/>
        </w:rPr>
        <w:t>根据《疾病预防控制中心建筑技术规范》（GB50881-2013）中对疾控中心选址的要求，结合本项目选址分析见表2.9-</w:t>
      </w:r>
      <w:r>
        <w:rPr>
          <w:rFonts w:hint="eastAsia"/>
          <w:color w:val="auto"/>
          <w:lang w:val="en-US" w:eastAsia="zh-CN"/>
        </w:rPr>
        <w:t>3</w:t>
      </w:r>
      <w:r>
        <w:rPr>
          <w:color w:val="auto"/>
        </w:rPr>
        <w:t>。</w:t>
      </w:r>
    </w:p>
    <w:p>
      <w:pPr>
        <w:pStyle w:val="22"/>
        <w:bidi w:val="0"/>
        <w:rPr>
          <w:rFonts w:hint="default"/>
          <w:b/>
          <w:bCs/>
          <w:color w:val="auto"/>
          <w:lang w:val="en-US" w:eastAsia="zh-CN"/>
        </w:rPr>
      </w:pPr>
      <w:r>
        <w:rPr>
          <w:b/>
          <w:bCs/>
          <w:color w:val="auto"/>
        </w:rPr>
        <w:t>表2.9</w:t>
      </w:r>
      <w:r>
        <w:rPr>
          <w:rFonts w:hint="eastAsia"/>
          <w:b/>
          <w:bCs/>
          <w:color w:val="auto"/>
          <w:lang w:val="en-US" w:eastAsia="zh-CN"/>
        </w:rPr>
        <w:t>-3</w:t>
      </w:r>
      <w:r>
        <w:rPr>
          <w:b/>
          <w:bCs/>
          <w:color w:val="auto"/>
        </w:rPr>
        <w:t>项目选址与（GB50881-2013）要求对比一览表</w:t>
      </w:r>
    </w:p>
    <w:tbl>
      <w:tblPr>
        <w:tblStyle w:val="23"/>
        <w:tblW w:w="857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6"/>
        <w:gridCol w:w="3550"/>
        <w:gridCol w:w="3414"/>
        <w:gridCol w:w="8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jc w:val="center"/>
        </w:trPr>
        <w:tc>
          <w:tcPr>
            <w:tcW w:w="806" w:type="dxa"/>
            <w:tcBorders>
              <w:tl2br w:val="nil"/>
              <w:tr2bl w:val="nil"/>
            </w:tcBorders>
            <w:vAlign w:val="center"/>
          </w:tcPr>
          <w:p>
            <w:pPr>
              <w:pStyle w:val="22"/>
              <w:bidi w:val="0"/>
              <w:jc w:val="center"/>
              <w:rPr>
                <w:b/>
                <w:bCs/>
                <w:color w:val="auto"/>
              </w:rPr>
            </w:pPr>
            <w:r>
              <w:rPr>
                <w:b/>
                <w:bCs/>
                <w:color w:val="auto"/>
              </w:rPr>
              <w:t>项目</w:t>
            </w:r>
          </w:p>
        </w:tc>
        <w:tc>
          <w:tcPr>
            <w:tcW w:w="3550" w:type="dxa"/>
            <w:tcBorders>
              <w:tl2br w:val="nil"/>
              <w:tr2bl w:val="nil"/>
            </w:tcBorders>
            <w:vAlign w:val="center"/>
          </w:tcPr>
          <w:p>
            <w:pPr>
              <w:pStyle w:val="22"/>
              <w:bidi w:val="0"/>
              <w:jc w:val="center"/>
              <w:rPr>
                <w:b/>
                <w:bCs/>
                <w:color w:val="auto"/>
              </w:rPr>
            </w:pPr>
            <w:r>
              <w:rPr>
                <w:b/>
                <w:bCs/>
                <w:color w:val="auto"/>
              </w:rPr>
              <w:t>（GB50881-2013）要求</w:t>
            </w:r>
          </w:p>
        </w:tc>
        <w:tc>
          <w:tcPr>
            <w:tcW w:w="3414" w:type="dxa"/>
            <w:tcBorders>
              <w:tl2br w:val="nil"/>
              <w:tr2bl w:val="nil"/>
            </w:tcBorders>
            <w:vAlign w:val="center"/>
          </w:tcPr>
          <w:p>
            <w:pPr>
              <w:pStyle w:val="22"/>
              <w:bidi w:val="0"/>
              <w:jc w:val="center"/>
              <w:rPr>
                <w:b/>
                <w:bCs/>
                <w:color w:val="auto"/>
              </w:rPr>
            </w:pPr>
            <w:r>
              <w:rPr>
                <w:b/>
                <w:bCs/>
                <w:color w:val="auto"/>
              </w:rPr>
              <w:t>本项目</w:t>
            </w:r>
          </w:p>
        </w:tc>
        <w:tc>
          <w:tcPr>
            <w:tcW w:w="808" w:type="dxa"/>
            <w:tcBorders>
              <w:tl2br w:val="nil"/>
              <w:tr2bl w:val="nil"/>
            </w:tcBorders>
            <w:vAlign w:val="center"/>
          </w:tcPr>
          <w:p>
            <w:pPr>
              <w:pStyle w:val="22"/>
              <w:bidi w:val="0"/>
              <w:jc w:val="center"/>
              <w:rPr>
                <w:b/>
                <w:bCs/>
                <w:color w:val="auto"/>
              </w:rPr>
            </w:pPr>
            <w:r>
              <w:rPr>
                <w:b/>
                <w:bCs/>
                <w:color w:val="auto"/>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jc w:val="center"/>
        </w:trPr>
        <w:tc>
          <w:tcPr>
            <w:tcW w:w="806" w:type="dxa"/>
            <w:vMerge w:val="restart"/>
            <w:tcBorders>
              <w:tl2br w:val="nil"/>
              <w:tr2bl w:val="nil"/>
            </w:tcBorders>
            <w:vAlign w:val="center"/>
          </w:tcPr>
          <w:p>
            <w:pPr>
              <w:pStyle w:val="22"/>
              <w:bidi w:val="0"/>
              <w:jc w:val="center"/>
              <w:rPr>
                <w:color w:val="auto"/>
              </w:rPr>
            </w:pPr>
          </w:p>
          <w:p>
            <w:pPr>
              <w:pStyle w:val="22"/>
              <w:bidi w:val="0"/>
              <w:jc w:val="center"/>
              <w:rPr>
                <w:color w:val="auto"/>
              </w:rPr>
            </w:pPr>
          </w:p>
          <w:p>
            <w:pPr>
              <w:pStyle w:val="22"/>
              <w:bidi w:val="0"/>
              <w:jc w:val="center"/>
              <w:rPr>
                <w:color w:val="auto"/>
              </w:rPr>
            </w:pPr>
          </w:p>
          <w:p>
            <w:pPr>
              <w:pStyle w:val="22"/>
              <w:bidi w:val="0"/>
              <w:jc w:val="center"/>
              <w:rPr>
                <w:color w:val="auto"/>
              </w:rPr>
            </w:pPr>
          </w:p>
          <w:p>
            <w:pPr>
              <w:pStyle w:val="22"/>
              <w:bidi w:val="0"/>
              <w:jc w:val="center"/>
              <w:rPr>
                <w:color w:val="auto"/>
              </w:rPr>
            </w:pPr>
          </w:p>
          <w:p>
            <w:pPr>
              <w:pStyle w:val="22"/>
              <w:bidi w:val="0"/>
              <w:jc w:val="center"/>
              <w:rPr>
                <w:color w:val="auto"/>
              </w:rPr>
            </w:pPr>
          </w:p>
          <w:p>
            <w:pPr>
              <w:pStyle w:val="22"/>
              <w:bidi w:val="0"/>
              <w:jc w:val="center"/>
              <w:rPr>
                <w:rFonts w:hint="default" w:eastAsia="宋体"/>
                <w:color w:val="auto"/>
                <w:lang w:val="en-US" w:eastAsia="zh-CN"/>
              </w:rPr>
            </w:pPr>
          </w:p>
          <w:p>
            <w:pPr>
              <w:pStyle w:val="22"/>
              <w:bidi w:val="0"/>
              <w:jc w:val="center"/>
              <w:rPr>
                <w:color w:val="auto"/>
              </w:rPr>
            </w:pPr>
            <w:r>
              <w:rPr>
                <w:color w:val="auto"/>
              </w:rPr>
              <w:t>选址</w:t>
            </w:r>
          </w:p>
        </w:tc>
        <w:tc>
          <w:tcPr>
            <w:tcW w:w="3550" w:type="dxa"/>
            <w:tcBorders>
              <w:tl2br w:val="nil"/>
              <w:tr2bl w:val="nil"/>
            </w:tcBorders>
            <w:vAlign w:val="center"/>
          </w:tcPr>
          <w:p>
            <w:pPr>
              <w:pStyle w:val="22"/>
              <w:bidi w:val="0"/>
              <w:jc w:val="center"/>
              <w:rPr>
                <w:color w:val="auto"/>
              </w:rPr>
            </w:pPr>
            <w:r>
              <w:rPr>
                <w:color w:val="auto"/>
              </w:rPr>
              <w:t>疾控中心的选址，应符合所在城市的总体规划和布局要求</w:t>
            </w:r>
          </w:p>
        </w:tc>
        <w:tc>
          <w:tcPr>
            <w:tcW w:w="3414" w:type="dxa"/>
            <w:vMerge w:val="restart"/>
            <w:tcBorders>
              <w:tl2br w:val="nil"/>
              <w:tr2bl w:val="nil"/>
            </w:tcBorders>
            <w:vAlign w:val="center"/>
          </w:tcPr>
          <w:p>
            <w:pPr>
              <w:pStyle w:val="22"/>
              <w:bidi w:val="0"/>
              <w:jc w:val="both"/>
              <w:rPr>
                <w:rFonts w:hint="eastAsia" w:eastAsia="宋体"/>
                <w:color w:val="auto"/>
                <w:lang w:val="en-US" w:eastAsia="zh-CN"/>
              </w:rPr>
            </w:pPr>
            <w:r>
              <w:rPr>
                <w:color w:val="auto"/>
              </w:rPr>
              <w:t>本项目用地为</w:t>
            </w:r>
            <w:r>
              <w:rPr>
                <w:rFonts w:hint="eastAsia"/>
                <w:color w:val="auto"/>
                <w:lang w:eastAsia="zh-CN"/>
              </w:rPr>
              <w:t>医疗设施用地</w:t>
            </w:r>
            <w:r>
              <w:rPr>
                <w:color w:val="auto"/>
              </w:rPr>
              <w:t>，</w:t>
            </w:r>
            <w:r>
              <w:rPr>
                <w:rFonts w:hint="eastAsia"/>
                <w:color w:val="auto"/>
                <w:lang w:val="en-US" w:eastAsia="zh-CN"/>
              </w:rPr>
              <w:t>位</w:t>
            </w:r>
            <w:r>
              <w:rPr>
                <w:color w:val="auto"/>
                <w:lang w:val="en-US" w:eastAsia="zh-CN"/>
              </w:rPr>
              <w:t>于皮山农场镇区皮山医院院内</w:t>
            </w:r>
            <w:r>
              <w:rPr>
                <w:color w:val="auto"/>
              </w:rPr>
              <w:t>所在建筑，地势平坦、供电及排水便利，有利于交通流线组织，各项基础设施齐全。符合疾病预防控制中心的选址原则</w:t>
            </w:r>
          </w:p>
        </w:tc>
        <w:tc>
          <w:tcPr>
            <w:tcW w:w="808" w:type="dxa"/>
            <w:vMerge w:val="restart"/>
            <w:tcBorders>
              <w:tl2br w:val="nil"/>
              <w:tr2bl w:val="nil"/>
            </w:tcBorders>
            <w:vAlign w:val="center"/>
          </w:tcPr>
          <w:p>
            <w:pPr>
              <w:pStyle w:val="22"/>
              <w:bidi w:val="0"/>
              <w:jc w:val="center"/>
              <w:rPr>
                <w:color w:val="auto"/>
              </w:rPr>
            </w:pPr>
          </w:p>
          <w:p>
            <w:pPr>
              <w:pStyle w:val="22"/>
              <w:bidi w:val="0"/>
              <w:jc w:val="center"/>
              <w:rPr>
                <w:color w:val="auto"/>
              </w:rPr>
            </w:pPr>
          </w:p>
          <w:p>
            <w:pPr>
              <w:pStyle w:val="22"/>
              <w:bidi w:val="0"/>
              <w:jc w:val="center"/>
              <w:rPr>
                <w:color w:val="auto"/>
              </w:rPr>
            </w:pPr>
          </w:p>
          <w:p>
            <w:pPr>
              <w:pStyle w:val="22"/>
              <w:bidi w:val="0"/>
              <w:jc w:val="center"/>
              <w:rPr>
                <w:color w:val="auto"/>
              </w:rPr>
            </w:pPr>
          </w:p>
          <w:p>
            <w:pPr>
              <w:pStyle w:val="22"/>
              <w:bidi w:val="0"/>
              <w:jc w:val="center"/>
              <w:rPr>
                <w:color w:val="auto"/>
              </w:rPr>
            </w:pPr>
          </w:p>
          <w:p>
            <w:pPr>
              <w:pStyle w:val="22"/>
              <w:bidi w:val="0"/>
              <w:jc w:val="center"/>
              <w:rPr>
                <w:color w:val="auto"/>
              </w:rPr>
            </w:pPr>
          </w:p>
          <w:p>
            <w:pPr>
              <w:pStyle w:val="22"/>
              <w:bidi w:val="0"/>
              <w:jc w:val="center"/>
              <w:rPr>
                <w:color w:val="auto"/>
              </w:rPr>
            </w:pPr>
          </w:p>
          <w:p>
            <w:pPr>
              <w:pStyle w:val="22"/>
              <w:bidi w:val="0"/>
              <w:jc w:val="center"/>
              <w:rPr>
                <w:color w:val="auto"/>
              </w:rPr>
            </w:pPr>
            <w:r>
              <w:rPr>
                <w:color w:val="auto"/>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 w:hRule="atLeast"/>
          <w:jc w:val="center"/>
        </w:trPr>
        <w:tc>
          <w:tcPr>
            <w:tcW w:w="806" w:type="dxa"/>
            <w:vMerge w:val="continue"/>
            <w:tcBorders>
              <w:tl2br w:val="nil"/>
              <w:tr2bl w:val="nil"/>
            </w:tcBorders>
            <w:vAlign w:val="center"/>
          </w:tcPr>
          <w:p>
            <w:pPr>
              <w:pStyle w:val="22"/>
              <w:bidi w:val="0"/>
              <w:jc w:val="center"/>
              <w:rPr>
                <w:color w:val="auto"/>
              </w:rPr>
            </w:pPr>
          </w:p>
        </w:tc>
        <w:tc>
          <w:tcPr>
            <w:tcW w:w="3550" w:type="dxa"/>
            <w:tcBorders>
              <w:tl2br w:val="nil"/>
              <w:tr2bl w:val="nil"/>
            </w:tcBorders>
            <w:vAlign w:val="center"/>
          </w:tcPr>
          <w:p>
            <w:pPr>
              <w:pStyle w:val="22"/>
              <w:bidi w:val="0"/>
              <w:jc w:val="center"/>
              <w:rPr>
                <w:color w:val="auto"/>
              </w:rPr>
            </w:pPr>
            <w:r>
              <w:rPr>
                <w:color w:val="auto"/>
              </w:rPr>
              <w:t>疾控中心选址应具备较好的工程地质条件和水文地质条件</w:t>
            </w:r>
          </w:p>
        </w:tc>
        <w:tc>
          <w:tcPr>
            <w:tcW w:w="3414" w:type="dxa"/>
            <w:vMerge w:val="continue"/>
            <w:tcBorders>
              <w:tl2br w:val="nil"/>
              <w:tr2bl w:val="nil"/>
            </w:tcBorders>
            <w:vAlign w:val="center"/>
          </w:tcPr>
          <w:p>
            <w:pPr>
              <w:pStyle w:val="22"/>
              <w:bidi w:val="0"/>
              <w:jc w:val="center"/>
              <w:rPr>
                <w:color w:val="auto"/>
              </w:rPr>
            </w:pPr>
          </w:p>
        </w:tc>
        <w:tc>
          <w:tcPr>
            <w:tcW w:w="808" w:type="dxa"/>
            <w:vMerge w:val="continue"/>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06" w:type="dxa"/>
            <w:vMerge w:val="continue"/>
            <w:tcBorders>
              <w:tl2br w:val="nil"/>
              <w:tr2bl w:val="nil"/>
            </w:tcBorders>
            <w:vAlign w:val="center"/>
          </w:tcPr>
          <w:p>
            <w:pPr>
              <w:pStyle w:val="22"/>
              <w:bidi w:val="0"/>
              <w:jc w:val="center"/>
              <w:rPr>
                <w:color w:val="auto"/>
              </w:rPr>
            </w:pPr>
          </w:p>
        </w:tc>
        <w:tc>
          <w:tcPr>
            <w:tcW w:w="3550" w:type="dxa"/>
            <w:tcBorders>
              <w:tl2br w:val="nil"/>
              <w:tr2bl w:val="nil"/>
            </w:tcBorders>
            <w:vAlign w:val="center"/>
          </w:tcPr>
          <w:p>
            <w:pPr>
              <w:pStyle w:val="22"/>
              <w:bidi w:val="0"/>
              <w:jc w:val="center"/>
              <w:rPr>
                <w:color w:val="auto"/>
              </w:rPr>
            </w:pPr>
            <w:r>
              <w:rPr>
                <w:color w:val="auto"/>
              </w:rPr>
              <w:t>周边</w:t>
            </w:r>
            <w:r>
              <w:rPr>
                <w:rFonts w:hint="eastAsia"/>
                <w:color w:val="auto"/>
                <w:lang w:eastAsia="zh-CN"/>
              </w:rPr>
              <w:t>已有</w:t>
            </w:r>
            <w:r>
              <w:rPr>
                <w:color w:val="auto"/>
              </w:rPr>
              <w:t>便利的水、电、路等公用基础设施</w:t>
            </w:r>
          </w:p>
        </w:tc>
        <w:tc>
          <w:tcPr>
            <w:tcW w:w="3414" w:type="dxa"/>
            <w:vMerge w:val="continue"/>
            <w:tcBorders>
              <w:tl2br w:val="nil"/>
              <w:tr2bl w:val="nil"/>
            </w:tcBorders>
            <w:vAlign w:val="center"/>
          </w:tcPr>
          <w:p>
            <w:pPr>
              <w:pStyle w:val="22"/>
              <w:bidi w:val="0"/>
              <w:jc w:val="center"/>
              <w:rPr>
                <w:color w:val="auto"/>
              </w:rPr>
            </w:pPr>
          </w:p>
        </w:tc>
        <w:tc>
          <w:tcPr>
            <w:tcW w:w="808" w:type="dxa"/>
            <w:vMerge w:val="continue"/>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3" w:hRule="atLeast"/>
          <w:jc w:val="center"/>
        </w:trPr>
        <w:tc>
          <w:tcPr>
            <w:tcW w:w="806" w:type="dxa"/>
            <w:vMerge w:val="continue"/>
            <w:tcBorders>
              <w:tl2br w:val="nil"/>
              <w:tr2bl w:val="nil"/>
            </w:tcBorders>
            <w:vAlign w:val="center"/>
          </w:tcPr>
          <w:p>
            <w:pPr>
              <w:pStyle w:val="22"/>
              <w:bidi w:val="0"/>
              <w:jc w:val="center"/>
              <w:rPr>
                <w:color w:val="auto"/>
              </w:rPr>
            </w:pPr>
          </w:p>
        </w:tc>
        <w:tc>
          <w:tcPr>
            <w:tcW w:w="3550" w:type="dxa"/>
            <w:tcBorders>
              <w:tl2br w:val="nil"/>
              <w:tr2bl w:val="nil"/>
            </w:tcBorders>
            <w:vAlign w:val="center"/>
          </w:tcPr>
          <w:p>
            <w:pPr>
              <w:pStyle w:val="22"/>
              <w:bidi w:val="0"/>
              <w:jc w:val="center"/>
              <w:rPr>
                <w:color w:val="auto"/>
              </w:rPr>
            </w:pPr>
            <w:r>
              <w:rPr>
                <w:color w:val="auto"/>
              </w:rPr>
              <w:t>地形应规整，交通方便</w:t>
            </w:r>
          </w:p>
        </w:tc>
        <w:tc>
          <w:tcPr>
            <w:tcW w:w="3414" w:type="dxa"/>
            <w:vMerge w:val="continue"/>
            <w:tcBorders>
              <w:tl2br w:val="nil"/>
              <w:tr2bl w:val="nil"/>
            </w:tcBorders>
            <w:vAlign w:val="center"/>
          </w:tcPr>
          <w:p>
            <w:pPr>
              <w:pStyle w:val="22"/>
              <w:bidi w:val="0"/>
              <w:jc w:val="center"/>
              <w:rPr>
                <w:color w:val="auto"/>
              </w:rPr>
            </w:pPr>
          </w:p>
        </w:tc>
        <w:tc>
          <w:tcPr>
            <w:tcW w:w="808" w:type="dxa"/>
            <w:vMerge w:val="continue"/>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jc w:val="center"/>
        </w:trPr>
        <w:tc>
          <w:tcPr>
            <w:tcW w:w="806" w:type="dxa"/>
            <w:vMerge w:val="continue"/>
            <w:tcBorders>
              <w:tl2br w:val="nil"/>
              <w:tr2bl w:val="nil"/>
            </w:tcBorders>
            <w:vAlign w:val="center"/>
          </w:tcPr>
          <w:p>
            <w:pPr>
              <w:pStyle w:val="22"/>
              <w:bidi w:val="0"/>
              <w:jc w:val="center"/>
              <w:rPr>
                <w:color w:val="auto"/>
              </w:rPr>
            </w:pPr>
          </w:p>
        </w:tc>
        <w:tc>
          <w:tcPr>
            <w:tcW w:w="3550" w:type="dxa"/>
            <w:tcBorders>
              <w:tl2br w:val="nil"/>
              <w:tr2bl w:val="nil"/>
            </w:tcBorders>
            <w:vAlign w:val="center"/>
          </w:tcPr>
          <w:p>
            <w:pPr>
              <w:pStyle w:val="22"/>
              <w:bidi w:val="0"/>
              <w:jc w:val="center"/>
              <w:rPr>
                <w:color w:val="auto"/>
              </w:rPr>
            </w:pPr>
            <w:r>
              <w:rPr>
                <w:color w:val="auto"/>
              </w:rPr>
              <w:t>应避让饮用水源保护区</w:t>
            </w:r>
          </w:p>
        </w:tc>
        <w:tc>
          <w:tcPr>
            <w:tcW w:w="3414" w:type="dxa"/>
            <w:tcBorders>
              <w:tl2br w:val="nil"/>
              <w:tr2bl w:val="nil"/>
            </w:tcBorders>
            <w:vAlign w:val="center"/>
          </w:tcPr>
          <w:p>
            <w:pPr>
              <w:pStyle w:val="22"/>
              <w:bidi w:val="0"/>
              <w:jc w:val="center"/>
              <w:rPr>
                <w:color w:val="auto"/>
              </w:rPr>
            </w:pPr>
            <w:r>
              <w:rPr>
                <w:color w:val="auto"/>
              </w:rPr>
              <w:t>项目不在饮用水源保护区内</w:t>
            </w:r>
          </w:p>
        </w:tc>
        <w:tc>
          <w:tcPr>
            <w:tcW w:w="808" w:type="dxa"/>
            <w:vMerge w:val="continue"/>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1" w:hRule="atLeast"/>
          <w:jc w:val="center"/>
        </w:trPr>
        <w:tc>
          <w:tcPr>
            <w:tcW w:w="806" w:type="dxa"/>
            <w:vMerge w:val="continue"/>
            <w:tcBorders>
              <w:tl2br w:val="nil"/>
              <w:tr2bl w:val="nil"/>
            </w:tcBorders>
            <w:vAlign w:val="center"/>
          </w:tcPr>
          <w:p>
            <w:pPr>
              <w:pStyle w:val="22"/>
              <w:bidi w:val="0"/>
              <w:jc w:val="center"/>
              <w:rPr>
                <w:color w:val="auto"/>
              </w:rPr>
            </w:pPr>
          </w:p>
        </w:tc>
        <w:tc>
          <w:tcPr>
            <w:tcW w:w="3550" w:type="dxa"/>
            <w:tcBorders>
              <w:tl2br w:val="nil"/>
              <w:tr2bl w:val="nil"/>
            </w:tcBorders>
            <w:vAlign w:val="center"/>
          </w:tcPr>
          <w:p>
            <w:pPr>
              <w:pStyle w:val="22"/>
              <w:bidi w:val="0"/>
              <w:jc w:val="center"/>
              <w:rPr>
                <w:color w:val="auto"/>
              </w:rPr>
            </w:pPr>
            <w:r>
              <w:rPr>
                <w:color w:val="auto"/>
              </w:rPr>
              <w:t>应避开化学、生物、噪声、振动、强电磁场等污染源、干扰源及易燃易爆场所</w:t>
            </w:r>
          </w:p>
        </w:tc>
        <w:tc>
          <w:tcPr>
            <w:tcW w:w="3414" w:type="dxa"/>
            <w:tcBorders>
              <w:tl2br w:val="nil"/>
              <w:tr2bl w:val="nil"/>
            </w:tcBorders>
            <w:vAlign w:val="center"/>
          </w:tcPr>
          <w:p>
            <w:pPr>
              <w:pStyle w:val="22"/>
              <w:bidi w:val="0"/>
              <w:jc w:val="center"/>
              <w:rPr>
                <w:color w:val="auto"/>
              </w:rPr>
            </w:pPr>
            <w:r>
              <w:rPr>
                <w:color w:val="auto"/>
              </w:rPr>
              <w:t>区域周边主要为</w:t>
            </w:r>
            <w:r>
              <w:rPr>
                <w:rFonts w:hint="eastAsia"/>
                <w:color w:val="auto"/>
                <w:lang w:val="en-US" w:eastAsia="zh-CN"/>
              </w:rPr>
              <w:t>医疗设施用地</w:t>
            </w:r>
            <w:r>
              <w:rPr>
                <w:color w:val="auto"/>
              </w:rPr>
              <w:t>，不存在化学、生物、噪声、振动、强电磁场等污染源、干扰源及易燃易爆场所</w:t>
            </w:r>
          </w:p>
        </w:tc>
        <w:tc>
          <w:tcPr>
            <w:tcW w:w="808" w:type="dxa"/>
            <w:vMerge w:val="continue"/>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9" w:hRule="atLeast"/>
          <w:jc w:val="center"/>
        </w:trPr>
        <w:tc>
          <w:tcPr>
            <w:tcW w:w="806" w:type="dxa"/>
            <w:vMerge w:val="continue"/>
            <w:tcBorders>
              <w:tl2br w:val="nil"/>
              <w:tr2bl w:val="nil"/>
            </w:tcBorders>
            <w:vAlign w:val="center"/>
          </w:tcPr>
          <w:p>
            <w:pPr>
              <w:pStyle w:val="22"/>
              <w:bidi w:val="0"/>
              <w:jc w:val="center"/>
              <w:rPr>
                <w:color w:val="auto"/>
              </w:rPr>
            </w:pPr>
          </w:p>
        </w:tc>
        <w:tc>
          <w:tcPr>
            <w:tcW w:w="3550" w:type="dxa"/>
            <w:tcBorders>
              <w:tl2br w:val="nil"/>
              <w:tr2bl w:val="nil"/>
            </w:tcBorders>
            <w:vAlign w:val="center"/>
          </w:tcPr>
          <w:p>
            <w:pPr>
              <w:pStyle w:val="22"/>
              <w:bidi w:val="0"/>
              <w:jc w:val="center"/>
              <w:rPr>
                <w:color w:val="auto"/>
              </w:rPr>
            </w:pPr>
            <w:r>
              <w:rPr>
                <w:color w:val="auto"/>
              </w:rPr>
              <w:t>应避开地震断裂带、滑坡、泥石流、洪水、山洪等自然灾害地段。对建筑抗震不利地段，应提出避开要求或采取有效措施；严禁在抗震危险地段建造疾控中心的各类建筑</w:t>
            </w:r>
          </w:p>
        </w:tc>
        <w:tc>
          <w:tcPr>
            <w:tcW w:w="3414" w:type="dxa"/>
            <w:tcBorders>
              <w:tl2br w:val="nil"/>
              <w:tr2bl w:val="nil"/>
            </w:tcBorders>
            <w:vAlign w:val="center"/>
          </w:tcPr>
          <w:p>
            <w:pPr>
              <w:pStyle w:val="22"/>
              <w:bidi w:val="0"/>
              <w:jc w:val="center"/>
              <w:rPr>
                <w:color w:val="auto"/>
              </w:rPr>
            </w:pPr>
          </w:p>
          <w:p>
            <w:pPr>
              <w:pStyle w:val="22"/>
              <w:bidi w:val="0"/>
              <w:jc w:val="center"/>
              <w:rPr>
                <w:color w:val="auto"/>
              </w:rPr>
            </w:pPr>
            <w:r>
              <w:rPr>
                <w:color w:val="auto"/>
              </w:rPr>
              <w:t>项目不在地震断裂带、滑坡、泥石流、洪水、山洪等自然灾害地段</w:t>
            </w:r>
          </w:p>
        </w:tc>
        <w:tc>
          <w:tcPr>
            <w:tcW w:w="808" w:type="dxa"/>
            <w:vMerge w:val="continue"/>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6" w:hRule="atLeast"/>
          <w:jc w:val="center"/>
        </w:trPr>
        <w:tc>
          <w:tcPr>
            <w:tcW w:w="806" w:type="dxa"/>
            <w:vMerge w:val="restart"/>
            <w:tcBorders>
              <w:tl2br w:val="nil"/>
              <w:tr2bl w:val="nil"/>
            </w:tcBorders>
            <w:vAlign w:val="center"/>
          </w:tcPr>
          <w:p>
            <w:pPr>
              <w:pStyle w:val="22"/>
              <w:bidi w:val="0"/>
              <w:jc w:val="center"/>
              <w:rPr>
                <w:color w:val="auto"/>
              </w:rPr>
            </w:pPr>
            <w:r>
              <w:rPr>
                <w:color w:val="auto"/>
              </w:rPr>
              <w:t>总平面</w:t>
            </w:r>
          </w:p>
          <w:p>
            <w:pPr>
              <w:pStyle w:val="22"/>
              <w:bidi w:val="0"/>
              <w:jc w:val="center"/>
              <w:rPr>
                <w:color w:val="auto"/>
              </w:rPr>
            </w:pPr>
            <w:r>
              <w:rPr>
                <w:color w:val="auto"/>
              </w:rPr>
              <w:t>布局</w:t>
            </w:r>
          </w:p>
        </w:tc>
        <w:tc>
          <w:tcPr>
            <w:tcW w:w="3550" w:type="dxa"/>
            <w:tcBorders>
              <w:tl2br w:val="nil"/>
              <w:tr2bl w:val="nil"/>
            </w:tcBorders>
            <w:vAlign w:val="center"/>
          </w:tcPr>
          <w:p>
            <w:pPr>
              <w:pStyle w:val="22"/>
              <w:bidi w:val="0"/>
              <w:jc w:val="center"/>
              <w:rPr>
                <w:color w:val="auto"/>
              </w:rPr>
            </w:pPr>
          </w:p>
          <w:p>
            <w:pPr>
              <w:pStyle w:val="22"/>
              <w:bidi w:val="0"/>
              <w:jc w:val="center"/>
              <w:rPr>
                <w:color w:val="auto"/>
              </w:rPr>
            </w:pPr>
            <w:r>
              <w:rPr>
                <w:color w:val="auto"/>
              </w:rPr>
              <w:t>实验用房在基地内宜相对独立设置</w:t>
            </w:r>
          </w:p>
        </w:tc>
        <w:tc>
          <w:tcPr>
            <w:tcW w:w="3414" w:type="dxa"/>
            <w:tcBorders>
              <w:tl2br w:val="nil"/>
              <w:tr2bl w:val="nil"/>
            </w:tcBorders>
            <w:vAlign w:val="center"/>
          </w:tcPr>
          <w:p>
            <w:pPr>
              <w:pStyle w:val="22"/>
              <w:bidi w:val="0"/>
              <w:jc w:val="center"/>
              <w:rPr>
                <w:color w:val="auto"/>
                <w:highlight w:val="none"/>
              </w:rPr>
            </w:pPr>
            <w:r>
              <w:rPr>
                <w:color w:val="auto"/>
                <w:highlight w:val="none"/>
              </w:rPr>
              <w:t>实验室在</w:t>
            </w:r>
            <w:r>
              <w:rPr>
                <w:rFonts w:hint="eastAsia"/>
                <w:color w:val="auto"/>
                <w:highlight w:val="none"/>
                <w:lang w:val="en-US" w:eastAsia="zh-CN"/>
              </w:rPr>
              <w:t>2</w:t>
            </w:r>
            <w:r>
              <w:rPr>
                <w:color w:val="auto"/>
                <w:highlight w:val="none"/>
              </w:rPr>
              <w:t>楼设置，设有污梯专门用于实验物资及污物流转使用，起到人污分流</w:t>
            </w:r>
          </w:p>
        </w:tc>
        <w:tc>
          <w:tcPr>
            <w:tcW w:w="808" w:type="dxa"/>
            <w:tcBorders>
              <w:tl2br w:val="nil"/>
              <w:tr2bl w:val="nil"/>
            </w:tcBorders>
            <w:vAlign w:val="center"/>
          </w:tcPr>
          <w:p>
            <w:pPr>
              <w:pStyle w:val="22"/>
              <w:bidi w:val="0"/>
              <w:jc w:val="center"/>
              <w:rPr>
                <w:color w:val="auto"/>
              </w:rPr>
            </w:pPr>
          </w:p>
          <w:p>
            <w:pPr>
              <w:pStyle w:val="22"/>
              <w:bidi w:val="0"/>
              <w:jc w:val="center"/>
              <w:rPr>
                <w:color w:val="auto"/>
              </w:rPr>
            </w:pPr>
            <w:r>
              <w:rPr>
                <w:color w:val="auto"/>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5" w:hRule="atLeast"/>
          <w:jc w:val="center"/>
        </w:trPr>
        <w:tc>
          <w:tcPr>
            <w:tcW w:w="806" w:type="dxa"/>
            <w:vMerge w:val="continue"/>
            <w:tcBorders>
              <w:tl2br w:val="nil"/>
              <w:tr2bl w:val="nil"/>
            </w:tcBorders>
            <w:vAlign w:val="center"/>
          </w:tcPr>
          <w:p>
            <w:pPr>
              <w:pStyle w:val="22"/>
              <w:bidi w:val="0"/>
              <w:jc w:val="center"/>
              <w:rPr>
                <w:color w:val="auto"/>
              </w:rPr>
            </w:pPr>
          </w:p>
        </w:tc>
        <w:tc>
          <w:tcPr>
            <w:tcW w:w="3550" w:type="dxa"/>
            <w:tcBorders>
              <w:tl2br w:val="nil"/>
              <w:tr2bl w:val="nil"/>
            </w:tcBorders>
            <w:vAlign w:val="center"/>
          </w:tcPr>
          <w:p>
            <w:pPr>
              <w:pStyle w:val="22"/>
              <w:bidi w:val="0"/>
              <w:jc w:val="center"/>
              <w:rPr>
                <w:color w:val="auto"/>
              </w:rPr>
            </w:pPr>
            <w:r>
              <w:rPr>
                <w:color w:val="auto"/>
              </w:rPr>
              <w:t>应合理组织人流、物流，避免交叉污染</w:t>
            </w:r>
          </w:p>
        </w:tc>
        <w:tc>
          <w:tcPr>
            <w:tcW w:w="3414" w:type="dxa"/>
            <w:tcBorders>
              <w:tl2br w:val="nil"/>
              <w:tr2bl w:val="nil"/>
            </w:tcBorders>
            <w:vAlign w:val="center"/>
          </w:tcPr>
          <w:p>
            <w:pPr>
              <w:pStyle w:val="22"/>
              <w:bidi w:val="0"/>
              <w:jc w:val="both"/>
              <w:rPr>
                <w:color w:val="auto"/>
              </w:rPr>
            </w:pPr>
            <w:r>
              <w:rPr>
                <w:color w:val="auto"/>
              </w:rPr>
              <w:t>主楼设有客梯，供办公人员进出使用；起到人流、物流分开</w:t>
            </w:r>
          </w:p>
        </w:tc>
        <w:tc>
          <w:tcPr>
            <w:tcW w:w="808" w:type="dxa"/>
            <w:vMerge w:val="restart"/>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99" w:hRule="atLeast"/>
          <w:jc w:val="center"/>
        </w:trPr>
        <w:tc>
          <w:tcPr>
            <w:tcW w:w="806" w:type="dxa"/>
            <w:vMerge w:val="continue"/>
            <w:tcBorders>
              <w:tl2br w:val="nil"/>
              <w:tr2bl w:val="nil"/>
            </w:tcBorders>
            <w:vAlign w:val="center"/>
          </w:tcPr>
          <w:p>
            <w:pPr>
              <w:pStyle w:val="22"/>
              <w:bidi w:val="0"/>
              <w:jc w:val="center"/>
              <w:rPr>
                <w:color w:val="auto"/>
              </w:rPr>
            </w:pPr>
          </w:p>
        </w:tc>
        <w:tc>
          <w:tcPr>
            <w:tcW w:w="3550" w:type="dxa"/>
            <w:tcBorders>
              <w:tl2br w:val="nil"/>
              <w:tr2bl w:val="nil"/>
            </w:tcBorders>
            <w:vAlign w:val="center"/>
          </w:tcPr>
          <w:p>
            <w:pPr>
              <w:pStyle w:val="22"/>
              <w:bidi w:val="0"/>
              <w:jc w:val="center"/>
              <w:rPr>
                <w:color w:val="auto"/>
              </w:rPr>
            </w:pPr>
            <w:r>
              <w:rPr>
                <w:color w:val="auto"/>
              </w:rPr>
              <w:t>对生活和实验废弃物的处理，应符合有关环境保护法令、法规的规定</w:t>
            </w:r>
          </w:p>
        </w:tc>
        <w:tc>
          <w:tcPr>
            <w:tcW w:w="3414" w:type="dxa"/>
            <w:tcBorders>
              <w:tl2br w:val="nil"/>
              <w:tr2bl w:val="nil"/>
            </w:tcBorders>
            <w:vAlign w:val="center"/>
          </w:tcPr>
          <w:p>
            <w:pPr>
              <w:pStyle w:val="22"/>
              <w:bidi w:val="0"/>
              <w:jc w:val="center"/>
              <w:rPr>
                <w:color w:val="auto"/>
              </w:rPr>
            </w:pPr>
            <w:r>
              <w:rPr>
                <w:color w:val="auto"/>
              </w:rPr>
              <w:t>生活垃圾收集后暂存于地块东侧垃圾房内；生物实验室废弃物用无菌袋密封+高压灭菌后，放置于危废间内，实验室废液分类收集后放置在实验室单独收集间内，所有废物根据性质与类别进行分类暂存</w:t>
            </w:r>
          </w:p>
        </w:tc>
        <w:tc>
          <w:tcPr>
            <w:tcW w:w="808" w:type="dxa"/>
            <w:vMerge w:val="continue"/>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 w:hRule="atLeast"/>
          <w:jc w:val="center"/>
        </w:trPr>
        <w:tc>
          <w:tcPr>
            <w:tcW w:w="806" w:type="dxa"/>
            <w:vMerge w:val="continue"/>
            <w:tcBorders>
              <w:tl2br w:val="nil"/>
              <w:tr2bl w:val="nil"/>
            </w:tcBorders>
            <w:vAlign w:val="center"/>
          </w:tcPr>
          <w:p>
            <w:pPr>
              <w:pStyle w:val="22"/>
              <w:bidi w:val="0"/>
              <w:jc w:val="center"/>
              <w:rPr>
                <w:color w:val="auto"/>
              </w:rPr>
            </w:pPr>
          </w:p>
        </w:tc>
        <w:tc>
          <w:tcPr>
            <w:tcW w:w="3550" w:type="dxa"/>
            <w:tcBorders>
              <w:tl2br w:val="nil"/>
              <w:tr2bl w:val="nil"/>
            </w:tcBorders>
            <w:vAlign w:val="center"/>
          </w:tcPr>
          <w:p>
            <w:pPr>
              <w:pStyle w:val="22"/>
              <w:bidi w:val="0"/>
              <w:jc w:val="center"/>
              <w:rPr>
                <w:color w:val="auto"/>
              </w:rPr>
            </w:pPr>
            <w:r>
              <w:rPr>
                <w:color w:val="auto"/>
              </w:rPr>
              <w:t>基地内不应建设职工住宅；值班用房、职工集体宿舍、专家公寓、培训用房等在基地内建设时，应处于基地内当地最小风频下风向区，当它们与实验区用地毗邻时，应与实验区分隔，并设置独立出入口</w:t>
            </w:r>
          </w:p>
        </w:tc>
        <w:tc>
          <w:tcPr>
            <w:tcW w:w="3414" w:type="dxa"/>
            <w:tcBorders>
              <w:tl2br w:val="nil"/>
              <w:tr2bl w:val="nil"/>
            </w:tcBorders>
            <w:vAlign w:val="center"/>
          </w:tcPr>
          <w:p>
            <w:pPr>
              <w:pStyle w:val="22"/>
              <w:bidi w:val="0"/>
              <w:jc w:val="center"/>
              <w:rPr>
                <w:color w:val="auto"/>
              </w:rPr>
            </w:pPr>
            <w:r>
              <w:rPr>
                <w:color w:val="auto"/>
              </w:rPr>
              <w:t>用地内未设置职工住宅、职工集体宿舍、专家公寓、培训用房等</w:t>
            </w:r>
          </w:p>
        </w:tc>
        <w:tc>
          <w:tcPr>
            <w:tcW w:w="808" w:type="dxa"/>
            <w:vMerge w:val="continue"/>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8" w:hRule="atLeast"/>
          <w:jc w:val="center"/>
        </w:trPr>
        <w:tc>
          <w:tcPr>
            <w:tcW w:w="806" w:type="dxa"/>
            <w:vMerge w:val="continue"/>
            <w:tcBorders>
              <w:tl2br w:val="nil"/>
              <w:tr2bl w:val="nil"/>
            </w:tcBorders>
            <w:vAlign w:val="center"/>
          </w:tcPr>
          <w:p>
            <w:pPr>
              <w:pStyle w:val="22"/>
              <w:bidi w:val="0"/>
              <w:jc w:val="center"/>
              <w:rPr>
                <w:color w:val="auto"/>
              </w:rPr>
            </w:pPr>
          </w:p>
        </w:tc>
        <w:tc>
          <w:tcPr>
            <w:tcW w:w="3550" w:type="dxa"/>
            <w:tcBorders>
              <w:tl2br w:val="nil"/>
              <w:tr2bl w:val="nil"/>
            </w:tcBorders>
            <w:vAlign w:val="center"/>
          </w:tcPr>
          <w:p>
            <w:pPr>
              <w:pStyle w:val="22"/>
              <w:bidi w:val="0"/>
              <w:jc w:val="center"/>
              <w:rPr>
                <w:color w:val="auto"/>
              </w:rPr>
            </w:pPr>
            <w:r>
              <w:rPr>
                <w:color w:val="auto"/>
              </w:rPr>
              <w:t>单独建设的实验用房（包括动物房）、污水处理站和垃圾处理站宜处在基地内全年最小风频的上风向区域</w:t>
            </w:r>
          </w:p>
        </w:tc>
        <w:tc>
          <w:tcPr>
            <w:tcW w:w="3414" w:type="dxa"/>
            <w:tcBorders>
              <w:tl2br w:val="nil"/>
              <w:tr2bl w:val="nil"/>
            </w:tcBorders>
            <w:vAlign w:val="center"/>
          </w:tcPr>
          <w:p>
            <w:pPr>
              <w:pStyle w:val="22"/>
              <w:bidi w:val="0"/>
              <w:jc w:val="both"/>
              <w:rPr>
                <w:color w:val="auto"/>
              </w:rPr>
            </w:pPr>
            <w:r>
              <w:rPr>
                <w:color w:val="auto"/>
                <w:highlight w:val="none"/>
              </w:rPr>
              <w:t>项目不设动物饲养，无动物实验。污水处理站设置在地下，产生的恶臭通过活性炭吸附后无组织排放，实验室废物收集在危废间，密闭管理，对内、外环境影响小。</w:t>
            </w:r>
          </w:p>
        </w:tc>
        <w:tc>
          <w:tcPr>
            <w:tcW w:w="808" w:type="dxa"/>
            <w:vMerge w:val="continue"/>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92" w:hRule="atLeast"/>
          <w:jc w:val="center"/>
        </w:trPr>
        <w:tc>
          <w:tcPr>
            <w:tcW w:w="806" w:type="dxa"/>
            <w:vMerge w:val="continue"/>
            <w:tcBorders>
              <w:tl2br w:val="nil"/>
              <w:tr2bl w:val="nil"/>
            </w:tcBorders>
            <w:vAlign w:val="center"/>
          </w:tcPr>
          <w:p>
            <w:pPr>
              <w:pStyle w:val="22"/>
              <w:bidi w:val="0"/>
              <w:jc w:val="center"/>
              <w:rPr>
                <w:color w:val="auto"/>
              </w:rPr>
            </w:pPr>
          </w:p>
        </w:tc>
        <w:tc>
          <w:tcPr>
            <w:tcW w:w="3550" w:type="dxa"/>
            <w:tcBorders>
              <w:tl2br w:val="nil"/>
              <w:tr2bl w:val="nil"/>
            </w:tcBorders>
            <w:vAlign w:val="center"/>
          </w:tcPr>
          <w:p>
            <w:pPr>
              <w:pStyle w:val="22"/>
              <w:bidi w:val="0"/>
              <w:jc w:val="center"/>
              <w:rPr>
                <w:color w:val="auto"/>
              </w:rPr>
            </w:pPr>
            <w:r>
              <w:rPr>
                <w:color w:val="auto"/>
              </w:rPr>
              <w:t>疾控中心用地出入口不宜少于两处，人员出入口不宜兼做废弃物的出口。</w:t>
            </w:r>
          </w:p>
        </w:tc>
        <w:tc>
          <w:tcPr>
            <w:tcW w:w="3414" w:type="dxa"/>
            <w:tcBorders>
              <w:tl2br w:val="nil"/>
              <w:tr2bl w:val="nil"/>
            </w:tcBorders>
            <w:vAlign w:val="center"/>
          </w:tcPr>
          <w:p>
            <w:pPr>
              <w:pStyle w:val="22"/>
              <w:bidi w:val="0"/>
              <w:jc w:val="center"/>
              <w:rPr>
                <w:color w:val="auto"/>
              </w:rPr>
            </w:pPr>
            <w:r>
              <w:rPr>
                <w:color w:val="auto"/>
              </w:rPr>
              <w:t>中心设置2个出入口。北侧设主入口，西侧设次入口，作为送检、后勤及污物的物流出口</w:t>
            </w:r>
          </w:p>
        </w:tc>
        <w:tc>
          <w:tcPr>
            <w:tcW w:w="808" w:type="dxa"/>
            <w:vMerge w:val="continue"/>
            <w:tcBorders>
              <w:tl2br w:val="nil"/>
              <w:tr2bl w:val="nil"/>
            </w:tcBorders>
            <w:vAlign w:val="center"/>
          </w:tcPr>
          <w:p>
            <w:pPr>
              <w:pStyle w:val="22"/>
              <w:bidi w:val="0"/>
              <w:jc w:val="center"/>
              <w:rPr>
                <w:color w:val="auto"/>
              </w:rPr>
            </w:pPr>
          </w:p>
        </w:tc>
      </w:tr>
    </w:tbl>
    <w:p>
      <w:pPr>
        <w:pStyle w:val="6"/>
        <w:bidi w:val="0"/>
        <w:rPr>
          <w:color w:val="auto"/>
        </w:rPr>
      </w:pPr>
      <w:bookmarkStart w:id="47" w:name="_Toc27855"/>
      <w:r>
        <w:rPr>
          <w:color w:val="auto"/>
        </w:rPr>
        <w:t>2.9.</w:t>
      </w:r>
      <w:r>
        <w:rPr>
          <w:rFonts w:hint="eastAsia"/>
          <w:color w:val="auto"/>
          <w:lang w:val="en-US" w:eastAsia="zh-CN"/>
        </w:rPr>
        <w:t>4</w:t>
      </w:r>
      <w:r>
        <w:rPr>
          <w:color w:val="auto"/>
        </w:rPr>
        <w:t>与生物安全相关规范的符合性分析</w:t>
      </w:r>
      <w:bookmarkEnd w:id="47"/>
    </w:p>
    <w:p>
      <w:pPr>
        <w:pStyle w:val="7"/>
        <w:bidi w:val="0"/>
        <w:rPr>
          <w:color w:val="auto"/>
        </w:rPr>
      </w:pPr>
      <w:r>
        <w:rPr>
          <w:color w:val="auto"/>
        </w:rPr>
        <w:t>2.9.</w:t>
      </w:r>
      <w:r>
        <w:rPr>
          <w:rFonts w:hint="eastAsia"/>
          <w:color w:val="auto"/>
          <w:lang w:val="en-US" w:eastAsia="zh-CN"/>
        </w:rPr>
        <w:t>4</w:t>
      </w:r>
      <w:r>
        <w:rPr>
          <w:color w:val="auto"/>
        </w:rPr>
        <w:t>.1与《生物安全实验室建筑技术规范》（GB-50346-2011）相符性分析</w:t>
      </w:r>
    </w:p>
    <w:p>
      <w:pPr>
        <w:bidi w:val="0"/>
        <w:rPr>
          <w:color w:val="auto"/>
        </w:rPr>
      </w:pPr>
      <w:r>
        <w:rPr>
          <w:color w:val="auto"/>
        </w:rPr>
        <w:t>根据《生物安全实验室建筑技术规范》（GB-50346-2011）有关规定，根据实验室所处理的生物危害程度和采取的防护措施，生物安全实验室分为四级。微</w:t>
      </w:r>
      <w:r>
        <w:rPr>
          <w:rFonts w:hint="eastAsia"/>
          <w:color w:val="auto"/>
          <w:lang w:eastAsia="zh-CN"/>
        </w:rPr>
        <w:t>生物</w:t>
      </w:r>
      <w:r>
        <w:rPr>
          <w:color w:val="auto"/>
        </w:rPr>
        <w:t>安全实验室可采用BSL-1、BSL-2、BSL-3、BSL-4表示相应级别的实验室。生物安全实验室应按下表进行分级。生物安全实验室的分级见表2.9-</w:t>
      </w:r>
      <w:r>
        <w:rPr>
          <w:rFonts w:hint="eastAsia"/>
          <w:color w:val="auto"/>
          <w:lang w:val="en-US" w:eastAsia="zh-CN"/>
        </w:rPr>
        <w:t>4</w:t>
      </w:r>
      <w:r>
        <w:rPr>
          <w:color w:val="auto"/>
        </w:rPr>
        <w:t>，本项目的符合情况见表2.9-</w:t>
      </w:r>
      <w:r>
        <w:rPr>
          <w:rFonts w:hint="eastAsia"/>
          <w:color w:val="auto"/>
          <w:lang w:val="en-US" w:eastAsia="zh-CN"/>
        </w:rPr>
        <w:t>5</w:t>
      </w:r>
      <w:r>
        <w:rPr>
          <w:color w:val="auto"/>
        </w:rPr>
        <w:t>。</w:t>
      </w:r>
    </w:p>
    <w:p>
      <w:pPr>
        <w:pStyle w:val="22"/>
        <w:bidi w:val="0"/>
        <w:rPr>
          <w:b/>
          <w:bCs/>
          <w:color w:val="auto"/>
        </w:rPr>
      </w:pPr>
      <w:r>
        <w:rPr>
          <w:b/>
          <w:bCs/>
          <w:color w:val="auto"/>
        </w:rPr>
        <w:t>表2.9-</w:t>
      </w:r>
      <w:r>
        <w:rPr>
          <w:rFonts w:hint="eastAsia"/>
          <w:b/>
          <w:bCs/>
          <w:color w:val="auto"/>
          <w:lang w:val="en-US" w:eastAsia="zh-CN"/>
        </w:rPr>
        <w:t>4</w:t>
      </w:r>
      <w:r>
        <w:rPr>
          <w:b/>
          <w:bCs/>
          <w:color w:val="auto"/>
        </w:rPr>
        <w:t>生物安全实验室的分级</w:t>
      </w:r>
    </w:p>
    <w:p>
      <w:pPr>
        <w:spacing w:line="50" w:lineRule="exact"/>
        <w:rPr>
          <w:color w:val="auto"/>
        </w:rPr>
      </w:pPr>
    </w:p>
    <w:tbl>
      <w:tblPr>
        <w:tblStyle w:val="23"/>
        <w:tblW w:w="797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3"/>
        <w:gridCol w:w="1596"/>
        <w:gridCol w:w="4298"/>
        <w:gridCol w:w="126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jc w:val="center"/>
        </w:trPr>
        <w:tc>
          <w:tcPr>
            <w:tcW w:w="823" w:type="dxa"/>
            <w:tcBorders>
              <w:tl2br w:val="nil"/>
              <w:tr2bl w:val="nil"/>
            </w:tcBorders>
            <w:vAlign w:val="center"/>
          </w:tcPr>
          <w:p>
            <w:pPr>
              <w:pStyle w:val="22"/>
              <w:bidi w:val="0"/>
              <w:jc w:val="center"/>
              <w:rPr>
                <w:b/>
                <w:bCs/>
                <w:color w:val="auto"/>
              </w:rPr>
            </w:pPr>
            <w:r>
              <w:rPr>
                <w:b/>
                <w:bCs/>
                <w:color w:val="auto"/>
              </w:rPr>
              <w:t>分级</w:t>
            </w:r>
          </w:p>
        </w:tc>
        <w:tc>
          <w:tcPr>
            <w:tcW w:w="1596" w:type="dxa"/>
            <w:tcBorders>
              <w:tl2br w:val="nil"/>
              <w:tr2bl w:val="nil"/>
            </w:tcBorders>
            <w:vAlign w:val="center"/>
          </w:tcPr>
          <w:p>
            <w:pPr>
              <w:pStyle w:val="22"/>
              <w:bidi w:val="0"/>
              <w:jc w:val="center"/>
              <w:rPr>
                <w:b/>
                <w:bCs/>
                <w:color w:val="auto"/>
              </w:rPr>
            </w:pPr>
            <w:r>
              <w:rPr>
                <w:b/>
                <w:bCs/>
                <w:color w:val="auto"/>
              </w:rPr>
              <w:t>生物危害程度</w:t>
            </w:r>
          </w:p>
        </w:tc>
        <w:tc>
          <w:tcPr>
            <w:tcW w:w="4298" w:type="dxa"/>
            <w:tcBorders>
              <w:tl2br w:val="nil"/>
              <w:tr2bl w:val="nil"/>
            </w:tcBorders>
            <w:vAlign w:val="center"/>
          </w:tcPr>
          <w:p>
            <w:pPr>
              <w:pStyle w:val="22"/>
              <w:bidi w:val="0"/>
              <w:jc w:val="center"/>
              <w:rPr>
                <w:b/>
                <w:bCs/>
                <w:color w:val="auto"/>
              </w:rPr>
            </w:pPr>
            <w:r>
              <w:rPr>
                <w:b/>
                <w:bCs/>
                <w:color w:val="auto"/>
              </w:rPr>
              <w:t>操作对象</w:t>
            </w:r>
          </w:p>
        </w:tc>
        <w:tc>
          <w:tcPr>
            <w:tcW w:w="1262" w:type="dxa"/>
            <w:tcBorders>
              <w:tl2br w:val="nil"/>
              <w:tr2bl w:val="nil"/>
            </w:tcBorders>
            <w:vAlign w:val="center"/>
          </w:tcPr>
          <w:p>
            <w:pPr>
              <w:pStyle w:val="22"/>
              <w:bidi w:val="0"/>
              <w:jc w:val="center"/>
              <w:rPr>
                <w:b/>
                <w:bCs/>
                <w:color w:val="auto"/>
              </w:rPr>
            </w:pPr>
            <w:r>
              <w:rPr>
                <w:b/>
                <w:bCs/>
                <w:color w:val="auto"/>
              </w:rPr>
              <w:t>本项目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9" w:hRule="atLeast"/>
          <w:jc w:val="center"/>
        </w:trPr>
        <w:tc>
          <w:tcPr>
            <w:tcW w:w="823" w:type="dxa"/>
            <w:tcBorders>
              <w:tl2br w:val="nil"/>
              <w:tr2bl w:val="nil"/>
            </w:tcBorders>
            <w:vAlign w:val="center"/>
          </w:tcPr>
          <w:p>
            <w:pPr>
              <w:pStyle w:val="22"/>
              <w:bidi w:val="0"/>
              <w:jc w:val="center"/>
              <w:rPr>
                <w:color w:val="auto"/>
              </w:rPr>
            </w:pPr>
            <w:r>
              <w:rPr>
                <w:color w:val="auto"/>
              </w:rPr>
              <w:t>一级</w:t>
            </w:r>
          </w:p>
        </w:tc>
        <w:tc>
          <w:tcPr>
            <w:tcW w:w="1596" w:type="dxa"/>
            <w:tcBorders>
              <w:tl2br w:val="nil"/>
              <w:tr2bl w:val="nil"/>
            </w:tcBorders>
            <w:vAlign w:val="center"/>
          </w:tcPr>
          <w:p>
            <w:pPr>
              <w:pStyle w:val="22"/>
              <w:bidi w:val="0"/>
              <w:jc w:val="center"/>
              <w:rPr>
                <w:color w:val="auto"/>
              </w:rPr>
            </w:pPr>
            <w:r>
              <w:rPr>
                <w:color w:val="auto"/>
              </w:rPr>
              <w:t>低个体危害，低</w:t>
            </w:r>
          </w:p>
          <w:p>
            <w:pPr>
              <w:pStyle w:val="22"/>
              <w:bidi w:val="0"/>
              <w:jc w:val="center"/>
              <w:rPr>
                <w:color w:val="auto"/>
              </w:rPr>
            </w:pPr>
            <w:r>
              <w:rPr>
                <w:color w:val="auto"/>
              </w:rPr>
              <w:t>群体危害</w:t>
            </w:r>
          </w:p>
        </w:tc>
        <w:tc>
          <w:tcPr>
            <w:tcW w:w="4298" w:type="dxa"/>
            <w:tcBorders>
              <w:tl2br w:val="nil"/>
              <w:tr2bl w:val="nil"/>
            </w:tcBorders>
            <w:vAlign w:val="center"/>
          </w:tcPr>
          <w:p>
            <w:pPr>
              <w:pStyle w:val="22"/>
              <w:bidi w:val="0"/>
              <w:jc w:val="center"/>
              <w:rPr>
                <w:color w:val="auto"/>
              </w:rPr>
            </w:pPr>
            <w:r>
              <w:rPr>
                <w:color w:val="auto"/>
              </w:rPr>
              <w:t>对人体、动植物或环境危害较低，不具有对健康成人、动植物致病的致病因子。</w:t>
            </w:r>
          </w:p>
        </w:tc>
        <w:tc>
          <w:tcPr>
            <w:tcW w:w="1262" w:type="dxa"/>
            <w:vMerge w:val="restart"/>
            <w:tcBorders>
              <w:tl2br w:val="nil"/>
              <w:tr2bl w:val="nil"/>
            </w:tcBorders>
            <w:vAlign w:val="center"/>
          </w:tcPr>
          <w:p>
            <w:pPr>
              <w:pStyle w:val="22"/>
              <w:bidi w:val="0"/>
              <w:jc w:val="center"/>
              <w:rPr>
                <w:color w:val="auto"/>
              </w:rPr>
            </w:pPr>
          </w:p>
          <w:p>
            <w:pPr>
              <w:pStyle w:val="22"/>
              <w:bidi w:val="0"/>
              <w:jc w:val="center"/>
              <w:rPr>
                <w:color w:val="auto"/>
              </w:rPr>
            </w:pPr>
          </w:p>
          <w:p>
            <w:pPr>
              <w:pStyle w:val="22"/>
              <w:bidi w:val="0"/>
              <w:jc w:val="center"/>
              <w:rPr>
                <w:color w:val="auto"/>
              </w:rPr>
            </w:pPr>
            <w:r>
              <w:rPr>
                <w:color w:val="auto"/>
              </w:rPr>
              <w:t>本项目涉及二级生物安全实验室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6" w:hRule="atLeast"/>
          <w:jc w:val="center"/>
        </w:trPr>
        <w:tc>
          <w:tcPr>
            <w:tcW w:w="823" w:type="dxa"/>
            <w:tcBorders>
              <w:tl2br w:val="nil"/>
              <w:tr2bl w:val="nil"/>
            </w:tcBorders>
            <w:vAlign w:val="center"/>
          </w:tcPr>
          <w:p>
            <w:pPr>
              <w:pStyle w:val="22"/>
              <w:bidi w:val="0"/>
              <w:jc w:val="center"/>
              <w:rPr>
                <w:color w:val="auto"/>
              </w:rPr>
            </w:pPr>
          </w:p>
          <w:p>
            <w:pPr>
              <w:pStyle w:val="22"/>
              <w:bidi w:val="0"/>
              <w:jc w:val="center"/>
              <w:rPr>
                <w:color w:val="auto"/>
              </w:rPr>
            </w:pPr>
            <w:r>
              <w:rPr>
                <w:color w:val="auto"/>
              </w:rPr>
              <w:t>二级</w:t>
            </w:r>
          </w:p>
        </w:tc>
        <w:tc>
          <w:tcPr>
            <w:tcW w:w="1596" w:type="dxa"/>
            <w:tcBorders>
              <w:tl2br w:val="nil"/>
              <w:tr2bl w:val="nil"/>
            </w:tcBorders>
            <w:vAlign w:val="center"/>
          </w:tcPr>
          <w:p>
            <w:pPr>
              <w:pStyle w:val="22"/>
              <w:bidi w:val="0"/>
              <w:jc w:val="center"/>
              <w:rPr>
                <w:color w:val="auto"/>
              </w:rPr>
            </w:pPr>
            <w:r>
              <w:rPr>
                <w:color w:val="auto"/>
              </w:rPr>
              <w:t>中等个体危害，有限群体危害</w:t>
            </w:r>
          </w:p>
        </w:tc>
        <w:tc>
          <w:tcPr>
            <w:tcW w:w="4298" w:type="dxa"/>
            <w:tcBorders>
              <w:tl2br w:val="nil"/>
              <w:tr2bl w:val="nil"/>
            </w:tcBorders>
            <w:vAlign w:val="center"/>
          </w:tcPr>
          <w:p>
            <w:pPr>
              <w:pStyle w:val="22"/>
              <w:bidi w:val="0"/>
              <w:jc w:val="center"/>
              <w:rPr>
                <w:color w:val="auto"/>
              </w:rPr>
            </w:pPr>
            <w:r>
              <w:rPr>
                <w:color w:val="auto"/>
              </w:rPr>
              <w:t>对人体、动植物或环境具有中等危害或具有潜在危险的致病因子，对健康成人、动物和环境不会造成严重危害。有有效的预防和治疗措施。</w:t>
            </w:r>
          </w:p>
        </w:tc>
        <w:tc>
          <w:tcPr>
            <w:tcW w:w="1262" w:type="dxa"/>
            <w:vMerge w:val="continue"/>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7" w:hRule="atLeast"/>
          <w:jc w:val="center"/>
        </w:trPr>
        <w:tc>
          <w:tcPr>
            <w:tcW w:w="823" w:type="dxa"/>
            <w:tcBorders>
              <w:tl2br w:val="nil"/>
              <w:tr2bl w:val="nil"/>
            </w:tcBorders>
            <w:vAlign w:val="center"/>
          </w:tcPr>
          <w:p>
            <w:pPr>
              <w:pStyle w:val="22"/>
              <w:bidi w:val="0"/>
              <w:jc w:val="center"/>
              <w:rPr>
                <w:color w:val="auto"/>
              </w:rPr>
            </w:pPr>
            <w:r>
              <w:rPr>
                <w:color w:val="auto"/>
              </w:rPr>
              <w:t>三级</w:t>
            </w:r>
          </w:p>
        </w:tc>
        <w:tc>
          <w:tcPr>
            <w:tcW w:w="1596" w:type="dxa"/>
            <w:tcBorders>
              <w:tl2br w:val="nil"/>
              <w:tr2bl w:val="nil"/>
            </w:tcBorders>
            <w:vAlign w:val="center"/>
          </w:tcPr>
          <w:p>
            <w:pPr>
              <w:pStyle w:val="22"/>
              <w:bidi w:val="0"/>
              <w:jc w:val="center"/>
              <w:rPr>
                <w:color w:val="auto"/>
              </w:rPr>
            </w:pPr>
            <w:r>
              <w:rPr>
                <w:color w:val="auto"/>
              </w:rPr>
              <w:t>高个体危害，低群体危害</w:t>
            </w:r>
          </w:p>
        </w:tc>
        <w:tc>
          <w:tcPr>
            <w:tcW w:w="4298" w:type="dxa"/>
            <w:tcBorders>
              <w:tl2br w:val="nil"/>
              <w:tr2bl w:val="nil"/>
            </w:tcBorders>
            <w:vAlign w:val="center"/>
          </w:tcPr>
          <w:p>
            <w:pPr>
              <w:pStyle w:val="22"/>
              <w:bidi w:val="0"/>
              <w:jc w:val="center"/>
              <w:rPr>
                <w:color w:val="auto"/>
              </w:rPr>
            </w:pPr>
            <w:r>
              <w:rPr>
                <w:color w:val="auto"/>
              </w:rPr>
              <w:t>对人体、动植物或环境具有高度危险性，主要通过气溶胶使人传染上严重的甚至是致命疾病，或对动植物和环境具有高度危害的致病因子。通常有预防治疗措施。</w:t>
            </w:r>
          </w:p>
        </w:tc>
        <w:tc>
          <w:tcPr>
            <w:tcW w:w="1262" w:type="dxa"/>
            <w:vMerge w:val="continue"/>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0" w:hRule="atLeast"/>
          <w:jc w:val="center"/>
        </w:trPr>
        <w:tc>
          <w:tcPr>
            <w:tcW w:w="823" w:type="dxa"/>
            <w:tcBorders>
              <w:tl2br w:val="nil"/>
              <w:tr2bl w:val="nil"/>
            </w:tcBorders>
            <w:vAlign w:val="center"/>
          </w:tcPr>
          <w:p>
            <w:pPr>
              <w:pStyle w:val="22"/>
              <w:bidi w:val="0"/>
              <w:jc w:val="center"/>
              <w:rPr>
                <w:color w:val="auto"/>
              </w:rPr>
            </w:pPr>
          </w:p>
          <w:p>
            <w:pPr>
              <w:pStyle w:val="22"/>
              <w:bidi w:val="0"/>
              <w:jc w:val="center"/>
              <w:rPr>
                <w:color w:val="auto"/>
              </w:rPr>
            </w:pPr>
            <w:r>
              <w:rPr>
                <w:color w:val="auto"/>
              </w:rPr>
              <w:t>四级</w:t>
            </w:r>
          </w:p>
        </w:tc>
        <w:tc>
          <w:tcPr>
            <w:tcW w:w="1596" w:type="dxa"/>
            <w:tcBorders>
              <w:tl2br w:val="nil"/>
              <w:tr2bl w:val="nil"/>
            </w:tcBorders>
            <w:vAlign w:val="center"/>
          </w:tcPr>
          <w:p>
            <w:pPr>
              <w:pStyle w:val="22"/>
              <w:bidi w:val="0"/>
              <w:jc w:val="center"/>
              <w:rPr>
                <w:color w:val="auto"/>
              </w:rPr>
            </w:pPr>
            <w:r>
              <w:rPr>
                <w:color w:val="auto"/>
              </w:rPr>
              <w:t>高个体危害．高群体危害</w:t>
            </w:r>
          </w:p>
        </w:tc>
        <w:tc>
          <w:tcPr>
            <w:tcW w:w="4298" w:type="dxa"/>
            <w:tcBorders>
              <w:tl2br w:val="nil"/>
              <w:tr2bl w:val="nil"/>
            </w:tcBorders>
            <w:vAlign w:val="center"/>
          </w:tcPr>
          <w:p>
            <w:pPr>
              <w:pStyle w:val="22"/>
              <w:bidi w:val="0"/>
              <w:jc w:val="center"/>
              <w:rPr>
                <w:color w:val="auto"/>
              </w:rPr>
            </w:pPr>
            <w:r>
              <w:rPr>
                <w:color w:val="auto"/>
              </w:rPr>
              <w:t>对人体、动植物或环境具有高度危险性，通过气溶胶途径传播或传播途径不明，或未知的、危险的致病因子。没有预防治疗措施。</w:t>
            </w:r>
          </w:p>
        </w:tc>
        <w:tc>
          <w:tcPr>
            <w:tcW w:w="1262" w:type="dxa"/>
            <w:vMerge w:val="continue"/>
            <w:tcBorders>
              <w:tl2br w:val="nil"/>
              <w:tr2bl w:val="nil"/>
            </w:tcBorders>
            <w:vAlign w:val="center"/>
          </w:tcPr>
          <w:p>
            <w:pPr>
              <w:pStyle w:val="22"/>
              <w:bidi w:val="0"/>
              <w:jc w:val="center"/>
              <w:rPr>
                <w:color w:val="auto"/>
              </w:rPr>
            </w:pPr>
          </w:p>
        </w:tc>
      </w:tr>
    </w:tbl>
    <w:p>
      <w:pPr>
        <w:pStyle w:val="22"/>
        <w:bidi w:val="0"/>
        <w:rPr>
          <w:b/>
          <w:bCs/>
          <w:color w:val="auto"/>
        </w:rPr>
      </w:pPr>
      <w:r>
        <w:rPr>
          <w:b/>
          <w:bCs/>
          <w:color w:val="auto"/>
        </w:rPr>
        <w:t>表2.9-</w:t>
      </w:r>
      <w:r>
        <w:rPr>
          <w:rFonts w:hint="eastAsia"/>
          <w:b/>
          <w:bCs/>
          <w:color w:val="auto"/>
          <w:lang w:val="en-US" w:eastAsia="zh-CN"/>
        </w:rPr>
        <w:t>5</w:t>
      </w:r>
      <w:r>
        <w:rPr>
          <w:b/>
          <w:bCs/>
          <w:color w:val="auto"/>
        </w:rPr>
        <w:t>项目与《生物安全实验室建筑技术规范》（GB-50346-2011）相符性</w:t>
      </w:r>
    </w:p>
    <w:tbl>
      <w:tblPr>
        <w:tblStyle w:val="23"/>
        <w:tblW w:w="815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2"/>
        <w:gridCol w:w="2876"/>
        <w:gridCol w:w="3129"/>
        <w:gridCol w:w="11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 w:hRule="atLeast"/>
          <w:jc w:val="center"/>
        </w:trPr>
        <w:tc>
          <w:tcPr>
            <w:tcW w:w="1012" w:type="dxa"/>
            <w:tcBorders>
              <w:tl2br w:val="nil"/>
              <w:tr2bl w:val="nil"/>
            </w:tcBorders>
            <w:vAlign w:val="center"/>
          </w:tcPr>
          <w:p>
            <w:pPr>
              <w:pStyle w:val="22"/>
              <w:bidi w:val="0"/>
              <w:rPr>
                <w:b/>
                <w:bCs/>
                <w:color w:val="auto"/>
              </w:rPr>
            </w:pPr>
            <w:r>
              <w:rPr>
                <w:b/>
                <w:bCs/>
                <w:color w:val="auto"/>
              </w:rPr>
              <w:t>标准、规则</w:t>
            </w:r>
          </w:p>
        </w:tc>
        <w:tc>
          <w:tcPr>
            <w:tcW w:w="2876" w:type="dxa"/>
            <w:tcBorders>
              <w:tl2br w:val="nil"/>
              <w:tr2bl w:val="nil"/>
            </w:tcBorders>
            <w:vAlign w:val="center"/>
          </w:tcPr>
          <w:p>
            <w:pPr>
              <w:pStyle w:val="22"/>
              <w:bidi w:val="0"/>
              <w:rPr>
                <w:b/>
                <w:bCs/>
                <w:color w:val="auto"/>
              </w:rPr>
            </w:pPr>
            <w:r>
              <w:rPr>
                <w:b/>
                <w:bCs/>
                <w:color w:val="auto"/>
              </w:rPr>
              <w:t>指标要求</w:t>
            </w:r>
          </w:p>
        </w:tc>
        <w:tc>
          <w:tcPr>
            <w:tcW w:w="3129" w:type="dxa"/>
            <w:tcBorders>
              <w:tl2br w:val="nil"/>
              <w:tr2bl w:val="nil"/>
            </w:tcBorders>
            <w:vAlign w:val="center"/>
          </w:tcPr>
          <w:p>
            <w:pPr>
              <w:pStyle w:val="22"/>
              <w:bidi w:val="0"/>
              <w:rPr>
                <w:b/>
                <w:bCs/>
                <w:color w:val="auto"/>
              </w:rPr>
            </w:pPr>
            <w:r>
              <w:rPr>
                <w:b/>
                <w:bCs/>
                <w:color w:val="auto"/>
              </w:rPr>
              <w:t>本项目</w:t>
            </w:r>
          </w:p>
        </w:tc>
        <w:tc>
          <w:tcPr>
            <w:tcW w:w="1136" w:type="dxa"/>
            <w:tcBorders>
              <w:tl2br w:val="nil"/>
              <w:tr2bl w:val="nil"/>
            </w:tcBorders>
            <w:vAlign w:val="center"/>
          </w:tcPr>
          <w:p>
            <w:pPr>
              <w:pStyle w:val="22"/>
              <w:bidi w:val="0"/>
              <w:rPr>
                <w:b/>
                <w:bCs/>
                <w:color w:val="auto"/>
              </w:rPr>
            </w:pPr>
            <w:r>
              <w:rPr>
                <w:b/>
                <w:bCs/>
                <w:color w:val="auto"/>
              </w:rPr>
              <w:t>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jc w:val="center"/>
        </w:trPr>
        <w:tc>
          <w:tcPr>
            <w:tcW w:w="1012" w:type="dxa"/>
            <w:vMerge w:val="restart"/>
            <w:tcBorders>
              <w:tl2br w:val="nil"/>
              <w:tr2bl w:val="nil"/>
            </w:tcBorders>
            <w:vAlign w:val="center"/>
          </w:tcPr>
          <w:p>
            <w:pPr>
              <w:pStyle w:val="22"/>
              <w:bidi w:val="0"/>
              <w:jc w:val="both"/>
              <w:rPr>
                <w:color w:val="auto"/>
              </w:rPr>
            </w:pPr>
            <w:r>
              <w:rPr>
                <w:color w:val="auto"/>
              </w:rPr>
              <w:t>《生物安全实验室建筑技术规范》（GB-50346-2011）对二级实验室建筑、装修和结构的要求</w:t>
            </w:r>
          </w:p>
        </w:tc>
        <w:tc>
          <w:tcPr>
            <w:tcW w:w="2876" w:type="dxa"/>
            <w:tcBorders>
              <w:tl2br w:val="nil"/>
              <w:tr2bl w:val="nil"/>
            </w:tcBorders>
            <w:vAlign w:val="center"/>
          </w:tcPr>
          <w:p>
            <w:pPr>
              <w:pStyle w:val="22"/>
              <w:bidi w:val="0"/>
              <w:rPr>
                <w:color w:val="auto"/>
              </w:rPr>
            </w:pPr>
            <w:r>
              <w:rPr>
                <w:color w:val="auto"/>
              </w:rPr>
              <w:t>技术指标：二级生物安全实验室宜实施一级屏障和二级屏障</w:t>
            </w:r>
          </w:p>
        </w:tc>
        <w:tc>
          <w:tcPr>
            <w:tcW w:w="3129" w:type="dxa"/>
            <w:tcBorders>
              <w:tl2br w:val="nil"/>
              <w:tr2bl w:val="nil"/>
            </w:tcBorders>
            <w:vAlign w:val="center"/>
          </w:tcPr>
          <w:p>
            <w:pPr>
              <w:pStyle w:val="22"/>
              <w:bidi w:val="0"/>
              <w:rPr>
                <w:color w:val="auto"/>
              </w:rPr>
            </w:pPr>
            <w:r>
              <w:rPr>
                <w:color w:val="auto"/>
              </w:rPr>
              <w:t>在生物实验室区域设立更衣室及缓冲室</w:t>
            </w:r>
          </w:p>
        </w:tc>
        <w:tc>
          <w:tcPr>
            <w:tcW w:w="1136" w:type="dxa"/>
            <w:tcBorders>
              <w:tl2br w:val="nil"/>
              <w:tr2bl w:val="nil"/>
            </w:tcBorders>
            <w:vAlign w:val="center"/>
          </w:tcPr>
          <w:p>
            <w:pPr>
              <w:pStyle w:val="22"/>
              <w:bidi w:val="0"/>
              <w:rPr>
                <w:color w:val="auto"/>
              </w:rPr>
            </w:pPr>
            <w:r>
              <w:rPr>
                <w:color w:val="auto"/>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38" w:hRule="atLeast"/>
          <w:jc w:val="center"/>
        </w:trPr>
        <w:tc>
          <w:tcPr>
            <w:tcW w:w="1012" w:type="dxa"/>
            <w:vMerge w:val="continue"/>
            <w:tcBorders>
              <w:tl2br w:val="nil"/>
              <w:tr2bl w:val="nil"/>
            </w:tcBorders>
            <w:vAlign w:val="center"/>
          </w:tcPr>
          <w:p>
            <w:pPr>
              <w:pStyle w:val="22"/>
              <w:bidi w:val="0"/>
              <w:rPr>
                <w:color w:val="auto"/>
              </w:rPr>
            </w:pPr>
          </w:p>
        </w:tc>
        <w:tc>
          <w:tcPr>
            <w:tcW w:w="2876" w:type="dxa"/>
            <w:tcBorders>
              <w:tl2br w:val="nil"/>
              <w:tr2bl w:val="nil"/>
            </w:tcBorders>
            <w:vAlign w:val="center"/>
          </w:tcPr>
          <w:p>
            <w:pPr>
              <w:pStyle w:val="22"/>
              <w:bidi w:val="0"/>
              <w:rPr>
                <w:color w:val="auto"/>
              </w:rPr>
            </w:pPr>
            <w:r>
              <w:rPr>
                <w:color w:val="auto"/>
              </w:rPr>
              <w:t>平面位置：可共用建筑物，与建筑物其他部分可相通，但应设可自动关闭的带锁的门</w:t>
            </w:r>
          </w:p>
        </w:tc>
        <w:tc>
          <w:tcPr>
            <w:tcW w:w="3129" w:type="dxa"/>
            <w:tcBorders>
              <w:tl2br w:val="nil"/>
              <w:tr2bl w:val="nil"/>
            </w:tcBorders>
            <w:vAlign w:val="center"/>
          </w:tcPr>
          <w:p>
            <w:pPr>
              <w:pStyle w:val="22"/>
              <w:bidi w:val="0"/>
              <w:rPr>
                <w:color w:val="auto"/>
              </w:rPr>
            </w:pPr>
            <w:r>
              <w:rPr>
                <w:color w:val="auto"/>
              </w:rPr>
              <w:t>实验用房均设有办公区域，通过设置门禁控制人员的进出</w:t>
            </w:r>
          </w:p>
        </w:tc>
        <w:tc>
          <w:tcPr>
            <w:tcW w:w="1136" w:type="dxa"/>
            <w:tcBorders>
              <w:tl2br w:val="nil"/>
              <w:tr2bl w:val="nil"/>
            </w:tcBorders>
            <w:vAlign w:val="center"/>
          </w:tcPr>
          <w:p>
            <w:pPr>
              <w:pStyle w:val="22"/>
              <w:bidi w:val="0"/>
              <w:rPr>
                <w:color w:val="auto"/>
              </w:rPr>
            </w:pPr>
            <w:r>
              <w:rPr>
                <w:color w:val="auto"/>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2" w:hRule="atLeast"/>
          <w:jc w:val="center"/>
        </w:trPr>
        <w:tc>
          <w:tcPr>
            <w:tcW w:w="1012" w:type="dxa"/>
            <w:vMerge w:val="continue"/>
            <w:tcBorders>
              <w:tl2br w:val="nil"/>
              <w:tr2bl w:val="nil"/>
            </w:tcBorders>
            <w:vAlign w:val="center"/>
          </w:tcPr>
          <w:p>
            <w:pPr>
              <w:pStyle w:val="22"/>
              <w:bidi w:val="0"/>
              <w:rPr>
                <w:color w:val="auto"/>
              </w:rPr>
            </w:pPr>
          </w:p>
        </w:tc>
        <w:tc>
          <w:tcPr>
            <w:tcW w:w="2876" w:type="dxa"/>
            <w:tcBorders>
              <w:tl2br w:val="nil"/>
              <w:tr2bl w:val="nil"/>
            </w:tcBorders>
            <w:vAlign w:val="center"/>
          </w:tcPr>
          <w:p>
            <w:pPr>
              <w:pStyle w:val="22"/>
              <w:bidi w:val="0"/>
              <w:rPr>
                <w:color w:val="auto"/>
              </w:rPr>
            </w:pPr>
            <w:r>
              <w:rPr>
                <w:color w:val="auto"/>
              </w:rPr>
              <w:t>二级生物安全实验室应在入口处设置更衣室或更衣柜</w:t>
            </w:r>
          </w:p>
        </w:tc>
        <w:tc>
          <w:tcPr>
            <w:tcW w:w="3129" w:type="dxa"/>
            <w:tcBorders>
              <w:tl2br w:val="nil"/>
              <w:tr2bl w:val="nil"/>
            </w:tcBorders>
            <w:vAlign w:val="center"/>
          </w:tcPr>
          <w:p>
            <w:pPr>
              <w:pStyle w:val="22"/>
              <w:bidi w:val="0"/>
              <w:jc w:val="both"/>
              <w:rPr>
                <w:color w:val="auto"/>
              </w:rPr>
            </w:pPr>
            <w:r>
              <w:rPr>
                <w:color w:val="auto"/>
              </w:rPr>
              <w:t>办公区域进入实验区域需经过更衣室，进入具体P2实验室还需再经一道更衣室、缓冲间</w:t>
            </w:r>
          </w:p>
        </w:tc>
        <w:tc>
          <w:tcPr>
            <w:tcW w:w="1136" w:type="dxa"/>
            <w:tcBorders>
              <w:tl2br w:val="nil"/>
              <w:tr2bl w:val="nil"/>
            </w:tcBorders>
            <w:vAlign w:val="center"/>
          </w:tcPr>
          <w:p>
            <w:pPr>
              <w:pStyle w:val="22"/>
              <w:bidi w:val="0"/>
              <w:rPr>
                <w:color w:val="auto"/>
              </w:rPr>
            </w:pPr>
            <w:r>
              <w:rPr>
                <w:color w:val="auto"/>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3" w:hRule="atLeast"/>
          <w:jc w:val="center"/>
        </w:trPr>
        <w:tc>
          <w:tcPr>
            <w:tcW w:w="1012" w:type="dxa"/>
            <w:vMerge w:val="continue"/>
            <w:tcBorders>
              <w:tl2br w:val="nil"/>
              <w:tr2bl w:val="nil"/>
            </w:tcBorders>
            <w:vAlign w:val="center"/>
          </w:tcPr>
          <w:p>
            <w:pPr>
              <w:pStyle w:val="22"/>
              <w:bidi w:val="0"/>
              <w:rPr>
                <w:color w:val="auto"/>
              </w:rPr>
            </w:pPr>
          </w:p>
        </w:tc>
        <w:tc>
          <w:tcPr>
            <w:tcW w:w="2876" w:type="dxa"/>
            <w:tcBorders>
              <w:tl2br w:val="nil"/>
              <w:tr2bl w:val="nil"/>
            </w:tcBorders>
            <w:vAlign w:val="center"/>
          </w:tcPr>
          <w:p>
            <w:pPr>
              <w:pStyle w:val="22"/>
              <w:bidi w:val="0"/>
              <w:rPr>
                <w:color w:val="auto"/>
              </w:rPr>
            </w:pPr>
            <w:r>
              <w:rPr>
                <w:color w:val="auto"/>
              </w:rPr>
              <w:t>二级生物安全实验室应在实验室或实验室所在建筑内配备高压灭菌器或其他消毒灭菌设备</w:t>
            </w:r>
          </w:p>
        </w:tc>
        <w:tc>
          <w:tcPr>
            <w:tcW w:w="3129" w:type="dxa"/>
            <w:tcBorders>
              <w:tl2br w:val="nil"/>
              <w:tr2bl w:val="nil"/>
            </w:tcBorders>
            <w:vAlign w:val="center"/>
          </w:tcPr>
          <w:p>
            <w:pPr>
              <w:pStyle w:val="22"/>
              <w:bidi w:val="0"/>
              <w:rPr>
                <w:color w:val="auto"/>
              </w:rPr>
            </w:pPr>
            <w:r>
              <w:rPr>
                <w:rFonts w:hint="eastAsia"/>
                <w:color w:val="auto"/>
                <w:lang w:eastAsia="zh-CN"/>
              </w:rPr>
              <w:t>2</w:t>
            </w:r>
            <w:r>
              <w:rPr>
                <w:color w:val="auto"/>
              </w:rPr>
              <w:t>层设有生物实验室区域，各设有高温灭菌锅</w:t>
            </w:r>
          </w:p>
        </w:tc>
        <w:tc>
          <w:tcPr>
            <w:tcW w:w="1136" w:type="dxa"/>
            <w:tcBorders>
              <w:tl2br w:val="nil"/>
              <w:tr2bl w:val="nil"/>
            </w:tcBorders>
            <w:vAlign w:val="center"/>
          </w:tcPr>
          <w:p>
            <w:pPr>
              <w:pStyle w:val="22"/>
              <w:bidi w:val="0"/>
              <w:rPr>
                <w:color w:val="auto"/>
              </w:rPr>
            </w:pPr>
            <w:r>
              <w:rPr>
                <w:color w:val="auto"/>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6" w:hRule="atLeast"/>
          <w:jc w:val="center"/>
        </w:trPr>
        <w:tc>
          <w:tcPr>
            <w:tcW w:w="1012" w:type="dxa"/>
            <w:vMerge w:val="continue"/>
            <w:tcBorders>
              <w:tl2br w:val="nil"/>
              <w:tr2bl w:val="nil"/>
            </w:tcBorders>
            <w:vAlign w:val="center"/>
          </w:tcPr>
          <w:p>
            <w:pPr>
              <w:pStyle w:val="22"/>
              <w:bidi w:val="0"/>
              <w:rPr>
                <w:color w:val="auto"/>
              </w:rPr>
            </w:pPr>
          </w:p>
        </w:tc>
        <w:tc>
          <w:tcPr>
            <w:tcW w:w="2876" w:type="dxa"/>
            <w:tcBorders>
              <w:tl2br w:val="nil"/>
              <w:tr2bl w:val="nil"/>
            </w:tcBorders>
            <w:vAlign w:val="center"/>
          </w:tcPr>
          <w:p>
            <w:pPr>
              <w:pStyle w:val="22"/>
              <w:bidi w:val="0"/>
              <w:rPr>
                <w:color w:val="auto"/>
              </w:rPr>
            </w:pPr>
            <w:r>
              <w:rPr>
                <w:color w:val="auto"/>
              </w:rPr>
              <w:t>二级、三级、四级生物安全实验室的入口，应明确标示出生物防护级别、操作的致病性生物因子、实验室负责人姓名、紧急联络方式等，并应标示出国际通用生物危险符号</w:t>
            </w:r>
          </w:p>
        </w:tc>
        <w:tc>
          <w:tcPr>
            <w:tcW w:w="3129" w:type="dxa"/>
            <w:tcBorders>
              <w:tl2br w:val="nil"/>
              <w:tr2bl w:val="nil"/>
            </w:tcBorders>
            <w:vAlign w:val="center"/>
          </w:tcPr>
          <w:p>
            <w:pPr>
              <w:pStyle w:val="22"/>
              <w:bidi w:val="0"/>
              <w:rPr>
                <w:color w:val="auto"/>
              </w:rPr>
            </w:pPr>
            <w:r>
              <w:rPr>
                <w:color w:val="auto"/>
              </w:rPr>
              <w:t>实验室的入口均明确标示出生物防护级别、操作的致病性生物因子、实验室负责人姓名、紧急联络方式等，并标示出国际通用生物危险符号</w:t>
            </w:r>
          </w:p>
        </w:tc>
        <w:tc>
          <w:tcPr>
            <w:tcW w:w="1136" w:type="dxa"/>
            <w:tcBorders>
              <w:tl2br w:val="nil"/>
              <w:tr2bl w:val="nil"/>
            </w:tcBorders>
            <w:vAlign w:val="center"/>
          </w:tcPr>
          <w:p>
            <w:pPr>
              <w:pStyle w:val="22"/>
              <w:bidi w:val="0"/>
              <w:rPr>
                <w:color w:val="auto"/>
              </w:rPr>
            </w:pPr>
            <w:r>
              <w:rPr>
                <w:color w:val="auto"/>
              </w:rPr>
              <w:t>符合</w:t>
            </w:r>
          </w:p>
        </w:tc>
      </w:tr>
    </w:tbl>
    <w:p>
      <w:pPr>
        <w:bidi w:val="0"/>
        <w:rPr>
          <w:color w:val="auto"/>
        </w:rPr>
      </w:pPr>
      <w:r>
        <w:rPr>
          <w:color w:val="auto"/>
        </w:rPr>
        <w:t>本项目建设的生物细菌实验室和</w:t>
      </w:r>
      <w:r>
        <w:rPr>
          <w:color w:val="auto"/>
          <w:highlight w:val="none"/>
        </w:rPr>
        <w:t>基因扩增实验室</w:t>
      </w:r>
      <w:r>
        <w:rPr>
          <w:color w:val="auto"/>
        </w:rPr>
        <w:t>均属于二级实验室，符合该规范中的二级实验室要求。</w:t>
      </w:r>
    </w:p>
    <w:p>
      <w:pPr>
        <w:pStyle w:val="7"/>
        <w:bidi w:val="0"/>
        <w:rPr>
          <w:color w:val="auto"/>
        </w:rPr>
      </w:pPr>
      <w:r>
        <w:rPr>
          <w:color w:val="auto"/>
        </w:rPr>
        <w:t>2.9.</w:t>
      </w:r>
      <w:r>
        <w:rPr>
          <w:rFonts w:hint="eastAsia"/>
          <w:color w:val="auto"/>
          <w:lang w:val="en-US" w:eastAsia="zh-CN"/>
        </w:rPr>
        <w:t>4</w:t>
      </w:r>
      <w:r>
        <w:rPr>
          <w:color w:val="auto"/>
        </w:rPr>
        <w:t>.2与《实验室生物安全通用要求》（GB19489-2008）相符性分析</w:t>
      </w:r>
    </w:p>
    <w:p>
      <w:pPr>
        <w:bidi w:val="0"/>
        <w:rPr>
          <w:color w:val="auto"/>
        </w:rPr>
      </w:pPr>
      <w:r>
        <w:rPr>
          <w:color w:val="auto"/>
        </w:rPr>
        <w:t>本项目需参照《实验室生物安全通用要求》（GB19489-2008）要求，进行实验室的设计和建造，配置必要的生物安全防护设备。相符性分析见表2.9-</w:t>
      </w:r>
      <w:r>
        <w:rPr>
          <w:rFonts w:hint="eastAsia"/>
          <w:color w:val="auto"/>
          <w:lang w:val="en-US" w:eastAsia="zh-CN"/>
        </w:rPr>
        <w:t>6</w:t>
      </w:r>
      <w:r>
        <w:rPr>
          <w:color w:val="auto"/>
        </w:rPr>
        <w:t>。</w:t>
      </w:r>
    </w:p>
    <w:p>
      <w:pPr>
        <w:pStyle w:val="22"/>
        <w:bidi w:val="0"/>
        <w:rPr>
          <w:b/>
          <w:bCs/>
          <w:color w:val="auto"/>
        </w:rPr>
      </w:pPr>
      <w:r>
        <w:rPr>
          <w:b/>
          <w:bCs/>
          <w:color w:val="auto"/>
        </w:rPr>
        <w:t>表2.9-</w:t>
      </w:r>
      <w:r>
        <w:rPr>
          <w:rFonts w:hint="eastAsia"/>
          <w:b/>
          <w:bCs/>
          <w:color w:val="auto"/>
          <w:lang w:val="en-US" w:eastAsia="zh-CN"/>
        </w:rPr>
        <w:t>6</w:t>
      </w:r>
      <w:r>
        <w:rPr>
          <w:b/>
          <w:bCs/>
          <w:color w:val="auto"/>
        </w:rPr>
        <w:t>项目与《实验室生物安全通用要求》（GB19489-2008）相符性</w:t>
      </w:r>
    </w:p>
    <w:tbl>
      <w:tblPr>
        <w:tblStyle w:val="23"/>
        <w:tblW w:w="85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6"/>
        <w:gridCol w:w="2850"/>
        <w:gridCol w:w="3100"/>
        <w:gridCol w:w="12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1296" w:type="dxa"/>
            <w:tcBorders>
              <w:tl2br w:val="nil"/>
              <w:tr2bl w:val="nil"/>
            </w:tcBorders>
            <w:vAlign w:val="center"/>
          </w:tcPr>
          <w:p>
            <w:pPr>
              <w:pStyle w:val="22"/>
              <w:bidi w:val="0"/>
              <w:jc w:val="center"/>
              <w:rPr>
                <w:b/>
                <w:bCs/>
                <w:color w:val="auto"/>
              </w:rPr>
            </w:pPr>
            <w:r>
              <w:rPr>
                <w:b/>
                <w:bCs/>
                <w:color w:val="auto"/>
              </w:rPr>
              <w:t>标准、规则</w:t>
            </w:r>
          </w:p>
        </w:tc>
        <w:tc>
          <w:tcPr>
            <w:tcW w:w="2850" w:type="dxa"/>
            <w:tcBorders>
              <w:tl2br w:val="nil"/>
              <w:tr2bl w:val="nil"/>
            </w:tcBorders>
            <w:vAlign w:val="center"/>
          </w:tcPr>
          <w:p>
            <w:pPr>
              <w:pStyle w:val="22"/>
              <w:bidi w:val="0"/>
              <w:jc w:val="center"/>
              <w:rPr>
                <w:b/>
                <w:bCs/>
                <w:color w:val="auto"/>
              </w:rPr>
            </w:pPr>
            <w:r>
              <w:rPr>
                <w:b/>
                <w:bCs/>
                <w:color w:val="auto"/>
              </w:rPr>
              <w:t>指标要求</w:t>
            </w:r>
          </w:p>
        </w:tc>
        <w:tc>
          <w:tcPr>
            <w:tcW w:w="3100" w:type="dxa"/>
            <w:tcBorders>
              <w:tl2br w:val="nil"/>
              <w:tr2bl w:val="nil"/>
            </w:tcBorders>
            <w:vAlign w:val="center"/>
          </w:tcPr>
          <w:p>
            <w:pPr>
              <w:pStyle w:val="22"/>
              <w:bidi w:val="0"/>
              <w:jc w:val="center"/>
              <w:rPr>
                <w:b/>
                <w:bCs/>
                <w:color w:val="auto"/>
              </w:rPr>
            </w:pPr>
            <w:r>
              <w:rPr>
                <w:b/>
                <w:bCs/>
                <w:color w:val="auto"/>
              </w:rPr>
              <w:t>本项目</w:t>
            </w:r>
          </w:p>
        </w:tc>
        <w:tc>
          <w:tcPr>
            <w:tcW w:w="1272" w:type="dxa"/>
            <w:tcBorders>
              <w:tl2br w:val="nil"/>
              <w:tr2bl w:val="nil"/>
            </w:tcBorders>
            <w:vAlign w:val="center"/>
          </w:tcPr>
          <w:p>
            <w:pPr>
              <w:pStyle w:val="22"/>
              <w:bidi w:val="0"/>
              <w:jc w:val="center"/>
              <w:rPr>
                <w:b/>
                <w:bCs/>
                <w:color w:val="auto"/>
              </w:rPr>
            </w:pPr>
            <w:r>
              <w:rPr>
                <w:b/>
                <w:bCs/>
                <w:color w:val="auto"/>
              </w:rPr>
              <w:t>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2" w:hRule="atLeast"/>
          <w:jc w:val="center"/>
        </w:trPr>
        <w:tc>
          <w:tcPr>
            <w:tcW w:w="1296" w:type="dxa"/>
            <w:vMerge w:val="restart"/>
            <w:tcBorders>
              <w:tl2br w:val="nil"/>
              <w:tr2bl w:val="nil"/>
            </w:tcBorders>
            <w:vAlign w:val="center"/>
          </w:tcPr>
          <w:p>
            <w:pPr>
              <w:pStyle w:val="22"/>
              <w:bidi w:val="0"/>
              <w:jc w:val="center"/>
              <w:rPr>
                <w:color w:val="auto"/>
              </w:rPr>
            </w:pPr>
          </w:p>
          <w:p>
            <w:pPr>
              <w:pStyle w:val="22"/>
              <w:bidi w:val="0"/>
              <w:jc w:val="center"/>
              <w:rPr>
                <w:color w:val="auto"/>
              </w:rPr>
            </w:pPr>
          </w:p>
          <w:p>
            <w:pPr>
              <w:pStyle w:val="22"/>
              <w:bidi w:val="0"/>
              <w:jc w:val="center"/>
              <w:rPr>
                <w:color w:val="auto"/>
              </w:rPr>
            </w:pPr>
          </w:p>
          <w:p>
            <w:pPr>
              <w:pStyle w:val="22"/>
              <w:bidi w:val="0"/>
              <w:jc w:val="center"/>
              <w:rPr>
                <w:color w:val="auto"/>
              </w:rPr>
            </w:pPr>
            <w:r>
              <w:rPr>
                <w:color w:val="auto"/>
              </w:rPr>
              <w:t>《实验室生物安全通用要求》（GB19489-2008）对二级实验室设施和设备要求</w:t>
            </w:r>
          </w:p>
        </w:tc>
        <w:tc>
          <w:tcPr>
            <w:tcW w:w="2850" w:type="dxa"/>
            <w:tcBorders>
              <w:tl2br w:val="nil"/>
              <w:tr2bl w:val="nil"/>
            </w:tcBorders>
            <w:vAlign w:val="center"/>
          </w:tcPr>
          <w:p>
            <w:pPr>
              <w:pStyle w:val="22"/>
              <w:bidi w:val="0"/>
              <w:jc w:val="center"/>
              <w:rPr>
                <w:color w:val="auto"/>
              </w:rPr>
            </w:pPr>
            <w:r>
              <w:rPr>
                <w:color w:val="auto"/>
              </w:rPr>
              <w:t>每个实验室应设洗手池，宜设置在靠近出口处</w:t>
            </w:r>
          </w:p>
        </w:tc>
        <w:tc>
          <w:tcPr>
            <w:tcW w:w="3100" w:type="dxa"/>
            <w:tcBorders>
              <w:tl2br w:val="nil"/>
              <w:tr2bl w:val="nil"/>
            </w:tcBorders>
            <w:vAlign w:val="center"/>
          </w:tcPr>
          <w:p>
            <w:pPr>
              <w:pStyle w:val="22"/>
              <w:bidi w:val="0"/>
              <w:jc w:val="center"/>
              <w:rPr>
                <w:color w:val="auto"/>
              </w:rPr>
            </w:pPr>
            <w:r>
              <w:rPr>
                <w:color w:val="auto"/>
              </w:rPr>
              <w:t>每个实验室均设有洗手池，尽量设置在靠出口位置</w:t>
            </w:r>
          </w:p>
        </w:tc>
        <w:tc>
          <w:tcPr>
            <w:tcW w:w="1272" w:type="dxa"/>
            <w:tcBorders>
              <w:tl2br w:val="nil"/>
              <w:tr2bl w:val="nil"/>
            </w:tcBorders>
            <w:vAlign w:val="center"/>
          </w:tcPr>
          <w:p>
            <w:pPr>
              <w:pStyle w:val="22"/>
              <w:bidi w:val="0"/>
              <w:jc w:val="center"/>
              <w:rPr>
                <w:color w:val="auto"/>
              </w:rPr>
            </w:pPr>
            <w:r>
              <w:rPr>
                <w:color w:val="auto"/>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1" w:hRule="atLeast"/>
          <w:jc w:val="center"/>
        </w:trPr>
        <w:tc>
          <w:tcPr>
            <w:tcW w:w="1296" w:type="dxa"/>
            <w:vMerge w:val="continue"/>
            <w:tcBorders>
              <w:tl2br w:val="nil"/>
              <w:tr2bl w:val="nil"/>
            </w:tcBorders>
            <w:vAlign w:val="center"/>
          </w:tcPr>
          <w:p>
            <w:pPr>
              <w:pStyle w:val="22"/>
              <w:bidi w:val="0"/>
              <w:jc w:val="center"/>
              <w:rPr>
                <w:color w:val="auto"/>
              </w:rPr>
            </w:pPr>
          </w:p>
        </w:tc>
        <w:tc>
          <w:tcPr>
            <w:tcW w:w="2850" w:type="dxa"/>
            <w:tcBorders>
              <w:tl2br w:val="nil"/>
              <w:tr2bl w:val="nil"/>
            </w:tcBorders>
            <w:vAlign w:val="center"/>
          </w:tcPr>
          <w:p>
            <w:pPr>
              <w:pStyle w:val="22"/>
              <w:bidi w:val="0"/>
              <w:jc w:val="center"/>
              <w:rPr>
                <w:color w:val="auto"/>
              </w:rPr>
            </w:pPr>
            <w:r>
              <w:rPr>
                <w:color w:val="auto"/>
              </w:rPr>
              <w:t>实验室围护结构内表面应易于清洁。地面应防滑、无缝隙，不得铺设地毯。</w:t>
            </w:r>
          </w:p>
        </w:tc>
        <w:tc>
          <w:tcPr>
            <w:tcW w:w="3100" w:type="dxa"/>
            <w:tcBorders>
              <w:tl2br w:val="nil"/>
              <w:tr2bl w:val="nil"/>
            </w:tcBorders>
            <w:vAlign w:val="center"/>
          </w:tcPr>
          <w:p>
            <w:pPr>
              <w:pStyle w:val="22"/>
              <w:bidi w:val="0"/>
              <w:jc w:val="center"/>
              <w:rPr>
                <w:color w:val="auto"/>
              </w:rPr>
            </w:pPr>
            <w:r>
              <w:rPr>
                <w:color w:val="auto"/>
              </w:rPr>
              <w:t>普通实验室与办公室、走廊及公共场所采用抛光砖、黑金砂大理石；洁净实验室采用PVC卷材地板胶地面，耐腐蚀、耐弱酸、耐弱碱。</w:t>
            </w:r>
          </w:p>
        </w:tc>
        <w:tc>
          <w:tcPr>
            <w:tcW w:w="1272" w:type="dxa"/>
            <w:tcBorders>
              <w:tl2br w:val="nil"/>
              <w:tr2bl w:val="nil"/>
            </w:tcBorders>
            <w:vAlign w:val="center"/>
          </w:tcPr>
          <w:p>
            <w:pPr>
              <w:pStyle w:val="22"/>
              <w:bidi w:val="0"/>
              <w:jc w:val="center"/>
              <w:rPr>
                <w:color w:val="auto"/>
              </w:rPr>
            </w:pPr>
          </w:p>
          <w:p>
            <w:pPr>
              <w:pStyle w:val="22"/>
              <w:bidi w:val="0"/>
              <w:jc w:val="center"/>
              <w:rPr>
                <w:color w:val="auto"/>
              </w:rPr>
            </w:pPr>
            <w:r>
              <w:rPr>
                <w:color w:val="auto"/>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6" w:hRule="atLeast"/>
          <w:jc w:val="center"/>
        </w:trPr>
        <w:tc>
          <w:tcPr>
            <w:tcW w:w="1296" w:type="dxa"/>
            <w:vMerge w:val="continue"/>
            <w:tcBorders>
              <w:tl2br w:val="nil"/>
              <w:tr2bl w:val="nil"/>
            </w:tcBorders>
            <w:vAlign w:val="center"/>
          </w:tcPr>
          <w:p>
            <w:pPr>
              <w:pStyle w:val="22"/>
              <w:bidi w:val="0"/>
              <w:jc w:val="center"/>
              <w:rPr>
                <w:color w:val="auto"/>
              </w:rPr>
            </w:pPr>
          </w:p>
        </w:tc>
        <w:tc>
          <w:tcPr>
            <w:tcW w:w="2850" w:type="dxa"/>
            <w:tcBorders>
              <w:tl2br w:val="nil"/>
              <w:tr2bl w:val="nil"/>
            </w:tcBorders>
            <w:vAlign w:val="center"/>
          </w:tcPr>
          <w:p>
            <w:pPr>
              <w:pStyle w:val="22"/>
              <w:bidi w:val="0"/>
              <w:jc w:val="center"/>
              <w:rPr>
                <w:color w:val="auto"/>
              </w:rPr>
            </w:pPr>
            <w:r>
              <w:rPr>
                <w:color w:val="auto"/>
              </w:rPr>
              <w:t>实验室中的家具应牢固。为易于清洁，各种家具和设备之间应保持生物废弃物容器的台</w:t>
            </w:r>
            <w:r>
              <w:rPr>
                <w:rFonts w:hint="eastAsia"/>
                <w:color w:val="auto"/>
                <w:lang w:eastAsia="zh-CN"/>
              </w:rPr>
              <w:t>（</w:t>
            </w:r>
            <w:r>
              <w:rPr>
                <w:color w:val="auto"/>
              </w:rPr>
              <w:t>架</w:t>
            </w:r>
            <w:r>
              <w:rPr>
                <w:rFonts w:hint="eastAsia"/>
                <w:color w:val="auto"/>
                <w:lang w:eastAsia="zh-CN"/>
              </w:rPr>
              <w:t>）</w:t>
            </w:r>
            <w:r>
              <w:rPr>
                <w:color w:val="auto"/>
              </w:rPr>
              <w:t>。</w:t>
            </w:r>
          </w:p>
        </w:tc>
        <w:tc>
          <w:tcPr>
            <w:tcW w:w="3100" w:type="dxa"/>
            <w:tcBorders>
              <w:tl2br w:val="nil"/>
              <w:tr2bl w:val="nil"/>
            </w:tcBorders>
            <w:vAlign w:val="center"/>
          </w:tcPr>
          <w:p>
            <w:pPr>
              <w:pStyle w:val="22"/>
              <w:bidi w:val="0"/>
              <w:jc w:val="center"/>
              <w:rPr>
                <w:color w:val="auto"/>
              </w:rPr>
            </w:pPr>
            <w:r>
              <w:rPr>
                <w:color w:val="auto"/>
              </w:rPr>
              <w:t>边台、冰箱、生物安全柜、试剂柜、器皿柜等均沿墙边摆设</w:t>
            </w:r>
          </w:p>
        </w:tc>
        <w:tc>
          <w:tcPr>
            <w:tcW w:w="1272" w:type="dxa"/>
            <w:tcBorders>
              <w:tl2br w:val="nil"/>
              <w:tr2bl w:val="nil"/>
            </w:tcBorders>
            <w:vAlign w:val="center"/>
          </w:tcPr>
          <w:p>
            <w:pPr>
              <w:pStyle w:val="22"/>
              <w:bidi w:val="0"/>
              <w:jc w:val="center"/>
              <w:rPr>
                <w:color w:val="auto"/>
              </w:rPr>
            </w:pPr>
          </w:p>
          <w:p>
            <w:pPr>
              <w:pStyle w:val="22"/>
              <w:bidi w:val="0"/>
              <w:jc w:val="center"/>
              <w:rPr>
                <w:color w:val="auto"/>
              </w:rPr>
            </w:pPr>
            <w:r>
              <w:rPr>
                <w:color w:val="auto"/>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4" w:hRule="atLeast"/>
          <w:jc w:val="center"/>
        </w:trPr>
        <w:tc>
          <w:tcPr>
            <w:tcW w:w="1296" w:type="dxa"/>
            <w:vMerge w:val="continue"/>
            <w:tcBorders>
              <w:tl2br w:val="nil"/>
              <w:tr2bl w:val="nil"/>
            </w:tcBorders>
            <w:vAlign w:val="center"/>
          </w:tcPr>
          <w:p>
            <w:pPr>
              <w:pStyle w:val="22"/>
              <w:bidi w:val="0"/>
              <w:jc w:val="center"/>
              <w:rPr>
                <w:color w:val="auto"/>
              </w:rPr>
            </w:pPr>
          </w:p>
        </w:tc>
        <w:tc>
          <w:tcPr>
            <w:tcW w:w="2850" w:type="dxa"/>
            <w:tcBorders>
              <w:tl2br w:val="nil"/>
              <w:tr2bl w:val="nil"/>
            </w:tcBorders>
            <w:vAlign w:val="center"/>
          </w:tcPr>
          <w:p>
            <w:pPr>
              <w:pStyle w:val="22"/>
              <w:bidi w:val="0"/>
              <w:jc w:val="center"/>
              <w:rPr>
                <w:color w:val="auto"/>
              </w:rPr>
            </w:pPr>
            <w:r>
              <w:rPr>
                <w:color w:val="auto"/>
              </w:rPr>
              <w:t>实验室如有可开启的窗户，应设置纱窗</w:t>
            </w:r>
          </w:p>
        </w:tc>
        <w:tc>
          <w:tcPr>
            <w:tcW w:w="3100" w:type="dxa"/>
            <w:tcBorders>
              <w:tl2br w:val="nil"/>
              <w:tr2bl w:val="nil"/>
            </w:tcBorders>
            <w:vAlign w:val="center"/>
          </w:tcPr>
          <w:p>
            <w:pPr>
              <w:pStyle w:val="22"/>
              <w:bidi w:val="0"/>
              <w:jc w:val="center"/>
              <w:rPr>
                <w:color w:val="auto"/>
              </w:rPr>
            </w:pPr>
            <w:r>
              <w:rPr>
                <w:color w:val="auto"/>
              </w:rPr>
              <w:t>可开启窗户设立纱窗</w:t>
            </w:r>
          </w:p>
        </w:tc>
        <w:tc>
          <w:tcPr>
            <w:tcW w:w="1272" w:type="dxa"/>
            <w:tcBorders>
              <w:tl2br w:val="nil"/>
              <w:tr2bl w:val="nil"/>
            </w:tcBorders>
            <w:vAlign w:val="center"/>
          </w:tcPr>
          <w:p>
            <w:pPr>
              <w:pStyle w:val="22"/>
              <w:bidi w:val="0"/>
              <w:jc w:val="center"/>
              <w:rPr>
                <w:color w:val="auto"/>
              </w:rPr>
            </w:pPr>
            <w:r>
              <w:rPr>
                <w:color w:val="auto"/>
              </w:rPr>
              <w:t>符合</w:t>
            </w:r>
          </w:p>
        </w:tc>
      </w:tr>
    </w:tbl>
    <w:p>
      <w:pPr>
        <w:bidi w:val="0"/>
        <w:rPr>
          <w:color w:val="auto"/>
        </w:rPr>
      </w:pPr>
      <w:r>
        <w:rPr>
          <w:color w:val="auto"/>
        </w:rPr>
        <w:t>本项目建设的生物细菌实验室和基因扩增实验室均属于二级实验室，符合通则中的二级实验室要求。</w:t>
      </w:r>
    </w:p>
    <w:p>
      <w:pPr>
        <w:pStyle w:val="7"/>
        <w:bidi w:val="0"/>
        <w:rPr>
          <w:rFonts w:hint="eastAsia" w:eastAsia="宋体"/>
          <w:color w:val="auto"/>
          <w:lang w:eastAsia="zh-CN"/>
        </w:rPr>
      </w:pPr>
      <w:r>
        <w:rPr>
          <w:color w:val="auto"/>
        </w:rPr>
        <w:t>2.9.</w:t>
      </w:r>
      <w:r>
        <w:rPr>
          <w:rFonts w:hint="eastAsia"/>
          <w:color w:val="auto"/>
          <w:lang w:val="en-US" w:eastAsia="zh-CN"/>
        </w:rPr>
        <w:t>4</w:t>
      </w:r>
      <w:r>
        <w:rPr>
          <w:color w:val="auto"/>
        </w:rPr>
        <w:t>.3与《微生物和生物医学实验室安全通用准则》中选址要求符合性</w:t>
      </w:r>
    </w:p>
    <w:p>
      <w:pPr>
        <w:pStyle w:val="22"/>
        <w:bidi w:val="0"/>
        <w:rPr>
          <w:b/>
          <w:bCs/>
          <w:color w:val="auto"/>
        </w:rPr>
      </w:pPr>
      <w:r>
        <w:rPr>
          <w:b/>
          <w:bCs/>
          <w:color w:val="auto"/>
        </w:rPr>
        <w:t>表2.9-</w:t>
      </w:r>
      <w:r>
        <w:rPr>
          <w:rFonts w:hint="eastAsia"/>
          <w:b/>
          <w:bCs/>
          <w:color w:val="auto"/>
          <w:lang w:val="en-US" w:eastAsia="zh-CN"/>
        </w:rPr>
        <w:t>7</w:t>
      </w:r>
      <w:r>
        <w:rPr>
          <w:b/>
          <w:bCs/>
          <w:color w:val="auto"/>
        </w:rPr>
        <w:t>项目与《微生物和生物医学实验室安全通用准则》相符性</w:t>
      </w:r>
    </w:p>
    <w:tbl>
      <w:tblPr>
        <w:tblStyle w:val="23"/>
        <w:tblW w:w="860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0"/>
        <w:gridCol w:w="2879"/>
        <w:gridCol w:w="3132"/>
        <w:gridCol w:w="12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7" w:hRule="atLeast"/>
          <w:jc w:val="center"/>
        </w:trPr>
        <w:tc>
          <w:tcPr>
            <w:tcW w:w="1310" w:type="dxa"/>
            <w:tcBorders>
              <w:tl2br w:val="nil"/>
              <w:tr2bl w:val="nil"/>
            </w:tcBorders>
            <w:vAlign w:val="center"/>
          </w:tcPr>
          <w:p>
            <w:pPr>
              <w:pStyle w:val="22"/>
              <w:bidi w:val="0"/>
              <w:jc w:val="center"/>
              <w:rPr>
                <w:b/>
                <w:bCs/>
                <w:color w:val="auto"/>
              </w:rPr>
            </w:pPr>
            <w:r>
              <w:rPr>
                <w:b/>
                <w:bCs/>
                <w:color w:val="auto"/>
              </w:rPr>
              <w:t>标准、规则</w:t>
            </w:r>
          </w:p>
        </w:tc>
        <w:tc>
          <w:tcPr>
            <w:tcW w:w="2879" w:type="dxa"/>
            <w:tcBorders>
              <w:tl2br w:val="nil"/>
              <w:tr2bl w:val="nil"/>
            </w:tcBorders>
            <w:vAlign w:val="center"/>
          </w:tcPr>
          <w:p>
            <w:pPr>
              <w:pStyle w:val="22"/>
              <w:bidi w:val="0"/>
              <w:jc w:val="center"/>
              <w:rPr>
                <w:b/>
                <w:bCs/>
                <w:color w:val="auto"/>
              </w:rPr>
            </w:pPr>
            <w:r>
              <w:rPr>
                <w:b/>
                <w:bCs/>
                <w:color w:val="auto"/>
              </w:rPr>
              <w:t>指标要求</w:t>
            </w:r>
          </w:p>
        </w:tc>
        <w:tc>
          <w:tcPr>
            <w:tcW w:w="3132" w:type="dxa"/>
            <w:tcBorders>
              <w:tl2br w:val="nil"/>
              <w:tr2bl w:val="nil"/>
            </w:tcBorders>
            <w:vAlign w:val="center"/>
          </w:tcPr>
          <w:p>
            <w:pPr>
              <w:pStyle w:val="22"/>
              <w:bidi w:val="0"/>
              <w:jc w:val="center"/>
              <w:rPr>
                <w:b/>
                <w:bCs/>
                <w:color w:val="auto"/>
              </w:rPr>
            </w:pPr>
            <w:r>
              <w:rPr>
                <w:b/>
                <w:bCs/>
                <w:color w:val="auto"/>
              </w:rPr>
              <w:t>本项目</w:t>
            </w:r>
          </w:p>
        </w:tc>
        <w:tc>
          <w:tcPr>
            <w:tcW w:w="1285" w:type="dxa"/>
            <w:tcBorders>
              <w:tl2br w:val="nil"/>
              <w:tr2bl w:val="nil"/>
            </w:tcBorders>
            <w:vAlign w:val="center"/>
          </w:tcPr>
          <w:p>
            <w:pPr>
              <w:pStyle w:val="22"/>
              <w:bidi w:val="0"/>
              <w:jc w:val="center"/>
              <w:rPr>
                <w:b/>
                <w:bCs/>
                <w:color w:val="auto"/>
              </w:rPr>
            </w:pPr>
            <w:r>
              <w:rPr>
                <w:b/>
                <w:bCs/>
                <w:color w:val="auto"/>
              </w:rPr>
              <w:t>相符性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9" w:hRule="atLeast"/>
          <w:jc w:val="center"/>
        </w:trPr>
        <w:tc>
          <w:tcPr>
            <w:tcW w:w="1310" w:type="dxa"/>
            <w:vMerge w:val="restart"/>
            <w:tcBorders>
              <w:tl2br w:val="nil"/>
              <w:tr2bl w:val="nil"/>
            </w:tcBorders>
            <w:vAlign w:val="center"/>
          </w:tcPr>
          <w:p>
            <w:pPr>
              <w:pStyle w:val="22"/>
              <w:bidi w:val="0"/>
              <w:jc w:val="center"/>
              <w:rPr>
                <w:color w:val="auto"/>
              </w:rPr>
            </w:pPr>
          </w:p>
          <w:p>
            <w:pPr>
              <w:pStyle w:val="22"/>
              <w:bidi w:val="0"/>
              <w:jc w:val="center"/>
              <w:rPr>
                <w:color w:val="auto"/>
              </w:rPr>
            </w:pPr>
          </w:p>
          <w:p>
            <w:pPr>
              <w:pStyle w:val="22"/>
              <w:bidi w:val="0"/>
              <w:jc w:val="center"/>
              <w:rPr>
                <w:color w:val="auto"/>
              </w:rPr>
            </w:pPr>
          </w:p>
          <w:p>
            <w:pPr>
              <w:pStyle w:val="22"/>
              <w:bidi w:val="0"/>
              <w:jc w:val="center"/>
              <w:rPr>
                <w:color w:val="auto"/>
              </w:rPr>
            </w:pPr>
          </w:p>
          <w:p>
            <w:pPr>
              <w:pStyle w:val="22"/>
              <w:bidi w:val="0"/>
              <w:jc w:val="center"/>
              <w:rPr>
                <w:color w:val="auto"/>
              </w:rPr>
            </w:pPr>
            <w:r>
              <w:rPr>
                <w:color w:val="auto"/>
              </w:rPr>
              <w:t>《微生物和生物医学实验室安全通用准则》对二级实验室设的基</w:t>
            </w:r>
          </w:p>
          <w:p>
            <w:pPr>
              <w:pStyle w:val="22"/>
              <w:bidi w:val="0"/>
              <w:jc w:val="center"/>
              <w:rPr>
                <w:color w:val="auto"/>
              </w:rPr>
            </w:pPr>
            <w:r>
              <w:rPr>
                <w:color w:val="auto"/>
              </w:rPr>
              <w:t>本要求</w:t>
            </w:r>
          </w:p>
        </w:tc>
        <w:tc>
          <w:tcPr>
            <w:tcW w:w="2879" w:type="dxa"/>
            <w:tcBorders>
              <w:tl2br w:val="nil"/>
              <w:tr2bl w:val="nil"/>
            </w:tcBorders>
            <w:vAlign w:val="center"/>
          </w:tcPr>
          <w:p>
            <w:pPr>
              <w:pStyle w:val="22"/>
              <w:bidi w:val="0"/>
              <w:jc w:val="center"/>
              <w:rPr>
                <w:color w:val="auto"/>
              </w:rPr>
            </w:pPr>
            <w:r>
              <w:rPr>
                <w:color w:val="auto"/>
              </w:rPr>
              <w:t>可能产生致病微生物气溶胶或出现溅出的操作均应在生物安全柜</w:t>
            </w:r>
            <w:r>
              <w:rPr>
                <w:rFonts w:hint="eastAsia"/>
                <w:color w:val="auto"/>
                <w:lang w:eastAsia="zh-CN"/>
              </w:rPr>
              <w:t>（</w:t>
            </w:r>
            <w:r>
              <w:rPr>
                <w:color w:val="auto"/>
              </w:rPr>
              <w:t>II级生物安全柜为宜</w:t>
            </w:r>
            <w:r>
              <w:rPr>
                <w:rFonts w:hint="eastAsia"/>
                <w:color w:val="auto"/>
                <w:lang w:eastAsia="zh-CN"/>
              </w:rPr>
              <w:t>）</w:t>
            </w:r>
            <w:r>
              <w:rPr>
                <w:color w:val="auto"/>
              </w:rPr>
              <w:t>或其他物理抑制设备中进行，并使用个体防护设备</w:t>
            </w:r>
          </w:p>
        </w:tc>
        <w:tc>
          <w:tcPr>
            <w:tcW w:w="3132" w:type="dxa"/>
            <w:tcBorders>
              <w:tl2br w:val="nil"/>
              <w:tr2bl w:val="nil"/>
            </w:tcBorders>
            <w:vAlign w:val="center"/>
          </w:tcPr>
          <w:p>
            <w:pPr>
              <w:pStyle w:val="22"/>
              <w:bidi w:val="0"/>
              <w:jc w:val="center"/>
              <w:rPr>
                <w:color w:val="auto"/>
              </w:rPr>
            </w:pPr>
          </w:p>
          <w:p>
            <w:pPr>
              <w:pStyle w:val="22"/>
              <w:bidi w:val="0"/>
              <w:jc w:val="center"/>
              <w:rPr>
                <w:color w:val="auto"/>
              </w:rPr>
            </w:pPr>
            <w:r>
              <w:rPr>
                <w:color w:val="auto"/>
              </w:rPr>
              <w:t>生物实验均要求在生物安全柜内进行，并使用个体防护设备</w:t>
            </w:r>
          </w:p>
        </w:tc>
        <w:tc>
          <w:tcPr>
            <w:tcW w:w="1285" w:type="dxa"/>
            <w:tcBorders>
              <w:tl2br w:val="nil"/>
              <w:tr2bl w:val="nil"/>
            </w:tcBorders>
            <w:vAlign w:val="center"/>
          </w:tcPr>
          <w:p>
            <w:pPr>
              <w:pStyle w:val="22"/>
              <w:bidi w:val="0"/>
              <w:jc w:val="center"/>
              <w:rPr>
                <w:color w:val="auto"/>
              </w:rPr>
            </w:pPr>
          </w:p>
          <w:p>
            <w:pPr>
              <w:pStyle w:val="22"/>
              <w:bidi w:val="0"/>
              <w:jc w:val="center"/>
              <w:rPr>
                <w:color w:val="auto"/>
              </w:rPr>
            </w:pPr>
            <w:r>
              <w:rPr>
                <w:color w:val="auto"/>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75" w:hRule="atLeast"/>
          <w:jc w:val="center"/>
        </w:trPr>
        <w:tc>
          <w:tcPr>
            <w:tcW w:w="1310" w:type="dxa"/>
            <w:vMerge w:val="continue"/>
            <w:tcBorders>
              <w:tl2br w:val="nil"/>
              <w:tr2bl w:val="nil"/>
            </w:tcBorders>
            <w:vAlign w:val="center"/>
          </w:tcPr>
          <w:p>
            <w:pPr>
              <w:pStyle w:val="22"/>
              <w:bidi w:val="0"/>
              <w:jc w:val="center"/>
              <w:rPr>
                <w:color w:val="auto"/>
              </w:rPr>
            </w:pPr>
          </w:p>
        </w:tc>
        <w:tc>
          <w:tcPr>
            <w:tcW w:w="2879" w:type="dxa"/>
            <w:tcBorders>
              <w:tl2br w:val="nil"/>
              <w:tr2bl w:val="nil"/>
            </w:tcBorders>
            <w:vAlign w:val="center"/>
          </w:tcPr>
          <w:p>
            <w:pPr>
              <w:pStyle w:val="22"/>
              <w:bidi w:val="0"/>
              <w:jc w:val="center"/>
              <w:rPr>
                <w:color w:val="auto"/>
              </w:rPr>
            </w:pPr>
            <w:r>
              <w:rPr>
                <w:color w:val="auto"/>
              </w:rPr>
              <w:t>在实验室中应穿着工作服或罩衫等防护服。离开实验室时，防护服必须脱下并留在实验室内。不得穿着外出，更不能携带回家。用过的工作服应先在实验室中消毒，然后统一洗涤或丢弃</w:t>
            </w:r>
          </w:p>
        </w:tc>
        <w:tc>
          <w:tcPr>
            <w:tcW w:w="3132" w:type="dxa"/>
            <w:tcBorders>
              <w:tl2br w:val="nil"/>
              <w:tr2bl w:val="nil"/>
            </w:tcBorders>
            <w:vAlign w:val="center"/>
          </w:tcPr>
          <w:p>
            <w:pPr>
              <w:pStyle w:val="22"/>
              <w:bidi w:val="0"/>
              <w:jc w:val="center"/>
              <w:rPr>
                <w:color w:val="auto"/>
              </w:rPr>
            </w:pPr>
          </w:p>
          <w:p>
            <w:pPr>
              <w:pStyle w:val="22"/>
              <w:bidi w:val="0"/>
              <w:jc w:val="center"/>
              <w:rPr>
                <w:color w:val="auto"/>
              </w:rPr>
            </w:pPr>
          </w:p>
          <w:p>
            <w:pPr>
              <w:pStyle w:val="22"/>
              <w:bidi w:val="0"/>
              <w:jc w:val="center"/>
              <w:rPr>
                <w:color w:val="auto"/>
              </w:rPr>
            </w:pPr>
            <w:r>
              <w:rPr>
                <w:color w:val="auto"/>
              </w:rPr>
              <w:t>进入试验区域均需要更衣，换洗衣物在</w:t>
            </w:r>
            <w:r>
              <w:rPr>
                <w:rFonts w:hint="eastAsia"/>
                <w:color w:val="auto"/>
                <w:lang w:val="en-US" w:eastAsia="zh-CN"/>
              </w:rPr>
              <w:t>2楼</w:t>
            </w:r>
            <w:r>
              <w:rPr>
                <w:color w:val="auto"/>
              </w:rPr>
              <w:t>的工作服洗消间进行处理</w:t>
            </w:r>
          </w:p>
        </w:tc>
        <w:tc>
          <w:tcPr>
            <w:tcW w:w="1285" w:type="dxa"/>
            <w:tcBorders>
              <w:tl2br w:val="nil"/>
              <w:tr2bl w:val="nil"/>
            </w:tcBorders>
            <w:vAlign w:val="center"/>
          </w:tcPr>
          <w:p>
            <w:pPr>
              <w:pStyle w:val="22"/>
              <w:bidi w:val="0"/>
              <w:jc w:val="center"/>
              <w:rPr>
                <w:color w:val="auto"/>
              </w:rPr>
            </w:pPr>
          </w:p>
          <w:p>
            <w:pPr>
              <w:pStyle w:val="22"/>
              <w:bidi w:val="0"/>
              <w:jc w:val="center"/>
              <w:rPr>
                <w:color w:val="auto"/>
              </w:rPr>
            </w:pPr>
          </w:p>
          <w:p>
            <w:pPr>
              <w:pStyle w:val="22"/>
              <w:bidi w:val="0"/>
              <w:jc w:val="center"/>
              <w:rPr>
                <w:color w:val="auto"/>
              </w:rPr>
            </w:pPr>
            <w:r>
              <w:rPr>
                <w:color w:val="auto"/>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0" w:hRule="atLeast"/>
          <w:jc w:val="center"/>
        </w:trPr>
        <w:tc>
          <w:tcPr>
            <w:tcW w:w="1310" w:type="dxa"/>
            <w:vMerge w:val="continue"/>
            <w:tcBorders>
              <w:tl2br w:val="nil"/>
              <w:tr2bl w:val="nil"/>
            </w:tcBorders>
            <w:vAlign w:val="center"/>
          </w:tcPr>
          <w:p>
            <w:pPr>
              <w:pStyle w:val="22"/>
              <w:bidi w:val="0"/>
              <w:jc w:val="center"/>
              <w:rPr>
                <w:color w:val="auto"/>
              </w:rPr>
            </w:pPr>
          </w:p>
        </w:tc>
        <w:tc>
          <w:tcPr>
            <w:tcW w:w="2879" w:type="dxa"/>
            <w:tcBorders>
              <w:tl2br w:val="nil"/>
              <w:tr2bl w:val="nil"/>
            </w:tcBorders>
            <w:vAlign w:val="center"/>
          </w:tcPr>
          <w:p>
            <w:pPr>
              <w:pStyle w:val="22"/>
              <w:bidi w:val="0"/>
              <w:jc w:val="center"/>
              <w:rPr>
                <w:color w:val="auto"/>
              </w:rPr>
            </w:pPr>
            <w:r>
              <w:rPr>
                <w:color w:val="auto"/>
              </w:rPr>
              <w:t>应设置实施各种消毒方法的设施，如高压灭菌锅、化学消毒装置等对废弃物进行处理。</w:t>
            </w:r>
          </w:p>
        </w:tc>
        <w:tc>
          <w:tcPr>
            <w:tcW w:w="3132" w:type="dxa"/>
            <w:tcBorders>
              <w:tl2br w:val="nil"/>
              <w:tr2bl w:val="nil"/>
            </w:tcBorders>
            <w:vAlign w:val="center"/>
          </w:tcPr>
          <w:p>
            <w:pPr>
              <w:pStyle w:val="22"/>
              <w:bidi w:val="0"/>
              <w:jc w:val="center"/>
              <w:rPr>
                <w:color w:val="auto"/>
              </w:rPr>
            </w:pPr>
            <w:r>
              <w:rPr>
                <w:rFonts w:hint="eastAsia"/>
                <w:color w:val="auto"/>
                <w:lang w:val="en-US" w:eastAsia="zh-CN"/>
              </w:rPr>
              <w:t>在2楼</w:t>
            </w:r>
            <w:r>
              <w:rPr>
                <w:color w:val="auto"/>
              </w:rPr>
              <w:t>西侧的生物实验室内设有高温灭菌锅对废弃物进行处理</w:t>
            </w:r>
          </w:p>
        </w:tc>
        <w:tc>
          <w:tcPr>
            <w:tcW w:w="1285" w:type="dxa"/>
            <w:tcBorders>
              <w:tl2br w:val="nil"/>
              <w:tr2bl w:val="nil"/>
            </w:tcBorders>
            <w:vAlign w:val="center"/>
          </w:tcPr>
          <w:p>
            <w:pPr>
              <w:pStyle w:val="22"/>
              <w:bidi w:val="0"/>
              <w:jc w:val="center"/>
              <w:rPr>
                <w:color w:val="auto"/>
              </w:rPr>
            </w:pPr>
          </w:p>
          <w:p>
            <w:pPr>
              <w:pStyle w:val="22"/>
              <w:bidi w:val="0"/>
              <w:jc w:val="center"/>
              <w:rPr>
                <w:color w:val="auto"/>
              </w:rPr>
            </w:pPr>
            <w:r>
              <w:rPr>
                <w:color w:val="auto"/>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1310" w:type="dxa"/>
            <w:vMerge w:val="continue"/>
            <w:tcBorders>
              <w:tl2br w:val="nil"/>
              <w:tr2bl w:val="nil"/>
            </w:tcBorders>
            <w:vAlign w:val="center"/>
          </w:tcPr>
          <w:p>
            <w:pPr>
              <w:pStyle w:val="22"/>
              <w:bidi w:val="0"/>
              <w:jc w:val="center"/>
              <w:rPr>
                <w:color w:val="auto"/>
              </w:rPr>
            </w:pPr>
          </w:p>
        </w:tc>
        <w:tc>
          <w:tcPr>
            <w:tcW w:w="2879" w:type="dxa"/>
            <w:tcBorders>
              <w:tl2br w:val="nil"/>
              <w:tr2bl w:val="nil"/>
            </w:tcBorders>
            <w:vAlign w:val="center"/>
          </w:tcPr>
          <w:p>
            <w:pPr>
              <w:pStyle w:val="22"/>
              <w:bidi w:val="0"/>
              <w:jc w:val="center"/>
              <w:rPr>
                <w:color w:val="auto"/>
              </w:rPr>
            </w:pPr>
            <w:r>
              <w:rPr>
                <w:color w:val="auto"/>
              </w:rPr>
              <w:t>应设置洗眼装置</w:t>
            </w:r>
          </w:p>
        </w:tc>
        <w:tc>
          <w:tcPr>
            <w:tcW w:w="3132" w:type="dxa"/>
            <w:tcBorders>
              <w:tl2br w:val="nil"/>
              <w:tr2bl w:val="nil"/>
            </w:tcBorders>
            <w:vAlign w:val="center"/>
          </w:tcPr>
          <w:p>
            <w:pPr>
              <w:pStyle w:val="22"/>
              <w:bidi w:val="0"/>
              <w:jc w:val="center"/>
              <w:rPr>
                <w:color w:val="auto"/>
              </w:rPr>
            </w:pPr>
            <w:r>
              <w:rPr>
                <w:color w:val="auto"/>
              </w:rPr>
              <w:t>在P2实验室设有洗眼器</w:t>
            </w:r>
          </w:p>
        </w:tc>
        <w:tc>
          <w:tcPr>
            <w:tcW w:w="1285" w:type="dxa"/>
            <w:tcBorders>
              <w:tl2br w:val="nil"/>
              <w:tr2bl w:val="nil"/>
            </w:tcBorders>
            <w:vAlign w:val="center"/>
          </w:tcPr>
          <w:p>
            <w:pPr>
              <w:pStyle w:val="22"/>
              <w:bidi w:val="0"/>
              <w:jc w:val="center"/>
              <w:rPr>
                <w:color w:val="auto"/>
              </w:rPr>
            </w:pPr>
            <w:r>
              <w:rPr>
                <w:color w:val="auto"/>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5" w:hRule="atLeast"/>
          <w:jc w:val="center"/>
        </w:trPr>
        <w:tc>
          <w:tcPr>
            <w:tcW w:w="1310" w:type="dxa"/>
            <w:vMerge w:val="continue"/>
            <w:tcBorders>
              <w:tl2br w:val="nil"/>
              <w:tr2bl w:val="nil"/>
            </w:tcBorders>
            <w:vAlign w:val="center"/>
          </w:tcPr>
          <w:p>
            <w:pPr>
              <w:pStyle w:val="22"/>
              <w:bidi w:val="0"/>
              <w:jc w:val="center"/>
              <w:rPr>
                <w:color w:val="auto"/>
              </w:rPr>
            </w:pPr>
          </w:p>
        </w:tc>
        <w:tc>
          <w:tcPr>
            <w:tcW w:w="2879" w:type="dxa"/>
            <w:tcBorders>
              <w:tl2br w:val="nil"/>
              <w:tr2bl w:val="nil"/>
            </w:tcBorders>
            <w:vAlign w:val="center"/>
          </w:tcPr>
          <w:p>
            <w:pPr>
              <w:pStyle w:val="22"/>
              <w:bidi w:val="0"/>
              <w:jc w:val="center"/>
              <w:rPr>
                <w:color w:val="auto"/>
              </w:rPr>
            </w:pPr>
            <w:r>
              <w:rPr>
                <w:color w:val="auto"/>
              </w:rPr>
              <w:t>实验室门宜带锁、可自动关闭</w:t>
            </w:r>
          </w:p>
        </w:tc>
        <w:tc>
          <w:tcPr>
            <w:tcW w:w="3132" w:type="dxa"/>
            <w:tcBorders>
              <w:tl2br w:val="nil"/>
              <w:tr2bl w:val="nil"/>
            </w:tcBorders>
            <w:vAlign w:val="center"/>
          </w:tcPr>
          <w:p>
            <w:pPr>
              <w:pStyle w:val="22"/>
              <w:bidi w:val="0"/>
              <w:jc w:val="center"/>
              <w:rPr>
                <w:color w:val="auto"/>
              </w:rPr>
            </w:pPr>
            <w:r>
              <w:rPr>
                <w:color w:val="auto"/>
              </w:rPr>
              <w:t>实验室带锁、可自动关闭</w:t>
            </w:r>
          </w:p>
        </w:tc>
        <w:tc>
          <w:tcPr>
            <w:tcW w:w="1285" w:type="dxa"/>
            <w:tcBorders>
              <w:tl2br w:val="nil"/>
              <w:tr2bl w:val="nil"/>
            </w:tcBorders>
            <w:vAlign w:val="center"/>
          </w:tcPr>
          <w:p>
            <w:pPr>
              <w:pStyle w:val="22"/>
              <w:bidi w:val="0"/>
              <w:jc w:val="center"/>
              <w:rPr>
                <w:color w:val="auto"/>
              </w:rPr>
            </w:pPr>
            <w:r>
              <w:rPr>
                <w:color w:val="auto"/>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jc w:val="center"/>
        </w:trPr>
        <w:tc>
          <w:tcPr>
            <w:tcW w:w="1310" w:type="dxa"/>
            <w:vMerge w:val="continue"/>
            <w:tcBorders>
              <w:tl2br w:val="nil"/>
              <w:tr2bl w:val="nil"/>
            </w:tcBorders>
            <w:vAlign w:val="center"/>
          </w:tcPr>
          <w:p>
            <w:pPr>
              <w:pStyle w:val="22"/>
              <w:bidi w:val="0"/>
              <w:jc w:val="center"/>
              <w:rPr>
                <w:color w:val="auto"/>
              </w:rPr>
            </w:pPr>
          </w:p>
        </w:tc>
        <w:tc>
          <w:tcPr>
            <w:tcW w:w="2879" w:type="dxa"/>
            <w:tcBorders>
              <w:tl2br w:val="nil"/>
              <w:tr2bl w:val="nil"/>
            </w:tcBorders>
            <w:vAlign w:val="center"/>
          </w:tcPr>
          <w:p>
            <w:pPr>
              <w:pStyle w:val="22"/>
              <w:bidi w:val="0"/>
              <w:jc w:val="center"/>
              <w:rPr>
                <w:color w:val="auto"/>
              </w:rPr>
            </w:pPr>
            <w:r>
              <w:rPr>
                <w:color w:val="auto"/>
              </w:rPr>
              <w:t>实验室出口应有发光指示标志</w:t>
            </w:r>
          </w:p>
        </w:tc>
        <w:tc>
          <w:tcPr>
            <w:tcW w:w="3132" w:type="dxa"/>
            <w:tcBorders>
              <w:tl2br w:val="nil"/>
              <w:tr2bl w:val="nil"/>
            </w:tcBorders>
            <w:vAlign w:val="center"/>
          </w:tcPr>
          <w:p>
            <w:pPr>
              <w:pStyle w:val="22"/>
              <w:bidi w:val="0"/>
              <w:jc w:val="center"/>
              <w:rPr>
                <w:color w:val="auto"/>
              </w:rPr>
            </w:pPr>
            <w:r>
              <w:rPr>
                <w:color w:val="auto"/>
              </w:rPr>
              <w:t>实验室出口有发光指示标志</w:t>
            </w:r>
          </w:p>
        </w:tc>
        <w:tc>
          <w:tcPr>
            <w:tcW w:w="1285" w:type="dxa"/>
            <w:tcBorders>
              <w:tl2br w:val="nil"/>
              <w:tr2bl w:val="nil"/>
            </w:tcBorders>
            <w:vAlign w:val="center"/>
          </w:tcPr>
          <w:p>
            <w:pPr>
              <w:pStyle w:val="22"/>
              <w:bidi w:val="0"/>
              <w:jc w:val="center"/>
              <w:rPr>
                <w:color w:val="auto"/>
              </w:rPr>
            </w:pPr>
            <w:r>
              <w:rPr>
                <w:color w:val="auto"/>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4" w:hRule="atLeast"/>
          <w:jc w:val="center"/>
        </w:trPr>
        <w:tc>
          <w:tcPr>
            <w:tcW w:w="1310" w:type="dxa"/>
            <w:vMerge w:val="continue"/>
            <w:tcBorders>
              <w:tl2br w:val="nil"/>
              <w:tr2bl w:val="nil"/>
            </w:tcBorders>
            <w:vAlign w:val="center"/>
          </w:tcPr>
          <w:p>
            <w:pPr>
              <w:pStyle w:val="22"/>
              <w:bidi w:val="0"/>
              <w:jc w:val="center"/>
              <w:rPr>
                <w:color w:val="auto"/>
              </w:rPr>
            </w:pPr>
          </w:p>
        </w:tc>
        <w:tc>
          <w:tcPr>
            <w:tcW w:w="2879" w:type="dxa"/>
            <w:tcBorders>
              <w:tl2br w:val="nil"/>
              <w:tr2bl w:val="nil"/>
            </w:tcBorders>
            <w:vAlign w:val="center"/>
          </w:tcPr>
          <w:p>
            <w:pPr>
              <w:pStyle w:val="22"/>
              <w:bidi w:val="0"/>
              <w:jc w:val="center"/>
              <w:rPr>
                <w:color w:val="auto"/>
              </w:rPr>
            </w:pPr>
            <w:r>
              <w:rPr>
                <w:color w:val="auto"/>
              </w:rPr>
              <w:t>实验室宜有不少于每小时3～4次的通风换气次数</w:t>
            </w:r>
          </w:p>
        </w:tc>
        <w:tc>
          <w:tcPr>
            <w:tcW w:w="3132" w:type="dxa"/>
            <w:tcBorders>
              <w:tl2br w:val="nil"/>
              <w:tr2bl w:val="nil"/>
            </w:tcBorders>
            <w:vAlign w:val="center"/>
          </w:tcPr>
          <w:p>
            <w:pPr>
              <w:pStyle w:val="22"/>
              <w:bidi w:val="0"/>
              <w:jc w:val="center"/>
              <w:rPr>
                <w:color w:val="auto"/>
              </w:rPr>
            </w:pPr>
            <w:r>
              <w:rPr>
                <w:color w:val="auto"/>
              </w:rPr>
              <w:t>实验室通风换气次数不少于每小时3～4次</w:t>
            </w:r>
          </w:p>
        </w:tc>
        <w:tc>
          <w:tcPr>
            <w:tcW w:w="1285" w:type="dxa"/>
            <w:tcBorders>
              <w:tl2br w:val="nil"/>
              <w:tr2bl w:val="nil"/>
            </w:tcBorders>
            <w:vAlign w:val="center"/>
          </w:tcPr>
          <w:p>
            <w:pPr>
              <w:pStyle w:val="22"/>
              <w:bidi w:val="0"/>
              <w:jc w:val="center"/>
              <w:rPr>
                <w:color w:val="auto"/>
              </w:rPr>
            </w:pPr>
            <w:r>
              <w:rPr>
                <w:color w:val="auto"/>
              </w:rPr>
              <w:t>符合</w:t>
            </w:r>
          </w:p>
        </w:tc>
      </w:tr>
    </w:tbl>
    <w:p>
      <w:pPr>
        <w:bidi w:val="0"/>
        <w:rPr>
          <w:color w:val="auto"/>
        </w:rPr>
      </w:pPr>
      <w:r>
        <w:rPr>
          <w:color w:val="auto"/>
        </w:rPr>
        <w:t>本项目建设的生物细菌实验室和基因扩增实验室均属于二级实验室，符合通则中的二级实验室要求。</w:t>
      </w:r>
    </w:p>
    <w:p>
      <w:pPr>
        <w:pStyle w:val="6"/>
        <w:bidi w:val="0"/>
        <w:rPr>
          <w:color w:val="auto"/>
        </w:rPr>
      </w:pPr>
      <w:bookmarkStart w:id="48" w:name="_Toc32289"/>
      <w:r>
        <w:rPr>
          <w:color w:val="auto"/>
        </w:rPr>
        <w:t>2.</w:t>
      </w:r>
      <w:r>
        <w:rPr>
          <w:rFonts w:hint="eastAsia"/>
          <w:color w:val="auto"/>
          <w:lang w:val="en-US" w:eastAsia="zh-CN"/>
        </w:rPr>
        <w:t>9</w:t>
      </w:r>
      <w:r>
        <w:rPr>
          <w:color w:val="auto"/>
        </w:rPr>
        <w:t>.</w:t>
      </w:r>
      <w:r>
        <w:rPr>
          <w:rFonts w:hint="eastAsia"/>
          <w:color w:val="auto"/>
          <w:lang w:val="en-US" w:eastAsia="zh-CN"/>
        </w:rPr>
        <w:t>4</w:t>
      </w:r>
      <w:r>
        <w:rPr>
          <w:color w:val="auto"/>
        </w:rPr>
        <w:t>环境管理政策符合性分析</w:t>
      </w:r>
      <w:bookmarkEnd w:id="48"/>
    </w:p>
    <w:p>
      <w:pPr>
        <w:bidi w:val="0"/>
        <w:rPr>
          <w:color w:val="auto"/>
        </w:rPr>
      </w:pPr>
      <w:r>
        <w:rPr>
          <w:color w:val="auto"/>
        </w:rPr>
        <w:t>本建设项目与各相关法律法规、《水污染防治行动计划》、《国务院大气污染防治十条措施》等现行环境管理要求环境政策符合性分析见表2.6-</w:t>
      </w:r>
      <w:r>
        <w:rPr>
          <w:rFonts w:hint="eastAsia"/>
          <w:color w:val="auto"/>
          <w:lang w:val="en-US" w:eastAsia="zh-CN"/>
        </w:rPr>
        <w:t>8</w:t>
      </w:r>
      <w:r>
        <w:rPr>
          <w:color w:val="auto"/>
        </w:rPr>
        <w:t>。</w:t>
      </w:r>
    </w:p>
    <w:p>
      <w:pPr>
        <w:pStyle w:val="22"/>
        <w:bidi w:val="0"/>
        <w:rPr>
          <w:b/>
          <w:bCs/>
          <w:color w:val="auto"/>
        </w:rPr>
      </w:pPr>
      <w:r>
        <w:rPr>
          <w:b/>
          <w:bCs/>
          <w:color w:val="auto"/>
        </w:rPr>
        <w:t>表2.6-</w:t>
      </w:r>
      <w:r>
        <w:rPr>
          <w:rFonts w:hint="eastAsia"/>
          <w:b/>
          <w:bCs/>
          <w:color w:val="auto"/>
          <w:lang w:val="en-US" w:eastAsia="zh-CN"/>
        </w:rPr>
        <w:t>8</w:t>
      </w:r>
      <w:r>
        <w:rPr>
          <w:b/>
          <w:bCs/>
          <w:color w:val="auto"/>
        </w:rPr>
        <w:t>环境管理政策与本项目内容对比分析一览表</w:t>
      </w:r>
    </w:p>
    <w:tbl>
      <w:tblPr>
        <w:tblStyle w:val="23"/>
        <w:tblW w:w="852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385"/>
        <w:gridCol w:w="3483"/>
        <w:gridCol w:w="1878"/>
        <w:gridCol w:w="77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jc w:val="center"/>
        </w:trPr>
        <w:tc>
          <w:tcPr>
            <w:tcW w:w="5868" w:type="dxa"/>
            <w:gridSpan w:val="2"/>
            <w:tcBorders>
              <w:tl2br w:val="nil"/>
              <w:tr2bl w:val="nil"/>
            </w:tcBorders>
            <w:vAlign w:val="center"/>
          </w:tcPr>
          <w:p>
            <w:pPr>
              <w:pStyle w:val="22"/>
              <w:bidi w:val="0"/>
              <w:rPr>
                <w:b/>
                <w:bCs/>
                <w:color w:val="auto"/>
              </w:rPr>
            </w:pPr>
            <w:r>
              <w:rPr>
                <w:b/>
                <w:bCs/>
                <w:color w:val="auto"/>
              </w:rPr>
              <w:t>环境管理政策</w:t>
            </w:r>
          </w:p>
        </w:tc>
        <w:tc>
          <w:tcPr>
            <w:tcW w:w="1878" w:type="dxa"/>
            <w:vMerge w:val="restart"/>
            <w:tcBorders>
              <w:tl2br w:val="nil"/>
              <w:tr2bl w:val="nil"/>
            </w:tcBorders>
            <w:vAlign w:val="center"/>
          </w:tcPr>
          <w:p>
            <w:pPr>
              <w:pStyle w:val="22"/>
              <w:bidi w:val="0"/>
              <w:rPr>
                <w:b/>
                <w:bCs/>
                <w:color w:val="auto"/>
              </w:rPr>
            </w:pPr>
            <w:r>
              <w:rPr>
                <w:b/>
                <w:bCs/>
                <w:color w:val="auto"/>
              </w:rPr>
              <w:t>本工程对应的内容</w:t>
            </w:r>
          </w:p>
        </w:tc>
        <w:tc>
          <w:tcPr>
            <w:tcW w:w="776" w:type="dxa"/>
            <w:vMerge w:val="restart"/>
            <w:tcBorders>
              <w:tl2br w:val="nil"/>
              <w:tr2bl w:val="nil"/>
            </w:tcBorders>
            <w:vAlign w:val="center"/>
          </w:tcPr>
          <w:p>
            <w:pPr>
              <w:pStyle w:val="22"/>
              <w:bidi w:val="0"/>
              <w:rPr>
                <w:b/>
                <w:bCs/>
                <w:color w:val="auto"/>
              </w:rPr>
            </w:pPr>
            <w:r>
              <w:rPr>
                <w:b/>
                <w:bCs/>
                <w:color w:val="auto"/>
              </w:rPr>
              <w:t>符合</w:t>
            </w:r>
          </w:p>
          <w:p>
            <w:pPr>
              <w:pStyle w:val="22"/>
              <w:bidi w:val="0"/>
              <w:rPr>
                <w:b/>
                <w:bCs/>
                <w:color w:val="auto"/>
              </w:rPr>
            </w:pPr>
            <w:r>
              <w:rPr>
                <w:b/>
                <w:bCs/>
                <w:color w:val="auto"/>
              </w:rPr>
              <w:t>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jc w:val="center"/>
        </w:trPr>
        <w:tc>
          <w:tcPr>
            <w:tcW w:w="2385" w:type="dxa"/>
            <w:tcBorders>
              <w:tl2br w:val="nil"/>
              <w:tr2bl w:val="nil"/>
            </w:tcBorders>
            <w:vAlign w:val="center"/>
          </w:tcPr>
          <w:p>
            <w:pPr>
              <w:pStyle w:val="22"/>
              <w:bidi w:val="0"/>
              <w:rPr>
                <w:b/>
                <w:bCs/>
                <w:color w:val="auto"/>
              </w:rPr>
            </w:pPr>
            <w:r>
              <w:rPr>
                <w:b/>
                <w:bCs/>
                <w:color w:val="auto"/>
              </w:rPr>
              <w:t>名称</w:t>
            </w:r>
          </w:p>
        </w:tc>
        <w:tc>
          <w:tcPr>
            <w:tcW w:w="3483" w:type="dxa"/>
            <w:tcBorders>
              <w:tl2br w:val="nil"/>
              <w:tr2bl w:val="nil"/>
            </w:tcBorders>
            <w:vAlign w:val="center"/>
          </w:tcPr>
          <w:p>
            <w:pPr>
              <w:pStyle w:val="22"/>
              <w:bidi w:val="0"/>
              <w:rPr>
                <w:b/>
                <w:bCs/>
                <w:color w:val="auto"/>
              </w:rPr>
            </w:pPr>
            <w:r>
              <w:rPr>
                <w:b/>
                <w:bCs/>
                <w:color w:val="auto"/>
              </w:rPr>
              <w:t>相关要求</w:t>
            </w:r>
          </w:p>
        </w:tc>
        <w:tc>
          <w:tcPr>
            <w:tcW w:w="1878" w:type="dxa"/>
            <w:vMerge w:val="continue"/>
            <w:tcBorders>
              <w:tl2br w:val="nil"/>
              <w:tr2bl w:val="nil"/>
            </w:tcBorders>
            <w:vAlign w:val="center"/>
          </w:tcPr>
          <w:p>
            <w:pPr>
              <w:pStyle w:val="22"/>
              <w:bidi w:val="0"/>
              <w:rPr>
                <w:color w:val="auto"/>
              </w:rPr>
            </w:pPr>
          </w:p>
        </w:tc>
        <w:tc>
          <w:tcPr>
            <w:tcW w:w="776" w:type="dxa"/>
            <w:vMerge w:val="continue"/>
            <w:tcBorders>
              <w:tl2br w:val="nil"/>
              <w:tr2bl w:val="nil"/>
            </w:tcBorders>
            <w:vAlign w:val="center"/>
          </w:tcPr>
          <w:p>
            <w:pPr>
              <w:pStyle w:val="22"/>
              <w:bidi w:val="0"/>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7" w:hRule="atLeast"/>
          <w:jc w:val="center"/>
        </w:trPr>
        <w:tc>
          <w:tcPr>
            <w:tcW w:w="2385" w:type="dxa"/>
            <w:tcBorders>
              <w:tl2br w:val="nil"/>
              <w:tr2bl w:val="nil"/>
            </w:tcBorders>
            <w:vAlign w:val="center"/>
          </w:tcPr>
          <w:p>
            <w:pPr>
              <w:pStyle w:val="22"/>
              <w:bidi w:val="0"/>
              <w:rPr>
                <w:color w:val="auto"/>
              </w:rPr>
            </w:pPr>
            <w:r>
              <w:rPr>
                <w:rFonts w:hint="eastAsia"/>
                <w:color w:val="auto"/>
                <w:lang w:val="en-US" w:eastAsia="zh-CN"/>
              </w:rPr>
              <w:t>《国务院关于印发大气污染防治行动计划的通知》（国发〔</w:t>
            </w:r>
            <w:r>
              <w:rPr>
                <w:rFonts w:hint="default"/>
                <w:color w:val="auto"/>
                <w:lang w:val="en-US" w:eastAsia="zh-CN"/>
              </w:rPr>
              <w:t>2013</w:t>
            </w:r>
            <w:r>
              <w:rPr>
                <w:rFonts w:hint="eastAsia"/>
                <w:color w:val="auto"/>
                <w:lang w:val="en-US" w:eastAsia="zh-CN"/>
              </w:rPr>
              <w:t>〕</w:t>
            </w:r>
            <w:r>
              <w:rPr>
                <w:rFonts w:hint="default"/>
                <w:color w:val="auto"/>
                <w:lang w:val="en-US" w:eastAsia="zh-CN"/>
              </w:rPr>
              <w:t>37</w:t>
            </w:r>
            <w:r>
              <w:rPr>
                <w:rFonts w:hint="eastAsia"/>
                <w:color w:val="auto"/>
                <w:lang w:val="en-US" w:eastAsia="zh-CN"/>
              </w:rPr>
              <w:t>号）</w:t>
            </w:r>
          </w:p>
          <w:p>
            <w:pPr>
              <w:pStyle w:val="22"/>
              <w:bidi w:val="0"/>
              <w:rPr>
                <w:color w:val="auto"/>
              </w:rPr>
            </w:pPr>
          </w:p>
        </w:tc>
        <w:tc>
          <w:tcPr>
            <w:tcW w:w="3483" w:type="dxa"/>
            <w:tcBorders>
              <w:tl2br w:val="nil"/>
              <w:tr2bl w:val="nil"/>
            </w:tcBorders>
            <w:vAlign w:val="center"/>
          </w:tcPr>
          <w:p>
            <w:pPr>
              <w:pStyle w:val="22"/>
              <w:bidi w:val="0"/>
              <w:rPr>
                <w:color w:val="auto"/>
              </w:rPr>
            </w:pPr>
            <w:r>
              <w:rPr>
                <w:color w:val="auto"/>
              </w:rPr>
              <w:t>加快城镇污水处理设施建设与改造。现有城镇污水处理设施，要因地制宜进行改造2020年底前达到相应排放标准或再生利用要求。敏感区域（重点湖泊、重点水库、近岸海域汇水区域）城镇污水处理设施应于2017年底前全面达到一级A排放标准。建成区水体水质达不到地表水Ⅳ类标准的城市，新建城镇污水处理设施要执行一级A排放标准。</w:t>
            </w:r>
          </w:p>
          <w:p>
            <w:pPr>
              <w:pStyle w:val="22"/>
              <w:bidi w:val="0"/>
              <w:rPr>
                <w:color w:val="auto"/>
              </w:rPr>
            </w:pPr>
            <w:r>
              <w:rPr>
                <w:color w:val="auto"/>
              </w:rPr>
              <w:t>全面加强配套管网建设。到2017年，直辖市、省会城市、计划单列市建成区污水基本实现全收集、全处理，其他地级城市建成区于2020年底前基本实现。</w:t>
            </w:r>
          </w:p>
        </w:tc>
        <w:tc>
          <w:tcPr>
            <w:tcW w:w="1878" w:type="dxa"/>
            <w:tcBorders>
              <w:tl2br w:val="nil"/>
              <w:tr2bl w:val="nil"/>
            </w:tcBorders>
            <w:vAlign w:val="center"/>
          </w:tcPr>
          <w:p>
            <w:pPr>
              <w:pStyle w:val="22"/>
              <w:bidi w:val="0"/>
              <w:rPr>
                <w:color w:val="auto"/>
              </w:rPr>
            </w:pPr>
            <w:r>
              <w:rPr>
                <w:color w:val="auto"/>
              </w:rPr>
              <w:t>本项目位于</w:t>
            </w:r>
            <w:r>
              <w:rPr>
                <w:rFonts w:hint="eastAsia"/>
                <w:color w:val="auto"/>
                <w:lang w:eastAsia="zh-CN"/>
              </w:rPr>
              <w:t>皮山农场</w:t>
            </w:r>
            <w:r>
              <w:rPr>
                <w:color w:val="auto"/>
              </w:rPr>
              <w:t>，污水经疾控中心污水处理站处理后排入市政管网，最终进</w:t>
            </w:r>
            <w:r>
              <w:rPr>
                <w:rFonts w:hint="eastAsia"/>
                <w:color w:val="auto"/>
                <w:lang w:eastAsia="zh-CN"/>
              </w:rPr>
              <w:t>皮山农场</w:t>
            </w:r>
            <w:r>
              <w:rPr>
                <w:color w:val="auto"/>
              </w:rPr>
              <w:t>污水处理厂处理</w:t>
            </w:r>
          </w:p>
        </w:tc>
        <w:tc>
          <w:tcPr>
            <w:tcW w:w="776" w:type="dxa"/>
            <w:tcBorders>
              <w:tl2br w:val="nil"/>
              <w:tr2bl w:val="nil"/>
            </w:tcBorders>
            <w:vAlign w:val="center"/>
          </w:tcPr>
          <w:p>
            <w:pPr>
              <w:pStyle w:val="22"/>
              <w:bidi w:val="0"/>
              <w:rPr>
                <w:color w:val="auto"/>
              </w:rPr>
            </w:pPr>
            <w:r>
              <w:rPr>
                <w:color w:val="auto"/>
              </w:rPr>
              <w:t>符合</w:t>
            </w:r>
          </w:p>
          <w:p>
            <w:pPr>
              <w:pStyle w:val="22"/>
              <w:bidi w:val="0"/>
              <w:rPr>
                <w:color w:val="auto"/>
              </w:rPr>
            </w:pPr>
            <w:r>
              <w:rPr>
                <w:color w:val="auto"/>
              </w:rPr>
              <w:t>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11" w:hRule="atLeast"/>
          <w:jc w:val="center"/>
        </w:trPr>
        <w:tc>
          <w:tcPr>
            <w:tcW w:w="2385" w:type="dxa"/>
            <w:tcBorders>
              <w:tl2br w:val="nil"/>
              <w:tr2bl w:val="nil"/>
            </w:tcBorders>
            <w:vAlign w:val="center"/>
          </w:tcPr>
          <w:p>
            <w:pPr>
              <w:pStyle w:val="22"/>
              <w:bidi w:val="0"/>
              <w:rPr>
                <w:color w:val="auto"/>
              </w:rPr>
            </w:pPr>
            <w:r>
              <w:rPr>
                <w:color w:val="auto"/>
              </w:rPr>
              <w:t>《关于进一步加强危险废物和医疗废物监管工作的意见》（环发</w:t>
            </w:r>
            <w:r>
              <w:rPr>
                <w:rFonts w:hint="eastAsia"/>
                <w:color w:val="auto"/>
                <w:lang w:eastAsia="zh-CN"/>
              </w:rPr>
              <w:t>〔</w:t>
            </w:r>
            <w:r>
              <w:rPr>
                <w:color w:val="auto"/>
              </w:rPr>
              <w:t>2011</w:t>
            </w:r>
            <w:r>
              <w:rPr>
                <w:rFonts w:hint="eastAsia"/>
                <w:color w:val="auto"/>
                <w:lang w:eastAsia="zh-CN"/>
              </w:rPr>
              <w:t>〕</w:t>
            </w:r>
            <w:r>
              <w:rPr>
                <w:color w:val="auto"/>
              </w:rPr>
              <w:t>19号）</w:t>
            </w:r>
          </w:p>
        </w:tc>
        <w:tc>
          <w:tcPr>
            <w:tcW w:w="3483" w:type="dxa"/>
            <w:tcBorders>
              <w:tl2br w:val="nil"/>
              <w:tr2bl w:val="nil"/>
            </w:tcBorders>
            <w:vAlign w:val="center"/>
          </w:tcPr>
          <w:p>
            <w:pPr>
              <w:pStyle w:val="22"/>
              <w:bidi w:val="0"/>
              <w:rPr>
                <w:color w:val="auto"/>
              </w:rPr>
            </w:pPr>
            <w:r>
              <w:rPr>
                <w:color w:val="auto"/>
              </w:rPr>
              <w:t>第十三条：建立医疗废物管理责任制。医疗卫生机构负责医疗废物产生后的分类收集管理并及时将医疗废物交由医疗废物集中处置单位处置。医疗废物集中处置单位负责从医疗卫生机构收集医疗废物并进行无害化处置。医疗卫生机构和医疗废物集中处置单位的法定代表人为第一责任人。第一责任人要切实履行职责，防止因医疗废物导致疾病传播和环境污染事故，特别是防止医疗废物流向社会非法加工利用。</w:t>
            </w:r>
          </w:p>
        </w:tc>
        <w:tc>
          <w:tcPr>
            <w:tcW w:w="1878" w:type="dxa"/>
            <w:tcBorders>
              <w:tl2br w:val="nil"/>
              <w:tr2bl w:val="nil"/>
            </w:tcBorders>
            <w:vAlign w:val="center"/>
          </w:tcPr>
          <w:p>
            <w:pPr>
              <w:pStyle w:val="22"/>
              <w:bidi w:val="0"/>
              <w:rPr>
                <w:rFonts w:hint="eastAsia" w:eastAsia="宋体"/>
                <w:color w:val="auto"/>
                <w:lang w:val="en-US" w:eastAsia="zh-CN"/>
              </w:rPr>
            </w:pPr>
            <w:r>
              <w:rPr>
                <w:color w:val="auto"/>
              </w:rPr>
              <w:t>该项目产生的医疗废物由当地有危废资质单位</w:t>
            </w:r>
            <w:r>
              <w:rPr>
                <w:rFonts w:hint="eastAsia"/>
                <w:color w:val="auto"/>
                <w:lang w:val="en-US" w:eastAsia="zh-CN"/>
              </w:rPr>
              <w:t>处置</w:t>
            </w:r>
          </w:p>
          <w:p>
            <w:pPr>
              <w:pStyle w:val="22"/>
              <w:bidi w:val="0"/>
              <w:rPr>
                <w:color w:val="auto"/>
              </w:rPr>
            </w:pPr>
          </w:p>
        </w:tc>
        <w:tc>
          <w:tcPr>
            <w:tcW w:w="776" w:type="dxa"/>
            <w:tcBorders>
              <w:tl2br w:val="nil"/>
              <w:tr2bl w:val="nil"/>
            </w:tcBorders>
            <w:vAlign w:val="center"/>
          </w:tcPr>
          <w:p>
            <w:pPr>
              <w:pStyle w:val="22"/>
              <w:bidi w:val="0"/>
              <w:rPr>
                <w:color w:val="auto"/>
              </w:rPr>
            </w:pPr>
            <w:r>
              <w:rPr>
                <w:color w:val="auto"/>
              </w:rPr>
              <w:t>符合</w:t>
            </w:r>
          </w:p>
          <w:p>
            <w:pPr>
              <w:pStyle w:val="22"/>
              <w:bidi w:val="0"/>
              <w:rPr>
                <w:color w:val="auto"/>
              </w:rPr>
            </w:pPr>
            <w:r>
              <w:rPr>
                <w:color w:val="auto"/>
              </w:rPr>
              <w:t>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jc w:val="center"/>
        </w:trPr>
        <w:tc>
          <w:tcPr>
            <w:tcW w:w="2385" w:type="dxa"/>
            <w:tcBorders>
              <w:tl2br w:val="nil"/>
              <w:tr2bl w:val="nil"/>
            </w:tcBorders>
            <w:vAlign w:val="center"/>
          </w:tcPr>
          <w:p>
            <w:pPr>
              <w:pStyle w:val="22"/>
              <w:bidi w:val="0"/>
              <w:rPr>
                <w:color w:val="auto"/>
              </w:rPr>
            </w:pPr>
            <w:r>
              <w:rPr>
                <w:color w:val="auto"/>
              </w:rPr>
              <w:t>《中华人民共和国环境保护法》（修正）（2015年1月1日）</w:t>
            </w:r>
          </w:p>
        </w:tc>
        <w:tc>
          <w:tcPr>
            <w:tcW w:w="3483" w:type="dxa"/>
            <w:tcBorders>
              <w:tl2br w:val="nil"/>
              <w:tr2bl w:val="nil"/>
            </w:tcBorders>
            <w:vAlign w:val="center"/>
          </w:tcPr>
          <w:p>
            <w:pPr>
              <w:pStyle w:val="22"/>
              <w:bidi w:val="0"/>
              <w:jc w:val="both"/>
              <w:rPr>
                <w:color w:val="auto"/>
              </w:rPr>
            </w:pPr>
            <w:r>
              <w:rPr>
                <w:color w:val="auto"/>
              </w:rPr>
              <w:t>第六十条：企业事业单位和其他生产经营者超过污染物排放标准或者超过重点污染物排放总量控制指标排放污染物的，县级以上人民政府环境保护主管部门可以责令其采取限制生产、停产整治等措施；情节严重的，报经有批准权的人民政府批准，责令停业、关闭。</w:t>
            </w:r>
          </w:p>
        </w:tc>
        <w:tc>
          <w:tcPr>
            <w:tcW w:w="1878" w:type="dxa"/>
            <w:tcBorders>
              <w:tl2br w:val="nil"/>
              <w:tr2bl w:val="nil"/>
            </w:tcBorders>
            <w:vAlign w:val="center"/>
          </w:tcPr>
          <w:p>
            <w:pPr>
              <w:pStyle w:val="22"/>
              <w:bidi w:val="0"/>
              <w:rPr>
                <w:color w:val="auto"/>
              </w:rPr>
            </w:pPr>
            <w:r>
              <w:rPr>
                <w:color w:val="auto"/>
              </w:rPr>
              <w:t>正常运行不会对</w:t>
            </w:r>
          </w:p>
          <w:p>
            <w:pPr>
              <w:pStyle w:val="22"/>
              <w:bidi w:val="0"/>
              <w:rPr>
                <w:color w:val="auto"/>
              </w:rPr>
            </w:pPr>
            <w:r>
              <w:rPr>
                <w:color w:val="auto"/>
              </w:rPr>
              <w:t>周边大气环境造成严重影响</w:t>
            </w:r>
          </w:p>
        </w:tc>
        <w:tc>
          <w:tcPr>
            <w:tcW w:w="776" w:type="dxa"/>
            <w:tcBorders>
              <w:tl2br w:val="nil"/>
              <w:tr2bl w:val="nil"/>
            </w:tcBorders>
            <w:vAlign w:val="center"/>
          </w:tcPr>
          <w:p>
            <w:pPr>
              <w:pStyle w:val="22"/>
              <w:bidi w:val="0"/>
              <w:rPr>
                <w:color w:val="auto"/>
              </w:rPr>
            </w:pPr>
            <w:r>
              <w:rPr>
                <w:color w:val="auto"/>
              </w:rPr>
              <w:t>符合</w:t>
            </w:r>
          </w:p>
          <w:p>
            <w:pPr>
              <w:pStyle w:val="22"/>
              <w:bidi w:val="0"/>
              <w:rPr>
                <w:color w:val="auto"/>
              </w:rPr>
            </w:pPr>
            <w:r>
              <w:rPr>
                <w:color w:val="auto"/>
              </w:rPr>
              <w:t>要求</w:t>
            </w:r>
          </w:p>
        </w:tc>
      </w:tr>
    </w:tbl>
    <w:p>
      <w:pPr>
        <w:bidi w:val="0"/>
        <w:rPr>
          <w:color w:val="auto"/>
        </w:rPr>
      </w:pPr>
      <w:r>
        <w:rPr>
          <w:color w:val="auto"/>
        </w:rPr>
        <w:t>由上表可知，本项目符合现行环境管理政策相关要求。</w:t>
      </w:r>
    </w:p>
    <w:p>
      <w:pPr>
        <w:rPr>
          <w:rFonts w:hint="default"/>
          <w:color w:val="auto"/>
          <w:lang w:val="en-US" w:eastAsia="zh-CN"/>
        </w:rPr>
      </w:pPr>
      <w:r>
        <w:rPr>
          <w:rFonts w:hint="default"/>
          <w:color w:val="auto"/>
          <w:lang w:val="en-US" w:eastAsia="zh-CN"/>
        </w:rPr>
        <w:br w:type="page"/>
      </w:r>
    </w:p>
    <w:p>
      <w:pPr>
        <w:pStyle w:val="4"/>
        <w:bidi w:val="0"/>
        <w:rPr>
          <w:rFonts w:hint="eastAsia"/>
          <w:color w:val="auto"/>
          <w:lang w:val="en-US" w:eastAsia="zh-CN"/>
        </w:rPr>
      </w:pPr>
      <w:bookmarkStart w:id="49" w:name="_Toc27144"/>
      <w:r>
        <w:rPr>
          <w:rFonts w:hint="eastAsia"/>
          <w:color w:val="auto"/>
          <w:lang w:val="en-US" w:eastAsia="zh-CN"/>
        </w:rPr>
        <w:t>3建设项目工程分析</w:t>
      </w:r>
      <w:bookmarkEnd w:id="49"/>
    </w:p>
    <w:p>
      <w:pPr>
        <w:pStyle w:val="5"/>
        <w:bidi w:val="0"/>
        <w:rPr>
          <w:rFonts w:hint="eastAsia"/>
          <w:color w:val="auto"/>
          <w:lang w:val="en-US" w:eastAsia="zh-CN"/>
        </w:rPr>
      </w:pPr>
      <w:bookmarkStart w:id="50" w:name="_Toc9383"/>
      <w:r>
        <w:rPr>
          <w:rFonts w:hint="eastAsia"/>
          <w:color w:val="auto"/>
          <w:lang w:val="en-US" w:eastAsia="zh-CN"/>
        </w:rPr>
        <w:t>3.1工程概况</w:t>
      </w:r>
      <w:bookmarkEnd w:id="50"/>
    </w:p>
    <w:p>
      <w:pPr>
        <w:pStyle w:val="6"/>
        <w:bidi w:val="0"/>
        <w:rPr>
          <w:color w:val="auto"/>
        </w:rPr>
      </w:pPr>
      <w:bookmarkStart w:id="51" w:name="_Toc8192"/>
      <w:r>
        <w:rPr>
          <w:color w:val="auto"/>
          <w:lang w:val="en-US" w:eastAsia="zh-CN"/>
        </w:rPr>
        <w:t>3.1.1</w:t>
      </w:r>
      <w:r>
        <w:rPr>
          <w:rFonts w:hint="eastAsia"/>
          <w:color w:val="auto"/>
          <w:lang w:val="en-US" w:eastAsia="zh-CN"/>
        </w:rPr>
        <w:t>疾病预防控制中心概况</w:t>
      </w:r>
      <w:bookmarkEnd w:id="51"/>
    </w:p>
    <w:p>
      <w:pPr>
        <w:bidi w:val="0"/>
        <w:rPr>
          <w:rFonts w:hint="default"/>
          <w:color w:val="auto"/>
          <w:lang w:val="en-US" w:eastAsia="zh-CN"/>
        </w:rPr>
      </w:pPr>
      <w:r>
        <w:rPr>
          <w:rFonts w:hint="eastAsia"/>
          <w:color w:val="auto"/>
          <w:lang w:val="en-US" w:eastAsia="zh-CN"/>
        </w:rPr>
        <w:t>（1）概述</w:t>
      </w:r>
    </w:p>
    <w:p>
      <w:pPr>
        <w:bidi w:val="0"/>
        <w:rPr>
          <w:color w:val="auto"/>
        </w:rPr>
      </w:pPr>
      <w:r>
        <w:rPr>
          <w:color w:val="auto"/>
          <w:lang w:val="en-US" w:eastAsia="zh-CN"/>
        </w:rPr>
        <w:t>本项目建设场址位于皮山农场镇区皮山医院院内：勤劳路以南，光荣路以东，</w:t>
      </w:r>
    </w:p>
    <w:p>
      <w:pPr>
        <w:bidi w:val="0"/>
        <w:ind w:left="0" w:leftChars="0" w:firstLine="0" w:firstLineChars="0"/>
        <w:rPr>
          <w:rFonts w:hint="default"/>
          <w:color w:val="auto"/>
          <w:lang w:val="en-US"/>
        </w:rPr>
      </w:pPr>
      <w:r>
        <w:rPr>
          <w:color w:val="auto"/>
          <w:lang w:val="en-US" w:eastAsia="zh-CN"/>
        </w:rPr>
        <w:t>报国路以北，忠义路以西。医院内的市政管网（线）已建至项目区，建筑给排水、供热、电力等均可就近接入，土地使用性质为医疗设施用地</w:t>
      </w:r>
      <w:r>
        <w:rPr>
          <w:rFonts w:hint="eastAsia"/>
          <w:color w:val="auto"/>
          <w:lang w:val="en-US" w:eastAsia="zh-CN"/>
        </w:rPr>
        <w:t>。</w:t>
      </w:r>
    </w:p>
    <w:p>
      <w:pPr>
        <w:bidi w:val="0"/>
        <w:rPr>
          <w:rFonts w:hint="default"/>
          <w:color w:val="auto"/>
          <w:lang w:val="en-US" w:eastAsia="zh-CN"/>
        </w:rPr>
      </w:pPr>
      <w:r>
        <w:rPr>
          <w:rFonts w:hint="default"/>
          <w:color w:val="auto"/>
          <w:lang w:val="en-US" w:eastAsia="zh-CN"/>
        </w:rPr>
        <w:t>在兵团</w:t>
      </w:r>
      <w:r>
        <w:rPr>
          <w:rFonts w:hint="eastAsia"/>
          <w:color w:val="auto"/>
          <w:lang w:val="en-US" w:eastAsia="zh-CN"/>
        </w:rPr>
        <w:t>卫健委</w:t>
      </w:r>
      <w:r>
        <w:rPr>
          <w:rFonts w:hint="default"/>
          <w:color w:val="auto"/>
          <w:lang w:val="en-US" w:eastAsia="zh-CN"/>
        </w:rPr>
        <w:t>，兵团疾控中心的大力支持下，目前工作步入规范化的管理。建立健全了各项规章制度，完善了机构内函建设，并开展部分传染病、地方病、寄生虫病、慢性病、非传染性疾病、职业病、学生常见病的发生，分布和发展进行流行病学监测，并制定预防控制对策。实施预防接种，负责预防用生物制品的使用与管理。负责对基层人员的专业技术培训、指导工作。开展健康教育与健康促进，参与社区卫生服务工作，促进社会健康环境的建立和人民健康行为形成，开展了卫生防病检验监测，受卫生行政部门认定，承担卫生监测检验。预防性健康检查，食品及健康相关产品从业人员卫生知识培训。承担疾病预防控制及有关公共卫生信息的报告，管理和预测，为疾病预防与控制决策提供科学依据。开展了面向社会提供相关预防保健信息，健康咨询和预防医学诊疗等专业技术服务。</w:t>
      </w:r>
    </w:p>
    <w:p>
      <w:pPr>
        <w:bidi w:val="0"/>
        <w:rPr>
          <w:color w:val="auto"/>
        </w:rPr>
      </w:pPr>
      <w:r>
        <w:rPr>
          <w:rFonts w:hint="eastAsia"/>
          <w:color w:val="auto"/>
          <w:lang w:val="en-US" w:eastAsia="zh-CN"/>
        </w:rPr>
        <w:t>（</w:t>
      </w:r>
      <w:r>
        <w:rPr>
          <w:rFonts w:hint="default"/>
          <w:color w:val="auto"/>
          <w:lang w:val="en-US" w:eastAsia="zh-CN"/>
        </w:rPr>
        <w:t>2</w:t>
      </w:r>
      <w:r>
        <w:rPr>
          <w:rFonts w:hint="eastAsia"/>
          <w:color w:val="auto"/>
          <w:lang w:val="en-US" w:eastAsia="zh-CN"/>
        </w:rPr>
        <w:t>）运行情况</w:t>
      </w:r>
    </w:p>
    <w:p>
      <w:pPr>
        <w:keepNext w:val="0"/>
        <w:keepLines w:val="0"/>
        <w:widowControl/>
        <w:suppressLineNumbers w:val="0"/>
        <w:jc w:val="left"/>
        <w:rPr>
          <w:rFonts w:hint="default"/>
          <w:color w:val="auto"/>
          <w:lang w:val="en-US"/>
        </w:rPr>
      </w:pPr>
      <w:r>
        <w:rPr>
          <w:rFonts w:hint="eastAsia"/>
          <w:color w:val="auto"/>
          <w:lang w:val="en-US" w:eastAsia="zh-CN"/>
        </w:rPr>
        <w:t>经调查，现有疾控中心于2019年建设，主要承担第十四师皮山农场</w:t>
      </w:r>
      <w:r>
        <w:rPr>
          <w:rFonts w:hint="eastAsia" w:ascii="宋体" w:hAnsi="宋体" w:eastAsia="宋体" w:cs="宋体"/>
          <w:color w:val="auto"/>
          <w:kern w:val="0"/>
          <w:sz w:val="24"/>
          <w:szCs w:val="24"/>
          <w:lang w:val="en-US" w:eastAsia="zh-CN" w:bidi="ar"/>
        </w:rPr>
        <w:t>地方病等疾病预防和控制工作，对重大疾病流行趋势进行监测与预测预警，疫苗接种以及健康宣传，本项目在土建工程完工后至今未投入使用。</w:t>
      </w:r>
    </w:p>
    <w:p>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3</w:t>
      </w:r>
      <w:r>
        <w:rPr>
          <w:rFonts w:hint="eastAsia" w:ascii="宋体" w:hAnsi="宋体" w:eastAsia="宋体" w:cs="宋体"/>
          <w:color w:val="auto"/>
          <w:kern w:val="0"/>
          <w:sz w:val="24"/>
          <w:szCs w:val="24"/>
          <w:lang w:val="en-US" w:eastAsia="zh-CN" w:bidi="ar"/>
        </w:rPr>
        <w:t>）本项目的基本情况</w:t>
      </w:r>
    </w:p>
    <w:p>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皮山农场是一个典型的以维吾尔族为主体的边境少数民族团场、国家级特困团场，拟建皮山农场后，与之相适应的政府服务功能也要不断提升，适度超前规划疾控中心的服务功能，提升疾控中心硬件基础设施水平，可以更好的服务于社会经济。其使命是通过对疾病、残疾和伤害的预防控制，创造健康环境，维护社会稳定，促进人民健康；其宗旨是以科研为依托、以人才为根本、以控制疾病为中心，承担公共产品为导向的疾病预防与控制、突发公共卫生事件应急处置、疫情及健康相关因素信息管理、健康危害因素监测与控制、实验室检测与评价、健康教育与健康促进、技术指导与应用研究。</w:t>
      </w:r>
    </w:p>
    <w:p>
      <w:pPr>
        <w:keepNext w:val="0"/>
        <w:keepLines w:val="0"/>
        <w:widowControl/>
        <w:suppressLineNumbers w:val="0"/>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本项目建设场址位于皮山农场镇区皮山医院院内：勤劳路以南，光荣路以东，</w:t>
      </w:r>
    </w:p>
    <w:p>
      <w:pPr>
        <w:keepNext w:val="0"/>
        <w:keepLines w:val="0"/>
        <w:widowControl/>
        <w:suppressLineNumbers w:val="0"/>
        <w:ind w:left="0" w:leftChars="0" w:firstLine="0" w:firstLineChars="0"/>
        <w:jc w:val="both"/>
        <w:rPr>
          <w:color w:val="auto"/>
        </w:rPr>
      </w:pPr>
      <w:r>
        <w:rPr>
          <w:rFonts w:hint="eastAsia" w:ascii="宋体" w:hAnsi="宋体" w:eastAsia="宋体" w:cs="宋体"/>
          <w:color w:val="auto"/>
          <w:kern w:val="0"/>
          <w:sz w:val="24"/>
          <w:szCs w:val="24"/>
          <w:lang w:val="en-US" w:eastAsia="zh-CN" w:bidi="ar"/>
        </w:rPr>
        <w:t>报国路以北，忠义路以西。项目选址周围无重要保护文物、风景名胜区等环境保护目标。</w:t>
      </w:r>
    </w:p>
    <w:p>
      <w:pPr>
        <w:pStyle w:val="5"/>
        <w:bidi w:val="0"/>
        <w:outlineLvl w:val="0"/>
        <w:rPr>
          <w:rFonts w:hint="eastAsia"/>
          <w:color w:val="auto"/>
          <w:lang w:val="en-US" w:eastAsia="zh-CN"/>
        </w:rPr>
      </w:pPr>
      <w:bookmarkStart w:id="52" w:name="_Toc31176"/>
      <w:r>
        <w:rPr>
          <w:rFonts w:hint="eastAsia"/>
          <w:color w:val="auto"/>
          <w:lang w:val="en-US" w:eastAsia="zh-CN"/>
        </w:rPr>
        <w:t>3.2建设项目概况</w:t>
      </w:r>
      <w:bookmarkEnd w:id="52"/>
    </w:p>
    <w:p>
      <w:pPr>
        <w:bidi w:val="0"/>
        <w:rPr>
          <w:color w:val="auto"/>
        </w:rPr>
      </w:pPr>
      <w:r>
        <w:rPr>
          <w:color w:val="auto"/>
        </w:rPr>
        <w:t>项目名称：</w:t>
      </w:r>
      <w:r>
        <w:rPr>
          <w:rFonts w:hint="eastAsia"/>
          <w:color w:val="auto"/>
          <w:lang w:val="en-US" w:eastAsia="zh-CN"/>
        </w:rPr>
        <w:t>第十四师皮山农场疾病预防控制中心建设项目</w:t>
      </w:r>
    </w:p>
    <w:p>
      <w:pPr>
        <w:bidi w:val="0"/>
        <w:rPr>
          <w:rFonts w:hint="eastAsia" w:eastAsia="宋体"/>
          <w:color w:val="auto"/>
          <w:lang w:eastAsia="zh-CN"/>
        </w:rPr>
      </w:pPr>
      <w:r>
        <w:rPr>
          <w:color w:val="auto"/>
        </w:rPr>
        <w:t>建设性质：</w:t>
      </w:r>
      <w:r>
        <w:rPr>
          <w:color w:val="auto"/>
          <w:highlight w:val="none"/>
        </w:rPr>
        <w:t>新建</w:t>
      </w:r>
      <w:r>
        <w:rPr>
          <w:rFonts w:hint="eastAsia"/>
          <w:color w:val="auto"/>
          <w:highlight w:val="none"/>
          <w:lang w:eastAsia="zh-CN"/>
        </w:rPr>
        <w:t>（</w:t>
      </w:r>
      <w:r>
        <w:rPr>
          <w:rFonts w:hint="eastAsia"/>
          <w:color w:val="auto"/>
          <w:highlight w:val="none"/>
          <w:lang w:val="en-US" w:eastAsia="zh-CN"/>
        </w:rPr>
        <w:t>补做环评</w:t>
      </w:r>
      <w:r>
        <w:rPr>
          <w:rFonts w:hint="eastAsia"/>
          <w:color w:val="auto"/>
          <w:highlight w:val="none"/>
          <w:lang w:eastAsia="zh-CN"/>
        </w:rPr>
        <w:t>）</w:t>
      </w:r>
    </w:p>
    <w:p>
      <w:pPr>
        <w:bidi w:val="0"/>
        <w:rPr>
          <w:rFonts w:hint="eastAsia"/>
          <w:color w:val="auto"/>
          <w:lang w:val="en-US" w:eastAsia="zh-CN"/>
        </w:rPr>
      </w:pPr>
      <w:r>
        <w:rPr>
          <w:color w:val="auto"/>
        </w:rPr>
        <w:t>建设单位：</w:t>
      </w:r>
      <w:r>
        <w:rPr>
          <w:rFonts w:hint="eastAsia"/>
          <w:color w:val="auto"/>
          <w:lang w:val="en-US" w:eastAsia="zh-CN"/>
        </w:rPr>
        <w:t>新疆生产建设兵团第十四师卫生健康委员会</w:t>
      </w:r>
    </w:p>
    <w:p>
      <w:pPr>
        <w:bidi w:val="0"/>
        <w:rPr>
          <w:rFonts w:hint="eastAsia"/>
          <w:color w:val="auto"/>
          <w:lang w:val="en-US" w:eastAsia="zh-CN"/>
        </w:rPr>
      </w:pPr>
      <w:r>
        <w:rPr>
          <w:color w:val="auto"/>
        </w:rPr>
        <w:t>建设地点</w:t>
      </w:r>
      <w:r>
        <w:rPr>
          <w:rFonts w:hint="eastAsia"/>
          <w:color w:val="auto"/>
          <w:lang w:eastAsia="zh-CN"/>
        </w:rPr>
        <w:t>：</w:t>
      </w:r>
      <w:r>
        <w:rPr>
          <w:rFonts w:hint="eastAsia"/>
          <w:color w:val="auto"/>
          <w:lang w:val="en-US" w:eastAsia="zh-CN"/>
        </w:rPr>
        <w:t>本项目位于第十四师皮山农场，南侧285m为光荣路，西侧219m为勤劳路，项目地理坐标为：东经</w:t>
      </w:r>
      <w:r>
        <w:rPr>
          <w:rFonts w:hint="default"/>
          <w:color w:val="auto"/>
          <w:lang w:val="en-US" w:eastAsia="zh-CN"/>
        </w:rPr>
        <w:t>78°28′29.492″</w:t>
      </w:r>
      <w:r>
        <w:rPr>
          <w:rFonts w:hint="eastAsia"/>
          <w:color w:val="auto"/>
          <w:lang w:val="en-US" w:eastAsia="zh-CN"/>
        </w:rPr>
        <w:t>；北纬：37</w:t>
      </w:r>
      <w:r>
        <w:rPr>
          <w:rFonts w:hint="default"/>
          <w:color w:val="auto"/>
          <w:lang w:val="en-US" w:eastAsia="zh-CN"/>
        </w:rPr>
        <w:t>°</w:t>
      </w:r>
      <w:r>
        <w:rPr>
          <w:rFonts w:hint="eastAsia"/>
          <w:color w:val="auto"/>
          <w:lang w:val="en-US" w:eastAsia="zh-CN"/>
        </w:rPr>
        <w:t>41</w:t>
      </w:r>
      <w:r>
        <w:rPr>
          <w:rFonts w:hint="default"/>
          <w:color w:val="auto"/>
          <w:lang w:val="en-US" w:eastAsia="zh-CN"/>
        </w:rPr>
        <w:t>′</w:t>
      </w:r>
      <w:r>
        <w:rPr>
          <w:rFonts w:hint="eastAsia"/>
          <w:color w:val="auto"/>
          <w:lang w:val="en-US" w:eastAsia="zh-CN"/>
        </w:rPr>
        <w:t>4.509</w:t>
      </w:r>
      <w:r>
        <w:rPr>
          <w:rFonts w:hint="default"/>
          <w:color w:val="auto"/>
          <w:lang w:val="en-US" w:eastAsia="zh-CN"/>
        </w:rPr>
        <w:t>″</w:t>
      </w:r>
      <w:r>
        <w:rPr>
          <w:rFonts w:hint="eastAsia"/>
          <w:color w:val="auto"/>
          <w:lang w:val="en-US" w:eastAsia="zh-CN"/>
        </w:rPr>
        <w:t>。</w:t>
      </w:r>
    </w:p>
    <w:p>
      <w:pPr>
        <w:bidi w:val="0"/>
        <w:rPr>
          <w:color w:val="auto"/>
        </w:rPr>
      </w:pPr>
      <w:r>
        <w:rPr>
          <w:color w:val="auto"/>
        </w:rPr>
        <w:t>项目投资：项目总投资为</w:t>
      </w:r>
      <w:r>
        <w:rPr>
          <w:rFonts w:hint="eastAsia"/>
          <w:color w:val="auto"/>
          <w:lang w:val="en-US" w:eastAsia="zh-CN"/>
        </w:rPr>
        <w:t>176</w:t>
      </w:r>
      <w:r>
        <w:rPr>
          <w:color w:val="auto"/>
        </w:rPr>
        <w:t>万元。</w:t>
      </w:r>
    </w:p>
    <w:p>
      <w:pPr>
        <w:pStyle w:val="6"/>
        <w:bidi w:val="0"/>
        <w:outlineLvl w:val="1"/>
        <w:rPr>
          <w:rFonts w:hint="eastAsia"/>
          <w:color w:val="auto"/>
          <w:lang w:val="en-US" w:eastAsia="zh-CN"/>
        </w:rPr>
      </w:pPr>
      <w:bookmarkStart w:id="53" w:name="_Toc24744"/>
      <w:r>
        <w:rPr>
          <w:rFonts w:hint="eastAsia"/>
          <w:color w:val="auto"/>
          <w:lang w:val="en-US" w:eastAsia="zh-CN"/>
        </w:rPr>
        <w:t>3.2.1建设内容及规模</w:t>
      </w:r>
      <w:bookmarkEnd w:id="53"/>
    </w:p>
    <w:p>
      <w:pPr>
        <w:bidi w:val="0"/>
        <w:rPr>
          <w:color w:val="auto"/>
        </w:rPr>
      </w:pPr>
      <w:r>
        <w:rPr>
          <w:color w:val="auto"/>
        </w:rPr>
        <w:t>（1）项目内容及规模</w:t>
      </w:r>
    </w:p>
    <w:p>
      <w:pPr>
        <w:bidi w:val="0"/>
        <w:rPr>
          <w:color w:val="auto"/>
        </w:rPr>
      </w:pPr>
      <w:r>
        <w:rPr>
          <w:color w:val="auto"/>
          <w:lang w:val="en-US" w:eastAsia="zh-CN"/>
        </w:rPr>
        <w:t>本次拟建皮山农场疾控中心</w:t>
      </w:r>
      <w:r>
        <w:rPr>
          <w:rFonts w:hint="default"/>
          <w:color w:val="auto"/>
          <w:lang w:val="en-US" w:eastAsia="zh-CN"/>
        </w:rPr>
        <w:t>1</w:t>
      </w:r>
      <w:r>
        <w:rPr>
          <w:color w:val="auto"/>
          <w:lang w:val="en-US" w:eastAsia="zh-CN"/>
        </w:rPr>
        <w:t>栋，建筑面积：</w:t>
      </w:r>
      <w:r>
        <w:rPr>
          <w:rFonts w:hint="default"/>
          <w:color w:val="auto"/>
          <w:lang w:val="en-US" w:eastAsia="zh-CN"/>
        </w:rPr>
        <w:t>801.90m</w:t>
      </w:r>
      <w:r>
        <w:rPr>
          <w:rFonts w:hint="default"/>
          <w:color w:val="auto"/>
          <w:vertAlign w:val="superscript"/>
          <w:lang w:val="en-US" w:eastAsia="zh-CN"/>
        </w:rPr>
        <w:t>2</w:t>
      </w:r>
      <w:r>
        <w:rPr>
          <w:color w:val="auto"/>
          <w:lang w:val="en-US" w:eastAsia="zh-CN"/>
        </w:rPr>
        <w:t>，以及室外配套工程：包含本建筑到有关室外配套管网的连接管网和电线。</w:t>
      </w:r>
    </w:p>
    <w:p>
      <w:pPr>
        <w:bidi w:val="0"/>
        <w:rPr>
          <w:color w:val="auto"/>
        </w:rPr>
      </w:pPr>
      <w:r>
        <w:rPr>
          <w:color w:val="auto"/>
        </w:rPr>
        <w:t>主要建筑及组成详见表3.</w:t>
      </w:r>
      <w:r>
        <w:rPr>
          <w:rFonts w:hint="eastAsia"/>
          <w:color w:val="auto"/>
          <w:lang w:val="en-US" w:eastAsia="zh-CN"/>
        </w:rPr>
        <w:t>2</w:t>
      </w:r>
      <w:r>
        <w:rPr>
          <w:color w:val="auto"/>
        </w:rPr>
        <w:t>-1。</w:t>
      </w:r>
    </w:p>
    <w:p>
      <w:pPr>
        <w:pStyle w:val="22"/>
        <w:bidi w:val="0"/>
        <w:rPr>
          <w:b/>
          <w:bCs/>
          <w:color w:val="auto"/>
        </w:rPr>
      </w:pPr>
      <w:r>
        <w:rPr>
          <w:b/>
          <w:bCs/>
          <w:color w:val="auto"/>
        </w:rPr>
        <w:t>表3.</w:t>
      </w:r>
      <w:r>
        <w:rPr>
          <w:rFonts w:hint="eastAsia"/>
          <w:b/>
          <w:bCs/>
          <w:color w:val="auto"/>
          <w:lang w:val="en-US" w:eastAsia="zh-CN"/>
        </w:rPr>
        <w:t>2</w:t>
      </w:r>
      <w:r>
        <w:rPr>
          <w:b/>
          <w:bCs/>
          <w:color w:val="auto"/>
        </w:rPr>
        <w:t>-1疾控中心主要建筑内容一览表</w:t>
      </w:r>
    </w:p>
    <w:tbl>
      <w:tblPr>
        <w:tblStyle w:val="23"/>
        <w:tblW w:w="85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4"/>
        <w:gridCol w:w="1828"/>
        <w:gridCol w:w="4650"/>
        <w:gridCol w:w="13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0" w:hRule="atLeast"/>
          <w:jc w:val="center"/>
        </w:trPr>
        <w:tc>
          <w:tcPr>
            <w:tcW w:w="734" w:type="dxa"/>
            <w:tcBorders>
              <w:tl2br w:val="nil"/>
              <w:tr2bl w:val="nil"/>
            </w:tcBorders>
            <w:textDirection w:val="tbRlV"/>
            <w:vAlign w:val="center"/>
          </w:tcPr>
          <w:p>
            <w:pPr>
              <w:pStyle w:val="22"/>
              <w:bidi w:val="0"/>
              <w:jc w:val="center"/>
              <w:rPr>
                <w:b/>
                <w:bCs/>
                <w:color w:val="auto"/>
              </w:rPr>
            </w:pPr>
            <w:r>
              <w:rPr>
                <w:b/>
                <w:bCs/>
                <w:color w:val="auto"/>
              </w:rPr>
              <w:t>名称</w:t>
            </w:r>
          </w:p>
        </w:tc>
        <w:tc>
          <w:tcPr>
            <w:tcW w:w="1828" w:type="dxa"/>
            <w:tcBorders>
              <w:tl2br w:val="nil"/>
              <w:tr2bl w:val="nil"/>
            </w:tcBorders>
            <w:vAlign w:val="center"/>
          </w:tcPr>
          <w:p>
            <w:pPr>
              <w:pStyle w:val="22"/>
              <w:bidi w:val="0"/>
              <w:jc w:val="center"/>
              <w:rPr>
                <w:b/>
                <w:bCs/>
                <w:color w:val="auto"/>
              </w:rPr>
            </w:pPr>
            <w:r>
              <w:rPr>
                <w:b/>
                <w:bCs/>
                <w:color w:val="auto"/>
              </w:rPr>
              <w:t>工程名称</w:t>
            </w:r>
          </w:p>
        </w:tc>
        <w:tc>
          <w:tcPr>
            <w:tcW w:w="4650" w:type="dxa"/>
            <w:tcBorders>
              <w:tl2br w:val="nil"/>
              <w:tr2bl w:val="nil"/>
            </w:tcBorders>
            <w:vAlign w:val="center"/>
          </w:tcPr>
          <w:p>
            <w:pPr>
              <w:pStyle w:val="22"/>
              <w:bidi w:val="0"/>
              <w:jc w:val="center"/>
              <w:rPr>
                <w:b/>
                <w:bCs/>
                <w:color w:val="auto"/>
              </w:rPr>
            </w:pPr>
            <w:r>
              <w:rPr>
                <w:b/>
                <w:bCs/>
                <w:color w:val="auto"/>
              </w:rPr>
              <w:t>建设内容</w:t>
            </w:r>
          </w:p>
        </w:tc>
        <w:tc>
          <w:tcPr>
            <w:tcW w:w="1305" w:type="dxa"/>
            <w:tcBorders>
              <w:tl2br w:val="nil"/>
              <w:tr2bl w:val="nil"/>
            </w:tcBorders>
            <w:vAlign w:val="center"/>
          </w:tcPr>
          <w:p>
            <w:pPr>
              <w:pStyle w:val="22"/>
              <w:bidi w:val="0"/>
              <w:jc w:val="center"/>
              <w:rPr>
                <w:rFonts w:hint="eastAsia" w:eastAsia="宋体"/>
                <w:b/>
                <w:bCs/>
                <w:color w:val="auto"/>
                <w:lang w:val="en-US" w:eastAsia="zh-CN"/>
              </w:rPr>
            </w:pPr>
            <w:r>
              <w:rPr>
                <w:rFonts w:hint="eastAsia"/>
                <w:b/>
                <w:bCs/>
                <w:color w:val="auto"/>
                <w:lang w:val="en-US" w:eastAsia="zh-CN"/>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1" w:hRule="atLeast"/>
          <w:jc w:val="center"/>
        </w:trPr>
        <w:tc>
          <w:tcPr>
            <w:tcW w:w="734" w:type="dxa"/>
            <w:tcBorders>
              <w:tl2br w:val="nil"/>
              <w:tr2bl w:val="nil"/>
            </w:tcBorders>
            <w:textDirection w:val="tbRlV"/>
            <w:vAlign w:val="center"/>
          </w:tcPr>
          <w:p>
            <w:pPr>
              <w:pStyle w:val="22"/>
              <w:bidi w:val="0"/>
              <w:jc w:val="center"/>
              <w:rPr>
                <w:color w:val="auto"/>
              </w:rPr>
            </w:pPr>
            <w:r>
              <w:rPr>
                <w:color w:val="auto"/>
              </w:rPr>
              <w:t>主体</w:t>
            </w:r>
          </w:p>
        </w:tc>
        <w:tc>
          <w:tcPr>
            <w:tcW w:w="1828"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疾病预防控制中心综合楼</w:t>
            </w:r>
          </w:p>
        </w:tc>
        <w:tc>
          <w:tcPr>
            <w:tcW w:w="4650" w:type="dxa"/>
            <w:tcBorders>
              <w:tl2br w:val="nil"/>
              <w:tr2bl w:val="nil"/>
            </w:tcBorders>
            <w:vAlign w:val="center"/>
          </w:tcPr>
          <w:p>
            <w:pPr>
              <w:pStyle w:val="22"/>
              <w:bidi w:val="0"/>
              <w:jc w:val="both"/>
              <w:rPr>
                <w:rFonts w:hint="eastAsia" w:eastAsia="宋体"/>
                <w:color w:val="auto"/>
                <w:lang w:eastAsia="zh-CN"/>
              </w:rPr>
            </w:pPr>
            <w:r>
              <w:rPr>
                <w:color w:val="auto"/>
                <w:lang w:val="en-US" w:eastAsia="zh-CN"/>
              </w:rPr>
              <w:t>本次拟建皮山农场疾控中心建筑面积为</w:t>
            </w:r>
            <w:r>
              <w:rPr>
                <w:rFonts w:hint="default"/>
                <w:color w:val="auto"/>
                <w:lang w:val="en-US" w:eastAsia="zh-CN"/>
              </w:rPr>
              <w:t>801.90m</w:t>
            </w:r>
            <w:r>
              <w:rPr>
                <w:rFonts w:hint="default"/>
                <w:color w:val="auto"/>
                <w:vertAlign w:val="superscript"/>
                <w:lang w:val="en-US" w:eastAsia="zh-CN"/>
              </w:rPr>
              <w:t>2</w:t>
            </w:r>
            <w:r>
              <w:rPr>
                <w:color w:val="auto"/>
                <w:lang w:val="en-US" w:eastAsia="zh-CN"/>
              </w:rPr>
              <w:t>，砖混结构，地上二层；主要设有结核病预防治门诊、检验临检室、儿童体检室、多功能厅、待诊室、接种室、观察室、药品储藏室、健教宣传室（艾滋病咨询室）、保障用房和行政用房等。</w:t>
            </w:r>
          </w:p>
        </w:tc>
        <w:tc>
          <w:tcPr>
            <w:tcW w:w="1305" w:type="dxa"/>
            <w:tcBorders>
              <w:tl2br w:val="nil"/>
              <w:tr2bl w:val="nil"/>
            </w:tcBorders>
            <w:vAlign w:val="center"/>
          </w:tcPr>
          <w:p>
            <w:pPr>
              <w:pStyle w:val="22"/>
              <w:bidi w:val="0"/>
              <w:jc w:val="center"/>
              <w:rPr>
                <w:rFonts w:hint="default"/>
                <w:color w:val="auto"/>
                <w:lang w:val="en-US" w:eastAsia="zh-CN"/>
              </w:rPr>
            </w:pPr>
            <w:r>
              <w:rPr>
                <w:rFonts w:hint="eastAsia"/>
                <w:color w:val="auto"/>
                <w:lang w:val="en-US" w:eastAsia="zh-CN"/>
              </w:rPr>
              <w:t>已建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734" w:type="dxa"/>
            <w:vMerge w:val="restart"/>
            <w:tcBorders>
              <w:tl2br w:val="nil"/>
              <w:tr2bl w:val="nil"/>
            </w:tcBorders>
            <w:textDirection w:val="tbRlV"/>
            <w:vAlign w:val="center"/>
          </w:tcPr>
          <w:p>
            <w:pPr>
              <w:pStyle w:val="22"/>
              <w:bidi w:val="0"/>
              <w:jc w:val="center"/>
              <w:rPr>
                <w:color w:val="auto"/>
              </w:rPr>
            </w:pPr>
            <w:r>
              <w:rPr>
                <w:color w:val="auto"/>
              </w:rPr>
              <w:t>公用工程</w:t>
            </w:r>
          </w:p>
        </w:tc>
        <w:tc>
          <w:tcPr>
            <w:tcW w:w="1828" w:type="dxa"/>
            <w:tcBorders>
              <w:tl2br w:val="nil"/>
              <w:tr2bl w:val="nil"/>
            </w:tcBorders>
            <w:vAlign w:val="center"/>
          </w:tcPr>
          <w:p>
            <w:pPr>
              <w:pStyle w:val="22"/>
              <w:bidi w:val="0"/>
              <w:jc w:val="center"/>
              <w:rPr>
                <w:color w:val="auto"/>
              </w:rPr>
            </w:pPr>
            <w:r>
              <w:rPr>
                <w:color w:val="auto"/>
              </w:rPr>
              <w:t>供水</w:t>
            </w:r>
          </w:p>
        </w:tc>
        <w:tc>
          <w:tcPr>
            <w:tcW w:w="4650" w:type="dxa"/>
            <w:tcBorders>
              <w:tl2br w:val="nil"/>
              <w:tr2bl w:val="nil"/>
            </w:tcBorders>
            <w:vAlign w:val="center"/>
          </w:tcPr>
          <w:p>
            <w:pPr>
              <w:pStyle w:val="22"/>
              <w:bidi w:val="0"/>
              <w:jc w:val="center"/>
              <w:rPr>
                <w:rFonts w:hint="default" w:eastAsia="宋体"/>
                <w:color w:val="auto"/>
                <w:lang w:val="en-US" w:eastAsia="zh-CN"/>
              </w:rPr>
            </w:pPr>
            <w:r>
              <w:rPr>
                <w:color w:val="auto"/>
              </w:rPr>
              <w:t>供水</w:t>
            </w:r>
            <w:r>
              <w:rPr>
                <w:rFonts w:hint="eastAsia"/>
                <w:color w:val="auto"/>
                <w:lang w:val="en-US" w:eastAsia="zh-CN"/>
              </w:rPr>
              <w:t>市政直接供水</w:t>
            </w:r>
          </w:p>
        </w:tc>
        <w:tc>
          <w:tcPr>
            <w:tcW w:w="1305" w:type="dxa"/>
            <w:tcBorders>
              <w:tl2br w:val="nil"/>
              <w:tr2bl w:val="nil"/>
            </w:tcBorders>
            <w:vAlign w:val="center"/>
          </w:tcPr>
          <w:p>
            <w:pPr>
              <w:pStyle w:val="22"/>
              <w:bidi w:val="0"/>
              <w:jc w:val="center"/>
              <w:rPr>
                <w:rFonts w:hint="eastAsia" w:eastAsia="宋体"/>
                <w:color w:val="auto"/>
                <w:lang w:val="en-US" w:eastAsia="zh-CN"/>
              </w:rPr>
            </w:pPr>
            <w:r>
              <w:rPr>
                <w:rFonts w:hint="eastAsia"/>
                <w:color w:val="auto"/>
                <w:lang w:val="en-US" w:eastAsia="zh-CN"/>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9" w:hRule="atLeast"/>
          <w:jc w:val="center"/>
        </w:trPr>
        <w:tc>
          <w:tcPr>
            <w:tcW w:w="734" w:type="dxa"/>
            <w:vMerge w:val="continue"/>
            <w:tcBorders>
              <w:tl2br w:val="nil"/>
              <w:tr2bl w:val="nil"/>
            </w:tcBorders>
            <w:textDirection w:val="tbRlV"/>
            <w:vAlign w:val="center"/>
          </w:tcPr>
          <w:p>
            <w:pPr>
              <w:pStyle w:val="22"/>
              <w:bidi w:val="0"/>
              <w:jc w:val="center"/>
              <w:rPr>
                <w:color w:val="auto"/>
              </w:rPr>
            </w:pPr>
          </w:p>
        </w:tc>
        <w:tc>
          <w:tcPr>
            <w:tcW w:w="1828" w:type="dxa"/>
            <w:tcBorders>
              <w:tl2br w:val="nil"/>
              <w:tr2bl w:val="nil"/>
            </w:tcBorders>
            <w:vAlign w:val="center"/>
          </w:tcPr>
          <w:p>
            <w:pPr>
              <w:pStyle w:val="22"/>
              <w:bidi w:val="0"/>
              <w:jc w:val="center"/>
              <w:rPr>
                <w:color w:val="auto"/>
              </w:rPr>
            </w:pPr>
            <w:r>
              <w:rPr>
                <w:color w:val="auto"/>
              </w:rPr>
              <w:t>供电</w:t>
            </w:r>
          </w:p>
        </w:tc>
        <w:tc>
          <w:tcPr>
            <w:tcW w:w="4650" w:type="dxa"/>
            <w:tcBorders>
              <w:tl2br w:val="nil"/>
              <w:tr2bl w:val="nil"/>
            </w:tcBorders>
            <w:vAlign w:val="center"/>
          </w:tcPr>
          <w:p>
            <w:pPr>
              <w:pStyle w:val="22"/>
              <w:bidi w:val="0"/>
              <w:jc w:val="center"/>
              <w:rPr>
                <w:color w:val="auto"/>
              </w:rPr>
            </w:pPr>
            <w:r>
              <w:rPr>
                <w:color w:val="auto"/>
              </w:rPr>
              <w:t>供电由</w:t>
            </w:r>
            <w:r>
              <w:rPr>
                <w:rFonts w:hint="eastAsia"/>
                <w:color w:val="auto"/>
                <w:lang w:val="en-US" w:eastAsia="zh-CN"/>
              </w:rPr>
              <w:t>皮山县</w:t>
            </w:r>
            <w:r>
              <w:rPr>
                <w:color w:val="auto"/>
              </w:rPr>
              <w:t>电力公司提供，即可满足疾控中心的用电需求</w:t>
            </w:r>
          </w:p>
        </w:tc>
        <w:tc>
          <w:tcPr>
            <w:tcW w:w="1305" w:type="dxa"/>
            <w:tcBorders>
              <w:tl2br w:val="nil"/>
              <w:tr2bl w:val="nil"/>
            </w:tcBorders>
            <w:vAlign w:val="center"/>
          </w:tcPr>
          <w:p>
            <w:pPr>
              <w:pStyle w:val="22"/>
              <w:bidi w:val="0"/>
              <w:jc w:val="center"/>
              <w:rPr>
                <w:color w:val="auto"/>
              </w:rPr>
            </w:pPr>
            <w:r>
              <w:rPr>
                <w:rFonts w:hint="eastAsia"/>
                <w:color w:val="auto"/>
                <w:lang w:val="en-US" w:eastAsia="zh-CN"/>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 w:hRule="atLeast"/>
          <w:jc w:val="center"/>
        </w:trPr>
        <w:tc>
          <w:tcPr>
            <w:tcW w:w="734" w:type="dxa"/>
            <w:vMerge w:val="continue"/>
            <w:tcBorders>
              <w:tl2br w:val="nil"/>
              <w:tr2bl w:val="nil"/>
            </w:tcBorders>
            <w:textDirection w:val="tbRlV"/>
            <w:vAlign w:val="center"/>
          </w:tcPr>
          <w:p>
            <w:pPr>
              <w:pStyle w:val="22"/>
              <w:bidi w:val="0"/>
              <w:jc w:val="center"/>
              <w:rPr>
                <w:color w:val="auto"/>
              </w:rPr>
            </w:pPr>
          </w:p>
        </w:tc>
        <w:tc>
          <w:tcPr>
            <w:tcW w:w="1828" w:type="dxa"/>
            <w:tcBorders>
              <w:tl2br w:val="nil"/>
              <w:tr2bl w:val="nil"/>
            </w:tcBorders>
            <w:vAlign w:val="center"/>
          </w:tcPr>
          <w:p>
            <w:pPr>
              <w:pStyle w:val="22"/>
              <w:bidi w:val="0"/>
              <w:jc w:val="center"/>
              <w:rPr>
                <w:color w:val="auto"/>
              </w:rPr>
            </w:pPr>
            <w:r>
              <w:rPr>
                <w:color w:val="auto"/>
              </w:rPr>
              <w:t>供暖</w:t>
            </w:r>
          </w:p>
        </w:tc>
        <w:tc>
          <w:tcPr>
            <w:tcW w:w="4650" w:type="dxa"/>
            <w:tcBorders>
              <w:tl2br w:val="nil"/>
              <w:tr2bl w:val="nil"/>
            </w:tcBorders>
            <w:vAlign w:val="center"/>
          </w:tcPr>
          <w:p>
            <w:pPr>
              <w:pStyle w:val="22"/>
              <w:bidi w:val="0"/>
              <w:jc w:val="center"/>
              <w:rPr>
                <w:color w:val="auto"/>
              </w:rPr>
            </w:pPr>
            <w:r>
              <w:rPr>
                <w:color w:val="auto"/>
              </w:rPr>
              <w:t>供暖由</w:t>
            </w:r>
            <w:r>
              <w:rPr>
                <w:rFonts w:hint="eastAsia"/>
                <w:color w:val="auto"/>
                <w:lang w:val="en-US" w:eastAsia="zh-CN"/>
              </w:rPr>
              <w:t>皮山</w:t>
            </w:r>
            <w:r>
              <w:rPr>
                <w:color w:val="auto"/>
              </w:rPr>
              <w:t>县热力公司提供，即可满足疾控中心的供暖的需求</w:t>
            </w:r>
          </w:p>
        </w:tc>
        <w:tc>
          <w:tcPr>
            <w:tcW w:w="1305" w:type="dxa"/>
            <w:tcBorders>
              <w:tl2br w:val="nil"/>
              <w:tr2bl w:val="nil"/>
            </w:tcBorders>
            <w:vAlign w:val="center"/>
          </w:tcPr>
          <w:p>
            <w:pPr>
              <w:pStyle w:val="22"/>
              <w:bidi w:val="0"/>
              <w:jc w:val="center"/>
              <w:rPr>
                <w:color w:val="auto"/>
              </w:rPr>
            </w:pPr>
            <w:r>
              <w:rPr>
                <w:rFonts w:hint="eastAsia"/>
                <w:color w:val="auto"/>
                <w:lang w:val="en-US" w:eastAsia="zh-CN"/>
              </w:rPr>
              <w:t>依托</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jc w:val="center"/>
        </w:trPr>
        <w:tc>
          <w:tcPr>
            <w:tcW w:w="734" w:type="dxa"/>
            <w:vMerge w:val="continue"/>
            <w:tcBorders>
              <w:tl2br w:val="nil"/>
              <w:tr2bl w:val="nil"/>
            </w:tcBorders>
            <w:textDirection w:val="tbRlV"/>
            <w:vAlign w:val="center"/>
          </w:tcPr>
          <w:p>
            <w:pPr>
              <w:pStyle w:val="22"/>
              <w:bidi w:val="0"/>
              <w:jc w:val="center"/>
              <w:rPr>
                <w:color w:val="auto"/>
              </w:rPr>
            </w:pPr>
          </w:p>
        </w:tc>
        <w:tc>
          <w:tcPr>
            <w:tcW w:w="1828" w:type="dxa"/>
            <w:tcBorders>
              <w:tl2br w:val="nil"/>
              <w:tr2bl w:val="nil"/>
            </w:tcBorders>
            <w:vAlign w:val="center"/>
          </w:tcPr>
          <w:p>
            <w:pPr>
              <w:pStyle w:val="22"/>
              <w:bidi w:val="0"/>
              <w:jc w:val="center"/>
              <w:rPr>
                <w:color w:val="auto"/>
              </w:rPr>
            </w:pPr>
            <w:r>
              <w:rPr>
                <w:color w:val="auto"/>
              </w:rPr>
              <w:t>生活垃圾收集站</w:t>
            </w:r>
          </w:p>
        </w:tc>
        <w:tc>
          <w:tcPr>
            <w:tcW w:w="4650" w:type="dxa"/>
            <w:tcBorders>
              <w:tl2br w:val="nil"/>
              <w:tr2bl w:val="nil"/>
            </w:tcBorders>
            <w:vAlign w:val="center"/>
          </w:tcPr>
          <w:p>
            <w:pPr>
              <w:pStyle w:val="22"/>
              <w:bidi w:val="0"/>
              <w:jc w:val="center"/>
              <w:rPr>
                <w:color w:val="auto"/>
              </w:rPr>
            </w:pPr>
            <w:r>
              <w:rPr>
                <w:color w:val="auto"/>
              </w:rPr>
              <w:t>疾控中心各层均有垃圾桶，负责收集生活垃圾，委托</w:t>
            </w:r>
            <w:r>
              <w:rPr>
                <w:rFonts w:hint="eastAsia"/>
                <w:color w:val="auto"/>
                <w:lang w:val="en-US" w:eastAsia="zh-CN"/>
              </w:rPr>
              <w:t>皮山</w:t>
            </w:r>
            <w:r>
              <w:rPr>
                <w:color w:val="auto"/>
              </w:rPr>
              <w:t>县环卫部门负责收集清运处置</w:t>
            </w:r>
          </w:p>
        </w:tc>
        <w:tc>
          <w:tcPr>
            <w:tcW w:w="1305" w:type="dxa"/>
            <w:tcBorders>
              <w:tl2br w:val="nil"/>
              <w:tr2bl w:val="nil"/>
            </w:tcBorders>
            <w:vAlign w:val="center"/>
          </w:tcPr>
          <w:p>
            <w:pPr>
              <w:pStyle w:val="22"/>
              <w:bidi w:val="0"/>
              <w:jc w:val="center"/>
              <w:rPr>
                <w:rFonts w:hint="eastAsia" w:eastAsia="宋体"/>
                <w:color w:val="auto"/>
                <w:lang w:val="en-US" w:eastAsia="zh-CN"/>
              </w:rPr>
            </w:pPr>
            <w:r>
              <w:rPr>
                <w:rFonts w:hint="eastAsia"/>
                <w:color w:val="auto"/>
                <w:lang w:val="en-US" w:eastAsia="zh-CN"/>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jc w:val="center"/>
        </w:trPr>
        <w:tc>
          <w:tcPr>
            <w:tcW w:w="734" w:type="dxa"/>
            <w:vMerge w:val="continue"/>
            <w:tcBorders>
              <w:tl2br w:val="nil"/>
              <w:tr2bl w:val="nil"/>
            </w:tcBorders>
            <w:textDirection w:val="tbRlV"/>
            <w:vAlign w:val="center"/>
          </w:tcPr>
          <w:p>
            <w:pPr>
              <w:pStyle w:val="22"/>
              <w:bidi w:val="0"/>
              <w:jc w:val="center"/>
              <w:rPr>
                <w:color w:val="auto"/>
              </w:rPr>
            </w:pPr>
          </w:p>
        </w:tc>
        <w:tc>
          <w:tcPr>
            <w:tcW w:w="1828" w:type="dxa"/>
            <w:tcBorders>
              <w:tl2br w:val="nil"/>
              <w:tr2bl w:val="nil"/>
            </w:tcBorders>
            <w:vAlign w:val="center"/>
          </w:tcPr>
          <w:p>
            <w:pPr>
              <w:pStyle w:val="22"/>
              <w:bidi w:val="0"/>
              <w:jc w:val="center"/>
              <w:rPr>
                <w:color w:val="auto"/>
              </w:rPr>
            </w:pPr>
            <w:r>
              <w:rPr>
                <w:color w:val="auto"/>
              </w:rPr>
              <w:t>危废暂存间</w:t>
            </w:r>
          </w:p>
        </w:tc>
        <w:tc>
          <w:tcPr>
            <w:tcW w:w="4650" w:type="dxa"/>
            <w:tcBorders>
              <w:tl2br w:val="nil"/>
              <w:tr2bl w:val="nil"/>
            </w:tcBorders>
            <w:vAlign w:val="center"/>
          </w:tcPr>
          <w:p>
            <w:pPr>
              <w:pStyle w:val="22"/>
              <w:bidi w:val="0"/>
              <w:jc w:val="center"/>
              <w:rPr>
                <w:color w:val="auto"/>
              </w:rPr>
            </w:pPr>
            <w:r>
              <w:rPr>
                <w:color w:val="auto"/>
              </w:rPr>
              <w:t>设置危废暂存间，负责收集暂存疾控中心的医疗固废，委托当地有危废资质单位处理。</w:t>
            </w:r>
          </w:p>
        </w:tc>
        <w:tc>
          <w:tcPr>
            <w:tcW w:w="1305" w:type="dxa"/>
            <w:tcBorders>
              <w:tl2br w:val="nil"/>
              <w:tr2bl w:val="nil"/>
            </w:tcBorders>
            <w:vAlign w:val="center"/>
          </w:tcPr>
          <w:p>
            <w:pPr>
              <w:pStyle w:val="22"/>
              <w:bidi w:val="0"/>
              <w:jc w:val="center"/>
              <w:rPr>
                <w:rFonts w:hint="eastAsia" w:eastAsia="宋体"/>
                <w:color w:val="auto"/>
                <w:lang w:val="en-US" w:eastAsia="zh-CN"/>
              </w:rPr>
            </w:pPr>
            <w:r>
              <w:rPr>
                <w:rFonts w:hint="eastAsia"/>
                <w:color w:val="auto"/>
                <w:lang w:val="en-US" w:eastAsia="zh-CN"/>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2" w:hRule="atLeast"/>
          <w:jc w:val="center"/>
        </w:trPr>
        <w:tc>
          <w:tcPr>
            <w:tcW w:w="734" w:type="dxa"/>
            <w:vMerge w:val="restart"/>
            <w:tcBorders>
              <w:tl2br w:val="nil"/>
              <w:tr2bl w:val="nil"/>
            </w:tcBorders>
            <w:textDirection w:val="tbRlV"/>
            <w:vAlign w:val="center"/>
          </w:tcPr>
          <w:p>
            <w:pPr>
              <w:pStyle w:val="22"/>
              <w:bidi w:val="0"/>
              <w:jc w:val="center"/>
              <w:rPr>
                <w:color w:val="auto"/>
              </w:rPr>
            </w:pPr>
            <w:r>
              <w:rPr>
                <w:color w:val="auto"/>
              </w:rPr>
              <w:t>环保工程</w:t>
            </w:r>
          </w:p>
        </w:tc>
        <w:tc>
          <w:tcPr>
            <w:tcW w:w="1828" w:type="dxa"/>
            <w:tcBorders>
              <w:tl2br w:val="nil"/>
              <w:tr2bl w:val="nil"/>
            </w:tcBorders>
            <w:vAlign w:val="center"/>
          </w:tcPr>
          <w:p>
            <w:pPr>
              <w:pStyle w:val="22"/>
              <w:bidi w:val="0"/>
              <w:jc w:val="center"/>
              <w:rPr>
                <w:color w:val="auto"/>
              </w:rPr>
            </w:pPr>
            <w:r>
              <w:rPr>
                <w:color w:val="auto"/>
              </w:rPr>
              <w:t>废气</w:t>
            </w:r>
          </w:p>
        </w:tc>
        <w:tc>
          <w:tcPr>
            <w:tcW w:w="4650" w:type="dxa"/>
            <w:tcBorders>
              <w:tl2br w:val="nil"/>
              <w:tr2bl w:val="nil"/>
            </w:tcBorders>
            <w:vAlign w:val="center"/>
          </w:tcPr>
          <w:p>
            <w:pPr>
              <w:pStyle w:val="22"/>
              <w:bidi w:val="0"/>
              <w:jc w:val="center"/>
              <w:rPr>
                <w:color w:val="auto"/>
              </w:rPr>
            </w:pPr>
            <w:r>
              <w:rPr>
                <w:color w:val="auto"/>
              </w:rPr>
              <w:t>微生物实验室</w:t>
            </w:r>
            <w:r>
              <w:rPr>
                <w:rFonts w:hint="eastAsia"/>
                <w:color w:val="auto"/>
                <w:lang w:eastAsia="zh-CN"/>
              </w:rPr>
              <w:t>：</w:t>
            </w:r>
            <w:r>
              <w:rPr>
                <w:color w:val="auto"/>
              </w:rPr>
              <w:t>与病原微生物有关的实验在生物安全柜内操作。</w:t>
            </w:r>
          </w:p>
          <w:p>
            <w:pPr>
              <w:pStyle w:val="22"/>
              <w:bidi w:val="0"/>
              <w:jc w:val="center"/>
              <w:rPr>
                <w:color w:val="auto"/>
              </w:rPr>
            </w:pPr>
            <w:r>
              <w:rPr>
                <w:color w:val="auto"/>
              </w:rPr>
              <w:t>理化实验室</w:t>
            </w:r>
            <w:r>
              <w:rPr>
                <w:rFonts w:hint="eastAsia"/>
                <w:color w:val="auto"/>
                <w:lang w:eastAsia="zh-CN"/>
              </w:rPr>
              <w:t>：</w:t>
            </w:r>
            <w:r>
              <w:rPr>
                <w:color w:val="auto"/>
              </w:rPr>
              <w:t>集气罩收集，活性炭吸附后由专用电控风道外排。</w:t>
            </w:r>
          </w:p>
        </w:tc>
        <w:tc>
          <w:tcPr>
            <w:tcW w:w="1305" w:type="dxa"/>
            <w:tcBorders>
              <w:tl2br w:val="nil"/>
              <w:tr2bl w:val="nil"/>
            </w:tcBorders>
            <w:vAlign w:val="center"/>
          </w:tcPr>
          <w:p>
            <w:pPr>
              <w:pStyle w:val="22"/>
              <w:bidi w:val="0"/>
              <w:jc w:val="center"/>
              <w:rPr>
                <w:rFonts w:hint="eastAsia" w:eastAsia="宋体"/>
                <w:color w:val="auto"/>
                <w:lang w:val="en-US" w:eastAsia="zh-CN"/>
              </w:rPr>
            </w:pPr>
            <w:r>
              <w:rPr>
                <w:rFonts w:hint="eastAsia"/>
                <w:color w:val="auto"/>
                <w:lang w:val="en-US" w:eastAsia="zh-CN"/>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28" w:hRule="atLeast"/>
          <w:jc w:val="center"/>
        </w:trPr>
        <w:tc>
          <w:tcPr>
            <w:tcW w:w="734" w:type="dxa"/>
            <w:vMerge w:val="continue"/>
            <w:tcBorders>
              <w:tl2br w:val="nil"/>
              <w:tr2bl w:val="nil"/>
            </w:tcBorders>
            <w:textDirection w:val="tbRlV"/>
            <w:vAlign w:val="center"/>
          </w:tcPr>
          <w:p>
            <w:pPr>
              <w:pStyle w:val="22"/>
              <w:bidi w:val="0"/>
              <w:jc w:val="center"/>
              <w:rPr>
                <w:color w:val="auto"/>
              </w:rPr>
            </w:pPr>
          </w:p>
        </w:tc>
        <w:tc>
          <w:tcPr>
            <w:tcW w:w="1828" w:type="dxa"/>
            <w:tcBorders>
              <w:tl2br w:val="nil"/>
              <w:tr2bl w:val="nil"/>
            </w:tcBorders>
            <w:vAlign w:val="center"/>
          </w:tcPr>
          <w:p>
            <w:pPr>
              <w:pStyle w:val="22"/>
              <w:bidi w:val="0"/>
              <w:jc w:val="center"/>
              <w:rPr>
                <w:color w:val="auto"/>
              </w:rPr>
            </w:pPr>
            <w:r>
              <w:rPr>
                <w:color w:val="auto"/>
              </w:rPr>
              <w:t>废水</w:t>
            </w:r>
          </w:p>
        </w:tc>
        <w:tc>
          <w:tcPr>
            <w:tcW w:w="4650" w:type="dxa"/>
            <w:tcBorders>
              <w:tl2br w:val="nil"/>
              <w:tr2bl w:val="nil"/>
            </w:tcBorders>
            <w:vAlign w:val="center"/>
          </w:tcPr>
          <w:p>
            <w:pPr>
              <w:pStyle w:val="22"/>
              <w:bidi w:val="0"/>
              <w:jc w:val="both"/>
              <w:rPr>
                <w:color w:val="auto"/>
              </w:rPr>
            </w:pPr>
            <w:r>
              <w:rPr>
                <w:color w:val="auto"/>
              </w:rPr>
              <w:t>疾控中心的生活污水排入市政污水管网；实验室废水排入实验室废水排水管网，实现实验废水和生活污水分流，实验废水经实验室废水排水管网，集中排入污水处理站，经处理达标后，排入市政污水管网。</w:t>
            </w:r>
          </w:p>
          <w:p>
            <w:pPr>
              <w:pStyle w:val="22"/>
              <w:bidi w:val="0"/>
              <w:jc w:val="both"/>
              <w:rPr>
                <w:color w:val="auto"/>
              </w:rPr>
            </w:pPr>
            <w:r>
              <w:rPr>
                <w:color w:val="auto"/>
              </w:rPr>
              <w:t>实验废水</w:t>
            </w:r>
            <w:r>
              <w:rPr>
                <w:rFonts w:hint="eastAsia"/>
                <w:color w:val="auto"/>
                <w:lang w:eastAsia="zh-CN"/>
              </w:rPr>
              <w:t>采用</w:t>
            </w:r>
            <w:r>
              <w:rPr>
                <w:rFonts w:hint="eastAsia"/>
                <w:color w:val="auto"/>
                <w:lang w:val="en-US" w:eastAsia="zh-CN"/>
              </w:rPr>
              <w:t>取</w:t>
            </w:r>
            <w:r>
              <w:rPr>
                <w:rFonts w:hint="default"/>
                <w:color w:val="auto"/>
                <w:lang w:val="en-US" w:eastAsia="zh-CN"/>
              </w:rPr>
              <w:t>“</w:t>
            </w:r>
            <w:r>
              <w:rPr>
                <w:rFonts w:hint="eastAsia"/>
                <w:color w:val="auto"/>
                <w:lang w:val="en-US" w:eastAsia="zh-CN"/>
              </w:rPr>
              <w:t>调节池+水解酸化+接触氧化+沉淀+消毒</w:t>
            </w:r>
            <w:r>
              <w:rPr>
                <w:rFonts w:hint="default"/>
                <w:color w:val="auto"/>
                <w:lang w:val="en-US" w:eastAsia="zh-CN"/>
              </w:rPr>
              <w:t>”</w:t>
            </w:r>
            <w:r>
              <w:rPr>
                <w:rFonts w:hint="eastAsia"/>
                <w:color w:val="auto"/>
                <w:lang w:val="en-US" w:eastAsia="zh-CN"/>
              </w:rPr>
              <w:t>处理工艺</w:t>
            </w:r>
            <w:r>
              <w:rPr>
                <w:color w:val="auto"/>
              </w:rPr>
              <w:t>进行污水处理，为一体化设备，日处理量</w:t>
            </w:r>
            <w:r>
              <w:rPr>
                <w:color w:val="auto"/>
                <w:highlight w:val="none"/>
              </w:rPr>
              <w:t>在1.3m</w:t>
            </w:r>
            <w:r>
              <w:rPr>
                <w:color w:val="auto"/>
                <w:highlight w:val="none"/>
                <w:vertAlign w:val="superscript"/>
              </w:rPr>
              <w:t>3</w:t>
            </w:r>
            <w:r>
              <w:rPr>
                <w:color w:val="auto"/>
                <w:highlight w:val="none"/>
              </w:rPr>
              <w:t>/d</w:t>
            </w:r>
            <w:r>
              <w:rPr>
                <w:color w:val="auto"/>
              </w:rPr>
              <w:t>，能够满足项目区需求。</w:t>
            </w:r>
          </w:p>
        </w:tc>
        <w:tc>
          <w:tcPr>
            <w:tcW w:w="1305" w:type="dxa"/>
            <w:tcBorders>
              <w:tl2br w:val="nil"/>
              <w:tr2bl w:val="nil"/>
            </w:tcBorders>
            <w:vAlign w:val="center"/>
          </w:tcPr>
          <w:p>
            <w:pPr>
              <w:pStyle w:val="22"/>
              <w:bidi w:val="0"/>
              <w:jc w:val="center"/>
              <w:rPr>
                <w:rFonts w:hint="eastAsia" w:eastAsia="宋体"/>
                <w:color w:val="auto"/>
                <w:lang w:val="en-US" w:eastAsia="zh-CN"/>
              </w:rPr>
            </w:pPr>
            <w:r>
              <w:rPr>
                <w:rFonts w:hint="eastAsia"/>
                <w:color w:val="auto"/>
                <w:lang w:val="en-US" w:eastAsia="zh-CN"/>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jc w:val="center"/>
        </w:trPr>
        <w:tc>
          <w:tcPr>
            <w:tcW w:w="734" w:type="dxa"/>
            <w:vMerge w:val="continue"/>
            <w:tcBorders>
              <w:tl2br w:val="nil"/>
              <w:tr2bl w:val="nil"/>
            </w:tcBorders>
            <w:textDirection w:val="tbRlV"/>
            <w:vAlign w:val="center"/>
          </w:tcPr>
          <w:p>
            <w:pPr>
              <w:pStyle w:val="22"/>
              <w:bidi w:val="0"/>
              <w:jc w:val="center"/>
              <w:rPr>
                <w:color w:val="auto"/>
              </w:rPr>
            </w:pPr>
          </w:p>
        </w:tc>
        <w:tc>
          <w:tcPr>
            <w:tcW w:w="1828" w:type="dxa"/>
            <w:tcBorders>
              <w:tl2br w:val="nil"/>
              <w:tr2bl w:val="nil"/>
            </w:tcBorders>
            <w:vAlign w:val="center"/>
          </w:tcPr>
          <w:p>
            <w:pPr>
              <w:pStyle w:val="22"/>
              <w:bidi w:val="0"/>
              <w:jc w:val="center"/>
              <w:rPr>
                <w:color w:val="auto"/>
              </w:rPr>
            </w:pPr>
            <w:r>
              <w:rPr>
                <w:color w:val="auto"/>
              </w:rPr>
              <w:t>固废</w:t>
            </w:r>
          </w:p>
        </w:tc>
        <w:tc>
          <w:tcPr>
            <w:tcW w:w="4650" w:type="dxa"/>
            <w:tcBorders>
              <w:tl2br w:val="nil"/>
              <w:tr2bl w:val="nil"/>
            </w:tcBorders>
            <w:vAlign w:val="center"/>
          </w:tcPr>
          <w:p>
            <w:pPr>
              <w:pStyle w:val="22"/>
              <w:bidi w:val="0"/>
              <w:jc w:val="center"/>
              <w:rPr>
                <w:color w:val="auto"/>
              </w:rPr>
            </w:pPr>
            <w:r>
              <w:rPr>
                <w:color w:val="auto"/>
              </w:rPr>
              <w:t>生活垃圾收集设施，实验室废液暂存容器，医疗废物暂存容器及危险废物容器，分类收集后暂存至危废暂存间</w:t>
            </w:r>
          </w:p>
        </w:tc>
        <w:tc>
          <w:tcPr>
            <w:tcW w:w="1305" w:type="dxa"/>
            <w:tcBorders>
              <w:tl2br w:val="nil"/>
              <w:tr2bl w:val="nil"/>
            </w:tcBorders>
            <w:vAlign w:val="center"/>
          </w:tcPr>
          <w:p>
            <w:pPr>
              <w:pStyle w:val="22"/>
              <w:bidi w:val="0"/>
              <w:jc w:val="center"/>
              <w:rPr>
                <w:rFonts w:hint="eastAsia" w:eastAsia="宋体"/>
                <w:color w:val="auto"/>
                <w:lang w:val="en-US" w:eastAsia="zh-CN"/>
              </w:rPr>
            </w:pPr>
            <w:r>
              <w:rPr>
                <w:rFonts w:hint="eastAsia"/>
                <w:color w:val="auto"/>
                <w:lang w:val="en-US" w:eastAsia="zh-CN"/>
              </w:rPr>
              <w:t>新建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9" w:hRule="atLeast"/>
          <w:jc w:val="center"/>
        </w:trPr>
        <w:tc>
          <w:tcPr>
            <w:tcW w:w="734" w:type="dxa"/>
            <w:vMerge w:val="continue"/>
            <w:tcBorders>
              <w:tl2br w:val="nil"/>
              <w:tr2bl w:val="nil"/>
            </w:tcBorders>
            <w:textDirection w:val="tbRlV"/>
            <w:vAlign w:val="center"/>
          </w:tcPr>
          <w:p>
            <w:pPr>
              <w:pStyle w:val="22"/>
              <w:bidi w:val="0"/>
              <w:jc w:val="center"/>
              <w:rPr>
                <w:color w:val="auto"/>
              </w:rPr>
            </w:pPr>
          </w:p>
        </w:tc>
        <w:tc>
          <w:tcPr>
            <w:tcW w:w="1828" w:type="dxa"/>
            <w:tcBorders>
              <w:tl2br w:val="nil"/>
              <w:tr2bl w:val="nil"/>
            </w:tcBorders>
            <w:vAlign w:val="center"/>
          </w:tcPr>
          <w:p>
            <w:pPr>
              <w:pStyle w:val="22"/>
              <w:bidi w:val="0"/>
              <w:jc w:val="center"/>
              <w:rPr>
                <w:color w:val="auto"/>
              </w:rPr>
            </w:pPr>
            <w:r>
              <w:rPr>
                <w:color w:val="auto"/>
              </w:rPr>
              <w:t>噪声</w:t>
            </w:r>
          </w:p>
        </w:tc>
        <w:tc>
          <w:tcPr>
            <w:tcW w:w="4650" w:type="dxa"/>
            <w:tcBorders>
              <w:tl2br w:val="nil"/>
              <w:tr2bl w:val="nil"/>
            </w:tcBorders>
            <w:vAlign w:val="center"/>
          </w:tcPr>
          <w:p>
            <w:pPr>
              <w:pStyle w:val="22"/>
              <w:bidi w:val="0"/>
              <w:jc w:val="center"/>
              <w:rPr>
                <w:color w:val="auto"/>
              </w:rPr>
            </w:pPr>
            <w:r>
              <w:rPr>
                <w:color w:val="auto"/>
              </w:rPr>
              <w:t>隔声减振设施</w:t>
            </w:r>
          </w:p>
        </w:tc>
        <w:tc>
          <w:tcPr>
            <w:tcW w:w="1305" w:type="dxa"/>
            <w:tcBorders>
              <w:tl2br w:val="nil"/>
              <w:tr2bl w:val="nil"/>
            </w:tcBorders>
            <w:vAlign w:val="center"/>
          </w:tcPr>
          <w:p>
            <w:pPr>
              <w:pStyle w:val="22"/>
              <w:bidi w:val="0"/>
              <w:jc w:val="center"/>
              <w:rPr>
                <w:rFonts w:hint="eastAsia" w:eastAsia="宋体"/>
                <w:color w:val="auto"/>
                <w:lang w:val="en-US" w:eastAsia="zh-CN"/>
              </w:rPr>
            </w:pPr>
            <w:r>
              <w:rPr>
                <w:rFonts w:hint="eastAsia"/>
                <w:color w:val="auto"/>
                <w:lang w:val="en-US" w:eastAsia="zh-CN"/>
              </w:rPr>
              <w:t>已建</w:t>
            </w:r>
          </w:p>
        </w:tc>
      </w:tr>
    </w:tbl>
    <w:p>
      <w:pPr>
        <w:bidi w:val="0"/>
        <w:rPr>
          <w:color w:val="auto"/>
        </w:rPr>
      </w:pPr>
      <w:r>
        <w:rPr>
          <w:color w:val="auto"/>
        </w:rPr>
        <w:t>（</w:t>
      </w:r>
      <w:r>
        <w:rPr>
          <w:rFonts w:hint="eastAsia" w:ascii="Times New Roman" w:eastAsia="宋体"/>
          <w:color w:val="auto"/>
          <w:lang w:val="en-US" w:eastAsia="zh-CN"/>
        </w:rPr>
        <w:t>3</w:t>
      </w:r>
      <w:r>
        <w:rPr>
          <w:color w:val="auto"/>
        </w:rPr>
        <w:t>）实验室设置</w:t>
      </w:r>
    </w:p>
    <w:p>
      <w:pPr>
        <w:bidi w:val="0"/>
        <w:rPr>
          <w:color w:val="auto"/>
        </w:rPr>
      </w:pPr>
      <w:r>
        <w:rPr>
          <w:rFonts w:hint="eastAsia" w:ascii="Times New Roman" w:eastAsia="宋体"/>
          <w:color w:val="auto"/>
          <w:lang w:val="en-US" w:eastAsia="zh-CN"/>
        </w:rPr>
        <w:t>1</w:t>
      </w:r>
      <w:r>
        <w:rPr>
          <w:color w:val="auto"/>
        </w:rPr>
        <w:t>）微生物实验室，设有无菌室、样品制备间、试剂调配间、培养室、库房、检验室、消毒间，设有生物安全柜，和灭菌消毒设备。</w:t>
      </w:r>
    </w:p>
    <w:p>
      <w:pPr>
        <w:bidi w:val="0"/>
        <w:rPr>
          <w:color w:val="auto"/>
        </w:rPr>
      </w:pPr>
      <w:r>
        <w:rPr>
          <w:rFonts w:hint="eastAsia" w:ascii="Times New Roman" w:eastAsia="宋体"/>
          <w:color w:val="auto"/>
          <w:lang w:val="en-US" w:eastAsia="zh-CN"/>
        </w:rPr>
        <w:t>2</w:t>
      </w:r>
      <w:r>
        <w:rPr>
          <w:color w:val="auto"/>
        </w:rPr>
        <w:t>）理化实验室，主要进行公共场所环境卫生、车间空气、生活饮用水、食品等样品的理化项目的检验检测。主要包括：原子吸收室、气相色谱室、天平室、比色室、液相室、试剂室、样品室等。</w:t>
      </w:r>
    </w:p>
    <w:p>
      <w:pPr>
        <w:bidi w:val="0"/>
        <w:rPr>
          <w:color w:val="auto"/>
        </w:rPr>
      </w:pPr>
      <w:r>
        <w:rPr>
          <w:color w:val="auto"/>
        </w:rPr>
        <w:t>（3）实验室实验内容</w:t>
      </w:r>
    </w:p>
    <w:p>
      <w:pPr>
        <w:bidi w:val="0"/>
        <w:rPr>
          <w:color w:val="auto"/>
        </w:rPr>
      </w:pPr>
      <w:r>
        <w:rPr>
          <w:color w:val="auto"/>
        </w:rPr>
        <w:t>1）理化试验</w:t>
      </w:r>
    </w:p>
    <w:p>
      <w:pPr>
        <w:bidi w:val="0"/>
        <w:rPr>
          <w:color w:val="auto"/>
        </w:rPr>
      </w:pPr>
      <w:r>
        <w:rPr>
          <w:color w:val="auto"/>
        </w:rPr>
        <w:t>理化实验室使用试剂都是常见的酸碱性化学试剂及简单有机试剂，主要用于各项实验指标的检测，理化实验室使用试剂都有相应的实验室化学药品存放和管理制度，常规化学品和危险化学品分类管理，其中，重金属检测过程中会产生一些含重金属的废液，收集到废液缸中，同其他实验过程中产生的实验废液</w:t>
      </w:r>
      <w:r>
        <w:rPr>
          <w:rFonts w:hint="eastAsia" w:eastAsia="宋体"/>
          <w:color w:val="auto"/>
          <w:lang w:eastAsia="zh-CN"/>
        </w:rPr>
        <w:t>一起</w:t>
      </w:r>
      <w:r>
        <w:rPr>
          <w:color w:val="auto"/>
        </w:rPr>
        <w:t>交由当地有危废资质单位处置。</w:t>
      </w:r>
    </w:p>
    <w:p>
      <w:pPr>
        <w:bidi w:val="0"/>
        <w:rPr>
          <w:color w:val="auto"/>
        </w:rPr>
      </w:pPr>
      <w:r>
        <w:rPr>
          <w:color w:val="auto"/>
        </w:rPr>
        <w:t>2）微生物实验</w:t>
      </w:r>
    </w:p>
    <w:p>
      <w:pPr>
        <w:bidi w:val="0"/>
        <w:rPr>
          <w:rFonts w:hint="default" w:ascii="Times New Roman" w:hAnsi="Times New Roman" w:cs="Times New Roman"/>
          <w:color w:val="auto"/>
        </w:rPr>
      </w:pPr>
      <w:r>
        <w:rPr>
          <w:rFonts w:hint="default" w:ascii="Times New Roman" w:hAnsi="Times New Roman" w:cs="Times New Roman"/>
          <w:color w:val="auto"/>
        </w:rPr>
        <w:t>本环评要求项目建成后严格执行《病原微生物实验室生物安全管理条例》，本项目临床实验室应根据实验活动采取相应等级的生物安全防护。</w:t>
      </w:r>
    </w:p>
    <w:p>
      <w:pPr>
        <w:bidi w:val="0"/>
        <w:rPr>
          <w:rFonts w:hint="default" w:ascii="Times New Roman" w:hAnsi="Times New Roman" w:cs="Times New Roman"/>
          <w:color w:val="auto"/>
        </w:rPr>
      </w:pPr>
      <w:r>
        <w:rPr>
          <w:rFonts w:hint="default" w:ascii="Times New Roman" w:hAnsi="Times New Roman" w:cs="Times New Roman"/>
          <w:color w:val="auto"/>
        </w:rPr>
        <w:t>项目建成后实验室涉及的病原微生物及其实验类别见表3.</w:t>
      </w:r>
      <w:r>
        <w:rPr>
          <w:rFonts w:hint="eastAsia" w:cs="Times New Roman"/>
          <w:color w:val="auto"/>
          <w:lang w:val="en-US" w:eastAsia="zh-CN"/>
        </w:rPr>
        <w:t>2</w:t>
      </w:r>
      <w:r>
        <w:rPr>
          <w:rFonts w:hint="default" w:ascii="Times New Roman" w:hAnsi="Times New Roman" w:cs="Times New Roman"/>
          <w:color w:val="auto"/>
        </w:rPr>
        <w:t>-3，主要实验内容见表3.</w:t>
      </w:r>
      <w:r>
        <w:rPr>
          <w:rFonts w:hint="eastAsia" w:cs="Times New Roman"/>
          <w:color w:val="auto"/>
          <w:lang w:val="en-US" w:eastAsia="zh-CN"/>
        </w:rPr>
        <w:t>2</w:t>
      </w:r>
      <w:r>
        <w:rPr>
          <w:rFonts w:hint="default" w:ascii="Times New Roman" w:hAnsi="Times New Roman" w:cs="Times New Roman"/>
          <w:color w:val="auto"/>
        </w:rPr>
        <w:t>-4，微生物实验危害性评估见表3.</w:t>
      </w:r>
      <w:r>
        <w:rPr>
          <w:rFonts w:hint="eastAsia" w:cs="Times New Roman"/>
          <w:color w:val="auto"/>
          <w:lang w:val="en-US" w:eastAsia="zh-CN"/>
        </w:rPr>
        <w:t>2</w:t>
      </w:r>
      <w:r>
        <w:rPr>
          <w:rFonts w:hint="default" w:ascii="Times New Roman" w:hAnsi="Times New Roman" w:cs="Times New Roman"/>
          <w:color w:val="auto"/>
        </w:rPr>
        <w:t>-5。</w:t>
      </w:r>
    </w:p>
    <w:p>
      <w:pPr>
        <w:pStyle w:val="22"/>
        <w:bidi w:val="0"/>
        <w:rPr>
          <w:rFonts w:hint="default" w:ascii="Times New Roman" w:hAnsi="Times New Roman" w:cs="Times New Roman"/>
          <w:b/>
          <w:bCs/>
          <w:color w:val="auto"/>
        </w:rPr>
      </w:pPr>
      <w:r>
        <w:rPr>
          <w:rFonts w:hint="default" w:ascii="Times New Roman" w:hAnsi="Times New Roman" w:cs="Times New Roman"/>
          <w:b/>
          <w:bCs/>
          <w:color w:val="auto"/>
        </w:rPr>
        <w:t>表3.</w:t>
      </w:r>
      <w:r>
        <w:rPr>
          <w:rFonts w:hint="eastAsia" w:cs="Times New Roman"/>
          <w:b/>
          <w:bCs/>
          <w:color w:val="auto"/>
          <w:lang w:val="en-US" w:eastAsia="zh-CN"/>
        </w:rPr>
        <w:t>2</w:t>
      </w:r>
      <w:r>
        <w:rPr>
          <w:rFonts w:hint="default" w:ascii="Times New Roman" w:hAnsi="Times New Roman" w:cs="Times New Roman"/>
          <w:b/>
          <w:bCs/>
          <w:color w:val="auto"/>
        </w:rPr>
        <w:t>-3本项目检测、诊断的病原微生物</w:t>
      </w:r>
    </w:p>
    <w:tbl>
      <w:tblPr>
        <w:tblStyle w:val="18"/>
        <w:tblW w:w="865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2164"/>
        <w:gridCol w:w="2164"/>
        <w:gridCol w:w="2164"/>
        <w:gridCol w:w="21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2164" w:type="dxa"/>
            <w:tcBorders>
              <w:tl2br w:val="nil"/>
              <w:tr2bl w:val="nil"/>
            </w:tcBorders>
            <w:shd w:val="clear" w:color="auto" w:fill="auto"/>
            <w:vAlign w:val="center"/>
          </w:tcPr>
          <w:p>
            <w:pPr>
              <w:pStyle w:val="22"/>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序号</w:t>
            </w:r>
          </w:p>
        </w:tc>
        <w:tc>
          <w:tcPr>
            <w:tcW w:w="2164" w:type="dxa"/>
            <w:tcBorders>
              <w:tl2br w:val="nil"/>
              <w:tr2bl w:val="nil"/>
            </w:tcBorders>
            <w:shd w:val="clear" w:color="auto" w:fill="auto"/>
            <w:vAlign w:val="center"/>
          </w:tcPr>
          <w:p>
            <w:pPr>
              <w:pStyle w:val="22"/>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实验项目</w:t>
            </w:r>
          </w:p>
        </w:tc>
        <w:tc>
          <w:tcPr>
            <w:tcW w:w="2164" w:type="dxa"/>
            <w:tcBorders>
              <w:tl2br w:val="nil"/>
              <w:tr2bl w:val="nil"/>
            </w:tcBorders>
            <w:shd w:val="clear" w:color="auto" w:fill="auto"/>
            <w:vAlign w:val="center"/>
          </w:tcPr>
          <w:p>
            <w:pPr>
              <w:pStyle w:val="22"/>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实验地点</w:t>
            </w:r>
          </w:p>
        </w:tc>
        <w:tc>
          <w:tcPr>
            <w:tcW w:w="2166" w:type="dxa"/>
            <w:tcBorders>
              <w:tl2br w:val="nil"/>
              <w:tr2bl w:val="nil"/>
            </w:tcBorders>
            <w:shd w:val="clear" w:color="auto" w:fill="auto"/>
            <w:vAlign w:val="center"/>
          </w:tcPr>
          <w:p>
            <w:pPr>
              <w:pStyle w:val="22"/>
              <w:bidi w:val="0"/>
              <w:rPr>
                <w:rFonts w:hint="default" w:ascii="Times New Roman" w:hAnsi="Times New Roman" w:cs="Times New Roman"/>
                <w:b/>
                <w:bCs/>
                <w:color w:val="auto"/>
              </w:rPr>
            </w:pPr>
            <w:r>
              <w:rPr>
                <w:rFonts w:hint="default" w:ascii="Times New Roman" w:hAnsi="Times New Roman" w:cs="Times New Roman"/>
                <w:b/>
                <w:bCs/>
                <w:color w:val="auto"/>
                <w:lang w:val="en-US" w:eastAsia="zh-CN"/>
              </w:rPr>
              <w:t>实验类别</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5" w:hRule="atLeast"/>
          <w:jc w:val="center"/>
        </w:trPr>
        <w:tc>
          <w:tcPr>
            <w:tcW w:w="2164" w:type="dxa"/>
            <w:tcBorders>
              <w:tl2br w:val="nil"/>
              <w:tr2bl w:val="nil"/>
            </w:tcBorders>
            <w:shd w:val="clear" w:color="auto" w:fill="auto"/>
            <w:vAlign w:val="center"/>
          </w:tcPr>
          <w:p>
            <w:pPr>
              <w:pStyle w:val="22"/>
              <w:bidi w:val="0"/>
              <w:rPr>
                <w:rFonts w:hint="default" w:ascii="Times New Roman" w:hAnsi="Times New Roman" w:cs="Times New Roman"/>
                <w:color w:val="auto"/>
              </w:rPr>
            </w:pPr>
            <w:r>
              <w:rPr>
                <w:rFonts w:hint="default" w:ascii="Times New Roman" w:hAnsi="Times New Roman" w:cs="Times New Roman"/>
                <w:color w:val="auto"/>
                <w:lang w:val="en-US" w:eastAsia="zh-CN"/>
              </w:rPr>
              <w:t>1</w:t>
            </w:r>
          </w:p>
        </w:tc>
        <w:tc>
          <w:tcPr>
            <w:tcW w:w="2164" w:type="dxa"/>
            <w:tcBorders>
              <w:tl2br w:val="nil"/>
              <w:tr2bl w:val="nil"/>
            </w:tcBorders>
            <w:shd w:val="clear" w:color="auto" w:fill="auto"/>
            <w:vAlign w:val="center"/>
          </w:tcPr>
          <w:p>
            <w:pPr>
              <w:pStyle w:val="22"/>
              <w:bidi w:val="0"/>
              <w:rPr>
                <w:rFonts w:hint="default" w:ascii="Times New Roman" w:hAnsi="Times New Roman" w:cs="Times New Roman"/>
                <w:color w:val="auto"/>
              </w:rPr>
            </w:pPr>
            <w:r>
              <w:rPr>
                <w:rFonts w:hint="default" w:ascii="Times New Roman" w:hAnsi="Times New Roman" w:cs="Times New Roman"/>
                <w:color w:val="auto"/>
                <w:lang w:val="en-US" w:eastAsia="zh-CN"/>
              </w:rPr>
              <w:t>结核分枝杆菌</w:t>
            </w:r>
          </w:p>
        </w:tc>
        <w:tc>
          <w:tcPr>
            <w:tcW w:w="2164" w:type="dxa"/>
            <w:tcBorders>
              <w:tl2br w:val="nil"/>
              <w:tr2bl w:val="nil"/>
            </w:tcBorders>
            <w:shd w:val="clear" w:color="auto" w:fill="auto"/>
            <w:vAlign w:val="center"/>
          </w:tcPr>
          <w:p>
            <w:pPr>
              <w:pStyle w:val="22"/>
              <w:bidi w:val="0"/>
              <w:rPr>
                <w:rFonts w:hint="default" w:ascii="Times New Roman" w:hAnsi="Times New Roman" w:cs="Times New Roman"/>
                <w:color w:val="auto"/>
              </w:rPr>
            </w:pPr>
            <w:r>
              <w:rPr>
                <w:rFonts w:hint="default" w:ascii="Times New Roman" w:hAnsi="Times New Roman" w:cs="Times New Roman"/>
                <w:color w:val="auto"/>
                <w:lang w:val="en-US" w:eastAsia="zh-CN"/>
              </w:rPr>
              <w:t>结核实验室</w:t>
            </w:r>
          </w:p>
        </w:tc>
        <w:tc>
          <w:tcPr>
            <w:tcW w:w="2166" w:type="dxa"/>
            <w:tcBorders>
              <w:tl2br w:val="nil"/>
              <w:tr2bl w:val="nil"/>
            </w:tcBorders>
            <w:shd w:val="clear" w:color="auto" w:fill="auto"/>
            <w:vAlign w:val="center"/>
          </w:tcPr>
          <w:p>
            <w:pPr>
              <w:pStyle w:val="22"/>
              <w:bidi w:val="0"/>
              <w:rPr>
                <w:rFonts w:hint="default" w:ascii="Times New Roman" w:hAnsi="Times New Roman" w:cs="Times New Roman"/>
                <w:color w:val="auto"/>
              </w:rPr>
            </w:pPr>
            <w:r>
              <w:rPr>
                <w:rFonts w:hint="default" w:ascii="Times New Roman" w:hAnsi="Times New Roman" w:cs="Times New Roman"/>
                <w:color w:val="auto"/>
                <w:lang w:val="en-US" w:eastAsia="zh-CN"/>
              </w:rPr>
              <w:t>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2164" w:type="dxa"/>
            <w:tcBorders>
              <w:tl2br w:val="nil"/>
              <w:tr2bl w:val="nil"/>
            </w:tcBorders>
            <w:shd w:val="clear" w:color="auto" w:fill="auto"/>
            <w:vAlign w:val="center"/>
          </w:tcPr>
          <w:p>
            <w:pPr>
              <w:pStyle w:val="22"/>
              <w:bidi w:val="0"/>
              <w:rPr>
                <w:rFonts w:hint="default" w:ascii="Times New Roman" w:hAnsi="Times New Roman" w:cs="Times New Roman"/>
                <w:color w:val="auto"/>
              </w:rPr>
            </w:pPr>
            <w:r>
              <w:rPr>
                <w:rFonts w:hint="default" w:ascii="Times New Roman" w:hAnsi="Times New Roman" w:cs="Times New Roman"/>
                <w:color w:val="auto"/>
                <w:lang w:val="en-US" w:eastAsia="zh-CN"/>
              </w:rPr>
              <w:t>2</w:t>
            </w:r>
          </w:p>
        </w:tc>
        <w:tc>
          <w:tcPr>
            <w:tcW w:w="2164" w:type="dxa"/>
            <w:tcBorders>
              <w:tl2br w:val="nil"/>
              <w:tr2bl w:val="nil"/>
            </w:tcBorders>
            <w:shd w:val="clear" w:color="auto" w:fill="auto"/>
            <w:vAlign w:val="center"/>
          </w:tcPr>
          <w:p>
            <w:pPr>
              <w:pStyle w:val="22"/>
              <w:bidi w:val="0"/>
              <w:rPr>
                <w:rFonts w:hint="default" w:ascii="Times New Roman" w:hAnsi="Times New Roman" w:cs="Times New Roman"/>
                <w:color w:val="auto"/>
              </w:rPr>
            </w:pPr>
            <w:r>
              <w:rPr>
                <w:rFonts w:hint="default" w:ascii="Times New Roman" w:hAnsi="Times New Roman" w:cs="Times New Roman"/>
                <w:color w:val="auto"/>
                <w:lang w:val="en-US" w:eastAsia="zh-CN"/>
              </w:rPr>
              <w:t>麻疹</w:t>
            </w:r>
          </w:p>
        </w:tc>
        <w:tc>
          <w:tcPr>
            <w:tcW w:w="2164" w:type="dxa"/>
            <w:tcBorders>
              <w:tl2br w:val="nil"/>
              <w:tr2bl w:val="nil"/>
            </w:tcBorders>
            <w:shd w:val="clear" w:color="auto" w:fill="auto"/>
            <w:vAlign w:val="center"/>
          </w:tcPr>
          <w:p>
            <w:pPr>
              <w:pStyle w:val="22"/>
              <w:bidi w:val="0"/>
              <w:rPr>
                <w:rFonts w:hint="default" w:ascii="Times New Roman" w:hAnsi="Times New Roman" w:cs="Times New Roman"/>
                <w:color w:val="auto"/>
              </w:rPr>
            </w:pPr>
            <w:r>
              <w:rPr>
                <w:rFonts w:hint="default" w:ascii="Times New Roman" w:hAnsi="Times New Roman" w:cs="Times New Roman"/>
                <w:color w:val="auto"/>
                <w:lang w:val="en-US" w:eastAsia="zh-CN"/>
              </w:rPr>
              <w:t>综合实验室</w:t>
            </w:r>
          </w:p>
        </w:tc>
        <w:tc>
          <w:tcPr>
            <w:tcW w:w="2166" w:type="dxa"/>
            <w:tcBorders>
              <w:tl2br w:val="nil"/>
              <w:tr2bl w:val="nil"/>
            </w:tcBorders>
            <w:shd w:val="clear" w:color="auto" w:fill="auto"/>
            <w:vAlign w:val="center"/>
          </w:tcPr>
          <w:p>
            <w:pPr>
              <w:pStyle w:val="22"/>
              <w:bidi w:val="0"/>
              <w:rPr>
                <w:rFonts w:hint="default" w:ascii="Times New Roman" w:hAnsi="Times New Roman" w:cs="Times New Roman"/>
                <w:color w:val="auto"/>
              </w:rPr>
            </w:pPr>
            <w:r>
              <w:rPr>
                <w:rFonts w:hint="default" w:ascii="Times New Roman" w:hAnsi="Times New Roman" w:cs="Times New Roman"/>
                <w:color w:val="auto"/>
                <w:lang w:val="en-US" w:eastAsia="zh-CN"/>
              </w:rPr>
              <w:t>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2164" w:type="dxa"/>
            <w:tcBorders>
              <w:tl2br w:val="nil"/>
              <w:tr2bl w:val="nil"/>
            </w:tcBorders>
            <w:shd w:val="clear" w:color="auto" w:fill="auto"/>
            <w:vAlign w:val="center"/>
          </w:tcPr>
          <w:p>
            <w:pPr>
              <w:pStyle w:val="22"/>
              <w:bidi w:val="0"/>
              <w:rPr>
                <w:rFonts w:hint="default" w:ascii="Times New Roman" w:hAnsi="Times New Roman" w:cs="Times New Roman"/>
                <w:color w:val="auto"/>
              </w:rPr>
            </w:pPr>
            <w:r>
              <w:rPr>
                <w:rFonts w:hint="default" w:ascii="Times New Roman" w:hAnsi="Times New Roman" w:cs="Times New Roman"/>
                <w:color w:val="auto"/>
                <w:lang w:val="en-US" w:eastAsia="zh-CN"/>
              </w:rPr>
              <w:t>3</w:t>
            </w:r>
          </w:p>
        </w:tc>
        <w:tc>
          <w:tcPr>
            <w:tcW w:w="2164" w:type="dxa"/>
            <w:tcBorders>
              <w:tl2br w:val="nil"/>
              <w:tr2bl w:val="nil"/>
            </w:tcBorders>
            <w:shd w:val="clear" w:color="auto" w:fill="auto"/>
            <w:vAlign w:val="center"/>
          </w:tcPr>
          <w:p>
            <w:pPr>
              <w:pStyle w:val="22"/>
              <w:bidi w:val="0"/>
              <w:rPr>
                <w:rFonts w:hint="default" w:ascii="Times New Roman" w:hAnsi="Times New Roman" w:cs="Times New Roman"/>
                <w:color w:val="auto"/>
              </w:rPr>
            </w:pPr>
            <w:r>
              <w:rPr>
                <w:rFonts w:hint="default" w:ascii="Times New Roman" w:hAnsi="Times New Roman" w:cs="Times New Roman"/>
                <w:color w:val="auto"/>
                <w:lang w:val="en-US" w:eastAsia="zh-CN"/>
              </w:rPr>
              <w:t>风疹</w:t>
            </w:r>
          </w:p>
        </w:tc>
        <w:tc>
          <w:tcPr>
            <w:tcW w:w="2164" w:type="dxa"/>
            <w:tcBorders>
              <w:tl2br w:val="nil"/>
              <w:tr2bl w:val="nil"/>
            </w:tcBorders>
            <w:shd w:val="clear" w:color="auto" w:fill="auto"/>
            <w:vAlign w:val="center"/>
          </w:tcPr>
          <w:p>
            <w:pPr>
              <w:pStyle w:val="22"/>
              <w:bidi w:val="0"/>
              <w:rPr>
                <w:rFonts w:hint="default" w:ascii="Times New Roman" w:hAnsi="Times New Roman" w:cs="Times New Roman"/>
                <w:color w:val="auto"/>
              </w:rPr>
            </w:pPr>
            <w:r>
              <w:rPr>
                <w:rFonts w:hint="default" w:ascii="Times New Roman" w:hAnsi="Times New Roman" w:cs="Times New Roman"/>
                <w:color w:val="auto"/>
                <w:lang w:val="en-US" w:eastAsia="zh-CN"/>
              </w:rPr>
              <w:t>综合实验室</w:t>
            </w:r>
          </w:p>
        </w:tc>
        <w:tc>
          <w:tcPr>
            <w:tcW w:w="2166" w:type="dxa"/>
            <w:tcBorders>
              <w:tl2br w:val="nil"/>
              <w:tr2bl w:val="nil"/>
            </w:tcBorders>
            <w:shd w:val="clear" w:color="auto" w:fill="auto"/>
            <w:vAlign w:val="center"/>
          </w:tcPr>
          <w:p>
            <w:pPr>
              <w:pStyle w:val="22"/>
              <w:bidi w:val="0"/>
              <w:rPr>
                <w:rFonts w:hint="default" w:ascii="Times New Roman" w:hAnsi="Times New Roman" w:cs="Times New Roman"/>
                <w:color w:val="auto"/>
              </w:rPr>
            </w:pPr>
            <w:r>
              <w:rPr>
                <w:rFonts w:hint="default" w:ascii="Times New Roman" w:hAnsi="Times New Roman" w:cs="Times New Roman"/>
                <w:color w:val="auto"/>
                <w:lang w:val="en-US" w:eastAsia="zh-CN"/>
              </w:rPr>
              <w:t>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2164" w:type="dxa"/>
            <w:tcBorders>
              <w:tl2br w:val="nil"/>
              <w:tr2bl w:val="nil"/>
            </w:tcBorders>
            <w:shd w:val="clear" w:color="auto" w:fill="auto"/>
            <w:vAlign w:val="center"/>
          </w:tcPr>
          <w:p>
            <w:pPr>
              <w:pStyle w:val="22"/>
              <w:bidi w:val="0"/>
              <w:rPr>
                <w:rFonts w:hint="default" w:ascii="Times New Roman" w:hAnsi="Times New Roman" w:cs="Times New Roman"/>
                <w:color w:val="auto"/>
              </w:rPr>
            </w:pPr>
            <w:r>
              <w:rPr>
                <w:rFonts w:hint="default" w:ascii="Times New Roman" w:hAnsi="Times New Roman" w:cs="Times New Roman"/>
                <w:color w:val="auto"/>
                <w:lang w:val="en-US" w:eastAsia="zh-CN"/>
              </w:rPr>
              <w:t>4</w:t>
            </w:r>
          </w:p>
        </w:tc>
        <w:tc>
          <w:tcPr>
            <w:tcW w:w="2164" w:type="dxa"/>
            <w:tcBorders>
              <w:tl2br w:val="nil"/>
              <w:tr2bl w:val="nil"/>
            </w:tcBorders>
            <w:shd w:val="clear" w:color="auto" w:fill="auto"/>
            <w:vAlign w:val="center"/>
          </w:tcPr>
          <w:p>
            <w:pPr>
              <w:pStyle w:val="22"/>
              <w:bidi w:val="0"/>
              <w:rPr>
                <w:rFonts w:hint="default" w:ascii="Times New Roman" w:hAnsi="Times New Roman" w:cs="Times New Roman"/>
                <w:color w:val="auto"/>
              </w:rPr>
            </w:pPr>
            <w:r>
              <w:rPr>
                <w:rFonts w:hint="default" w:ascii="Times New Roman" w:hAnsi="Times New Roman" w:cs="Times New Roman"/>
                <w:color w:val="auto"/>
                <w:lang w:val="en-US" w:eastAsia="zh-CN"/>
              </w:rPr>
              <w:t>流感检测</w:t>
            </w:r>
          </w:p>
        </w:tc>
        <w:tc>
          <w:tcPr>
            <w:tcW w:w="2164" w:type="dxa"/>
            <w:tcBorders>
              <w:tl2br w:val="nil"/>
              <w:tr2bl w:val="nil"/>
            </w:tcBorders>
            <w:shd w:val="clear" w:color="auto" w:fill="auto"/>
            <w:vAlign w:val="center"/>
          </w:tcPr>
          <w:p>
            <w:pPr>
              <w:pStyle w:val="22"/>
              <w:bidi w:val="0"/>
              <w:rPr>
                <w:rFonts w:hint="default" w:ascii="Times New Roman" w:hAnsi="Times New Roman" w:cs="Times New Roman"/>
                <w:color w:val="auto"/>
              </w:rPr>
            </w:pPr>
            <w:r>
              <w:rPr>
                <w:rFonts w:hint="default" w:ascii="Times New Roman" w:hAnsi="Times New Roman" w:cs="Times New Roman"/>
                <w:color w:val="auto"/>
                <w:lang w:val="en-US" w:eastAsia="zh-CN"/>
              </w:rPr>
              <w:t>毒理实验室</w:t>
            </w:r>
          </w:p>
        </w:tc>
        <w:tc>
          <w:tcPr>
            <w:tcW w:w="2166" w:type="dxa"/>
            <w:tcBorders>
              <w:tl2br w:val="nil"/>
              <w:tr2bl w:val="nil"/>
            </w:tcBorders>
            <w:shd w:val="clear" w:color="auto" w:fill="auto"/>
            <w:vAlign w:val="center"/>
          </w:tcPr>
          <w:p>
            <w:pPr>
              <w:pStyle w:val="22"/>
              <w:bidi w:val="0"/>
              <w:rPr>
                <w:rFonts w:hint="default" w:ascii="Times New Roman" w:hAnsi="Times New Roman" w:cs="Times New Roman"/>
                <w:color w:val="auto"/>
              </w:rPr>
            </w:pPr>
            <w:r>
              <w:rPr>
                <w:rFonts w:hint="default" w:ascii="Times New Roman" w:hAnsi="Times New Roman" w:cs="Times New Roman"/>
                <w:color w:val="auto"/>
                <w:lang w:val="en-US" w:eastAsia="zh-CN"/>
              </w:rPr>
              <w:t>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2164" w:type="dxa"/>
            <w:tcBorders>
              <w:tl2br w:val="nil"/>
              <w:tr2bl w:val="nil"/>
            </w:tcBorders>
            <w:shd w:val="clear" w:color="auto" w:fill="auto"/>
            <w:vAlign w:val="center"/>
          </w:tcPr>
          <w:p>
            <w:pPr>
              <w:pStyle w:val="22"/>
              <w:bidi w:val="0"/>
              <w:rPr>
                <w:rFonts w:hint="default" w:ascii="Times New Roman" w:hAnsi="Times New Roman" w:cs="Times New Roman"/>
                <w:color w:val="auto"/>
              </w:rPr>
            </w:pPr>
            <w:r>
              <w:rPr>
                <w:rFonts w:hint="default" w:ascii="Times New Roman" w:hAnsi="Times New Roman" w:cs="Times New Roman"/>
                <w:color w:val="auto"/>
                <w:lang w:val="en-US" w:eastAsia="zh-CN"/>
              </w:rPr>
              <w:t>5</w:t>
            </w:r>
          </w:p>
        </w:tc>
        <w:tc>
          <w:tcPr>
            <w:tcW w:w="2164" w:type="dxa"/>
            <w:tcBorders>
              <w:tl2br w:val="nil"/>
              <w:tr2bl w:val="nil"/>
            </w:tcBorders>
            <w:shd w:val="clear" w:color="auto" w:fill="auto"/>
            <w:vAlign w:val="center"/>
          </w:tcPr>
          <w:p>
            <w:pPr>
              <w:pStyle w:val="22"/>
              <w:bidi w:val="0"/>
              <w:rPr>
                <w:rFonts w:hint="default" w:ascii="Times New Roman" w:hAnsi="Times New Roman" w:cs="Times New Roman"/>
                <w:color w:val="auto"/>
              </w:rPr>
            </w:pPr>
            <w:r>
              <w:rPr>
                <w:rFonts w:hint="default" w:ascii="Times New Roman" w:hAnsi="Times New Roman" w:cs="Times New Roman"/>
                <w:color w:val="auto"/>
                <w:lang w:val="en-US" w:eastAsia="zh-CN"/>
              </w:rPr>
              <w:t>手足口病</w:t>
            </w:r>
          </w:p>
        </w:tc>
        <w:tc>
          <w:tcPr>
            <w:tcW w:w="2164" w:type="dxa"/>
            <w:tcBorders>
              <w:tl2br w:val="nil"/>
              <w:tr2bl w:val="nil"/>
            </w:tcBorders>
            <w:shd w:val="clear" w:color="auto" w:fill="auto"/>
            <w:vAlign w:val="center"/>
          </w:tcPr>
          <w:p>
            <w:pPr>
              <w:pStyle w:val="22"/>
              <w:bidi w:val="0"/>
              <w:rPr>
                <w:rFonts w:hint="default" w:ascii="Times New Roman" w:hAnsi="Times New Roman" w:cs="Times New Roman"/>
                <w:color w:val="auto"/>
              </w:rPr>
            </w:pPr>
            <w:r>
              <w:rPr>
                <w:rFonts w:hint="default" w:ascii="Times New Roman" w:hAnsi="Times New Roman" w:cs="Times New Roman"/>
                <w:color w:val="auto"/>
                <w:lang w:val="en-US" w:eastAsia="zh-CN"/>
              </w:rPr>
              <w:t>综合实验室</w:t>
            </w:r>
          </w:p>
        </w:tc>
        <w:tc>
          <w:tcPr>
            <w:tcW w:w="2166" w:type="dxa"/>
            <w:tcBorders>
              <w:tl2br w:val="nil"/>
              <w:tr2bl w:val="nil"/>
            </w:tcBorders>
            <w:shd w:val="clear" w:color="auto" w:fill="auto"/>
            <w:vAlign w:val="center"/>
          </w:tcPr>
          <w:p>
            <w:pPr>
              <w:pStyle w:val="22"/>
              <w:bidi w:val="0"/>
              <w:rPr>
                <w:rFonts w:hint="default" w:ascii="Times New Roman" w:hAnsi="Times New Roman" w:cs="Times New Roman"/>
                <w:color w:val="auto"/>
              </w:rPr>
            </w:pPr>
            <w:r>
              <w:rPr>
                <w:rFonts w:hint="default" w:ascii="Times New Roman" w:hAnsi="Times New Roman" w:cs="Times New Roman"/>
                <w:color w:val="auto"/>
                <w:lang w:val="en-US" w:eastAsia="zh-CN"/>
              </w:rPr>
              <w:t>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83" w:hRule="atLeast"/>
          <w:jc w:val="center"/>
        </w:trPr>
        <w:tc>
          <w:tcPr>
            <w:tcW w:w="2164" w:type="dxa"/>
            <w:tcBorders>
              <w:tl2br w:val="nil"/>
              <w:tr2bl w:val="nil"/>
            </w:tcBorders>
            <w:shd w:val="clear" w:color="auto" w:fill="auto"/>
            <w:vAlign w:val="center"/>
          </w:tcPr>
          <w:p>
            <w:pPr>
              <w:pStyle w:val="22"/>
              <w:bidi w:val="0"/>
              <w:rPr>
                <w:rFonts w:hint="default" w:ascii="Times New Roman" w:hAnsi="Times New Roman" w:cs="Times New Roman"/>
                <w:color w:val="auto"/>
              </w:rPr>
            </w:pPr>
            <w:r>
              <w:rPr>
                <w:rFonts w:hint="default" w:ascii="Times New Roman" w:hAnsi="Times New Roman" w:cs="Times New Roman"/>
                <w:color w:val="auto"/>
                <w:lang w:val="en-US" w:eastAsia="zh-CN"/>
              </w:rPr>
              <w:t>6</w:t>
            </w:r>
          </w:p>
        </w:tc>
        <w:tc>
          <w:tcPr>
            <w:tcW w:w="2164" w:type="dxa"/>
            <w:tcBorders>
              <w:tl2br w:val="nil"/>
              <w:tr2bl w:val="nil"/>
            </w:tcBorders>
            <w:shd w:val="clear" w:color="auto" w:fill="auto"/>
            <w:vAlign w:val="center"/>
          </w:tcPr>
          <w:p>
            <w:pPr>
              <w:pStyle w:val="22"/>
              <w:bidi w:val="0"/>
              <w:rPr>
                <w:rFonts w:hint="default" w:ascii="Times New Roman" w:hAnsi="Times New Roman" w:cs="Times New Roman"/>
                <w:color w:val="auto"/>
              </w:rPr>
            </w:pPr>
            <w:r>
              <w:rPr>
                <w:rFonts w:hint="default" w:ascii="Times New Roman" w:hAnsi="Times New Roman" w:cs="Times New Roman"/>
                <w:color w:val="auto"/>
                <w:lang w:val="en-US" w:eastAsia="zh-CN"/>
              </w:rPr>
              <w:t>禽流感</w:t>
            </w:r>
          </w:p>
        </w:tc>
        <w:tc>
          <w:tcPr>
            <w:tcW w:w="2164" w:type="dxa"/>
            <w:tcBorders>
              <w:tl2br w:val="nil"/>
              <w:tr2bl w:val="nil"/>
            </w:tcBorders>
            <w:shd w:val="clear" w:color="auto" w:fill="auto"/>
            <w:vAlign w:val="center"/>
          </w:tcPr>
          <w:p>
            <w:pPr>
              <w:pStyle w:val="22"/>
              <w:bidi w:val="0"/>
              <w:rPr>
                <w:rFonts w:hint="default" w:ascii="Times New Roman" w:hAnsi="Times New Roman" w:cs="Times New Roman"/>
                <w:color w:val="auto"/>
              </w:rPr>
            </w:pPr>
            <w:r>
              <w:rPr>
                <w:rFonts w:hint="default" w:ascii="Times New Roman" w:hAnsi="Times New Roman" w:cs="Times New Roman"/>
                <w:color w:val="auto"/>
                <w:lang w:val="en-US" w:eastAsia="zh-CN"/>
              </w:rPr>
              <w:t>综合实验室</w:t>
            </w:r>
          </w:p>
        </w:tc>
        <w:tc>
          <w:tcPr>
            <w:tcW w:w="2166" w:type="dxa"/>
            <w:tcBorders>
              <w:tl2br w:val="nil"/>
              <w:tr2bl w:val="nil"/>
            </w:tcBorders>
            <w:shd w:val="clear" w:color="auto" w:fill="auto"/>
            <w:vAlign w:val="center"/>
          </w:tcPr>
          <w:p>
            <w:pPr>
              <w:pStyle w:val="22"/>
              <w:bidi w:val="0"/>
              <w:rPr>
                <w:rFonts w:hint="default" w:ascii="Times New Roman" w:hAnsi="Times New Roman" w:cs="Times New Roman"/>
                <w:color w:val="auto"/>
              </w:rPr>
            </w:pPr>
            <w:r>
              <w:rPr>
                <w:rFonts w:hint="default" w:ascii="Times New Roman" w:hAnsi="Times New Roman" w:cs="Times New Roman"/>
                <w:color w:val="auto"/>
                <w:lang w:val="en-US" w:eastAsia="zh-CN"/>
              </w:rPr>
              <w:t>检测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96" w:hRule="atLeast"/>
          <w:jc w:val="center"/>
        </w:trPr>
        <w:tc>
          <w:tcPr>
            <w:tcW w:w="2164" w:type="dxa"/>
            <w:tcBorders>
              <w:tl2br w:val="nil"/>
              <w:tr2bl w:val="nil"/>
            </w:tcBorders>
            <w:shd w:val="clear" w:color="auto" w:fill="auto"/>
            <w:vAlign w:val="center"/>
          </w:tcPr>
          <w:p>
            <w:pPr>
              <w:pStyle w:val="22"/>
              <w:bidi w:val="0"/>
              <w:rPr>
                <w:rFonts w:hint="default" w:ascii="Times New Roman" w:hAnsi="Times New Roman" w:cs="Times New Roman"/>
                <w:color w:val="auto"/>
              </w:rPr>
            </w:pPr>
            <w:r>
              <w:rPr>
                <w:rFonts w:hint="default" w:ascii="Times New Roman" w:hAnsi="Times New Roman" w:cs="Times New Roman"/>
                <w:color w:val="auto"/>
                <w:lang w:val="en-US" w:eastAsia="zh-CN"/>
              </w:rPr>
              <w:t>7</w:t>
            </w:r>
          </w:p>
        </w:tc>
        <w:tc>
          <w:tcPr>
            <w:tcW w:w="2164" w:type="dxa"/>
            <w:tcBorders>
              <w:tl2br w:val="nil"/>
              <w:tr2bl w:val="nil"/>
            </w:tcBorders>
            <w:shd w:val="clear" w:color="auto" w:fill="auto"/>
            <w:vAlign w:val="center"/>
          </w:tcPr>
          <w:p>
            <w:pPr>
              <w:pStyle w:val="22"/>
              <w:bidi w:val="0"/>
              <w:rPr>
                <w:rFonts w:hint="default" w:ascii="Times New Roman" w:hAnsi="Times New Roman" w:cs="Times New Roman"/>
                <w:color w:val="auto"/>
              </w:rPr>
            </w:pPr>
            <w:r>
              <w:rPr>
                <w:rFonts w:hint="default" w:ascii="Times New Roman" w:hAnsi="Times New Roman" w:cs="Times New Roman"/>
                <w:color w:val="auto"/>
                <w:lang w:val="en-US" w:eastAsia="zh-CN"/>
              </w:rPr>
              <w:t>新冠病毒</w:t>
            </w:r>
          </w:p>
        </w:tc>
        <w:tc>
          <w:tcPr>
            <w:tcW w:w="2164" w:type="dxa"/>
            <w:tcBorders>
              <w:tl2br w:val="nil"/>
              <w:tr2bl w:val="nil"/>
            </w:tcBorders>
            <w:shd w:val="clear" w:color="auto" w:fill="auto"/>
            <w:vAlign w:val="center"/>
          </w:tcPr>
          <w:p>
            <w:pPr>
              <w:pStyle w:val="22"/>
              <w:bidi w:val="0"/>
              <w:rPr>
                <w:rFonts w:hint="default" w:ascii="Times New Roman" w:hAnsi="Times New Roman" w:cs="Times New Roman"/>
                <w:color w:val="auto"/>
              </w:rPr>
            </w:pPr>
            <w:r>
              <w:rPr>
                <w:rFonts w:hint="default" w:ascii="Times New Roman" w:hAnsi="Times New Roman" w:cs="Times New Roman"/>
                <w:color w:val="auto"/>
                <w:lang w:val="en-US" w:eastAsia="zh-CN"/>
              </w:rPr>
              <w:t>新冠筛选室</w:t>
            </w:r>
          </w:p>
        </w:tc>
        <w:tc>
          <w:tcPr>
            <w:tcW w:w="2166" w:type="dxa"/>
            <w:tcBorders>
              <w:tl2br w:val="nil"/>
              <w:tr2bl w:val="nil"/>
            </w:tcBorders>
            <w:shd w:val="clear" w:color="auto" w:fill="auto"/>
            <w:vAlign w:val="center"/>
          </w:tcPr>
          <w:p>
            <w:pPr>
              <w:pStyle w:val="22"/>
              <w:bidi w:val="0"/>
              <w:rPr>
                <w:rFonts w:hint="default" w:ascii="Times New Roman" w:hAnsi="Times New Roman" w:cs="Times New Roman"/>
                <w:color w:val="auto"/>
              </w:rPr>
            </w:pPr>
            <w:r>
              <w:rPr>
                <w:rFonts w:hint="default" w:ascii="Times New Roman" w:hAnsi="Times New Roman" w:cs="Times New Roman"/>
                <w:color w:val="auto"/>
                <w:lang w:val="en-US" w:eastAsia="zh-CN"/>
              </w:rPr>
              <w:t>检测</w:t>
            </w:r>
          </w:p>
        </w:tc>
      </w:tr>
    </w:tbl>
    <w:p>
      <w:pPr>
        <w:bidi w:val="0"/>
        <w:rPr>
          <w:rFonts w:hint="default" w:ascii="Times New Roman" w:hAnsi="Times New Roman" w:eastAsia="宋体" w:cs="Times New Roman"/>
          <w:color w:val="auto"/>
          <w:spacing w:val="-1"/>
          <w:sz w:val="24"/>
          <w:szCs w:val="24"/>
        </w:rPr>
      </w:pPr>
      <w:r>
        <w:rPr>
          <w:rFonts w:hint="default" w:ascii="Times New Roman" w:hAnsi="Times New Roman" w:eastAsia="宋体" w:cs="Times New Roman"/>
          <w:color w:val="auto"/>
          <w:spacing w:val="-1"/>
          <w:sz w:val="24"/>
          <w:szCs w:val="24"/>
        </w:rPr>
        <w:t>本项目涉及的病原微生物实验操作内容见表3.</w:t>
      </w:r>
      <w:r>
        <w:rPr>
          <w:rFonts w:hint="eastAsia" w:cs="Times New Roman"/>
          <w:color w:val="auto"/>
          <w:spacing w:val="-1"/>
          <w:sz w:val="24"/>
          <w:szCs w:val="24"/>
          <w:lang w:val="en-US" w:eastAsia="zh-CN"/>
        </w:rPr>
        <w:t>2</w:t>
      </w:r>
      <w:r>
        <w:rPr>
          <w:rFonts w:hint="default" w:ascii="Times New Roman" w:hAnsi="Times New Roman" w:eastAsia="宋体" w:cs="Times New Roman"/>
          <w:color w:val="auto"/>
          <w:spacing w:val="-1"/>
          <w:sz w:val="24"/>
          <w:szCs w:val="24"/>
        </w:rPr>
        <w:t>-4。</w:t>
      </w:r>
    </w:p>
    <w:p>
      <w:pPr>
        <w:pStyle w:val="22"/>
        <w:bidi w:val="0"/>
        <w:rPr>
          <w:rFonts w:hint="default" w:ascii="Times New Roman" w:hAnsi="Times New Roman" w:cs="Times New Roman"/>
          <w:b/>
          <w:bCs/>
          <w:color w:val="auto"/>
        </w:rPr>
      </w:pPr>
      <w:r>
        <w:rPr>
          <w:rFonts w:hint="default" w:ascii="Times New Roman" w:hAnsi="Times New Roman" w:cs="Times New Roman"/>
          <w:b/>
          <w:bCs/>
          <w:color w:val="auto"/>
        </w:rPr>
        <w:t>表3.</w:t>
      </w:r>
      <w:r>
        <w:rPr>
          <w:rFonts w:hint="eastAsia" w:cs="Times New Roman"/>
          <w:b/>
          <w:bCs/>
          <w:color w:val="auto"/>
          <w:lang w:val="en-US" w:eastAsia="zh-CN"/>
        </w:rPr>
        <w:t>2</w:t>
      </w:r>
      <w:r>
        <w:rPr>
          <w:rFonts w:hint="default" w:ascii="Times New Roman" w:hAnsi="Times New Roman" w:cs="Times New Roman"/>
          <w:b/>
          <w:bCs/>
          <w:color w:val="auto"/>
        </w:rPr>
        <w:t>-4病原微生物涉及的实验内容及实验操作</w:t>
      </w:r>
    </w:p>
    <w:tbl>
      <w:tblPr>
        <w:tblStyle w:val="23"/>
        <w:tblW w:w="852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4"/>
        <w:gridCol w:w="1604"/>
        <w:gridCol w:w="3478"/>
        <w:gridCol w:w="25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874" w:type="dxa"/>
            <w:tcBorders>
              <w:tl2br w:val="nil"/>
              <w:tr2bl w:val="nil"/>
            </w:tcBorders>
            <w:vAlign w:val="center"/>
          </w:tcPr>
          <w:p>
            <w:pPr>
              <w:pStyle w:val="22"/>
              <w:bidi w:val="0"/>
              <w:jc w:val="center"/>
              <w:rPr>
                <w:rFonts w:hint="default" w:ascii="Times New Roman" w:hAnsi="Times New Roman" w:cs="Times New Roman"/>
                <w:b/>
                <w:bCs/>
                <w:color w:val="auto"/>
              </w:rPr>
            </w:pPr>
            <w:r>
              <w:rPr>
                <w:rFonts w:hint="default" w:ascii="Times New Roman" w:hAnsi="Times New Roman" w:cs="Times New Roman"/>
                <w:b/>
                <w:bCs/>
                <w:color w:val="auto"/>
              </w:rPr>
              <w:t>序号</w:t>
            </w:r>
          </w:p>
        </w:tc>
        <w:tc>
          <w:tcPr>
            <w:tcW w:w="1604" w:type="dxa"/>
            <w:tcBorders>
              <w:tl2br w:val="nil"/>
              <w:tr2bl w:val="nil"/>
            </w:tcBorders>
            <w:vAlign w:val="center"/>
          </w:tcPr>
          <w:p>
            <w:pPr>
              <w:pStyle w:val="22"/>
              <w:bidi w:val="0"/>
              <w:jc w:val="center"/>
              <w:rPr>
                <w:rFonts w:hint="default" w:ascii="Times New Roman" w:hAnsi="Times New Roman" w:cs="Times New Roman"/>
                <w:b/>
                <w:bCs/>
                <w:color w:val="auto"/>
              </w:rPr>
            </w:pPr>
            <w:r>
              <w:rPr>
                <w:rFonts w:hint="default" w:ascii="Times New Roman" w:hAnsi="Times New Roman" w:cs="Times New Roman"/>
                <w:b/>
                <w:bCs/>
                <w:color w:val="auto"/>
              </w:rPr>
              <w:t>实验项目</w:t>
            </w:r>
          </w:p>
        </w:tc>
        <w:tc>
          <w:tcPr>
            <w:tcW w:w="3478" w:type="dxa"/>
            <w:tcBorders>
              <w:tl2br w:val="nil"/>
              <w:tr2bl w:val="nil"/>
            </w:tcBorders>
            <w:vAlign w:val="center"/>
          </w:tcPr>
          <w:p>
            <w:pPr>
              <w:pStyle w:val="22"/>
              <w:bidi w:val="0"/>
              <w:jc w:val="center"/>
              <w:rPr>
                <w:rFonts w:hint="default" w:ascii="Times New Roman" w:hAnsi="Times New Roman" w:cs="Times New Roman"/>
                <w:b/>
                <w:bCs/>
                <w:color w:val="auto"/>
              </w:rPr>
            </w:pPr>
            <w:r>
              <w:rPr>
                <w:rFonts w:hint="default" w:ascii="Times New Roman" w:hAnsi="Times New Roman" w:cs="Times New Roman"/>
                <w:b/>
                <w:bCs/>
                <w:color w:val="auto"/>
              </w:rPr>
              <w:t>实验内容</w:t>
            </w:r>
          </w:p>
        </w:tc>
        <w:tc>
          <w:tcPr>
            <w:tcW w:w="2568" w:type="dxa"/>
            <w:tcBorders>
              <w:tl2br w:val="nil"/>
              <w:tr2bl w:val="nil"/>
            </w:tcBorders>
            <w:vAlign w:val="center"/>
          </w:tcPr>
          <w:p>
            <w:pPr>
              <w:pStyle w:val="22"/>
              <w:bidi w:val="0"/>
              <w:jc w:val="center"/>
              <w:rPr>
                <w:rFonts w:hint="default" w:ascii="Times New Roman" w:hAnsi="Times New Roman" w:cs="Times New Roman"/>
                <w:b/>
                <w:bCs/>
                <w:color w:val="auto"/>
              </w:rPr>
            </w:pPr>
            <w:r>
              <w:rPr>
                <w:rFonts w:hint="default" w:ascii="Times New Roman" w:hAnsi="Times New Roman" w:cs="Times New Roman"/>
                <w:b/>
                <w:bCs/>
                <w:color w:val="auto"/>
              </w:rPr>
              <w:t>实验操作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jc w:val="center"/>
        </w:trPr>
        <w:tc>
          <w:tcPr>
            <w:tcW w:w="874" w:type="dxa"/>
            <w:tcBorders>
              <w:tl2br w:val="nil"/>
              <w:tr2bl w:val="nil"/>
            </w:tcBorders>
            <w:vAlign w:val="center"/>
          </w:tcPr>
          <w:p>
            <w:pPr>
              <w:pStyle w:val="22"/>
              <w:bidi w:val="0"/>
              <w:jc w:val="center"/>
              <w:rPr>
                <w:rFonts w:hint="default" w:ascii="Times New Roman" w:hAnsi="Times New Roman" w:cs="Times New Roman"/>
                <w:color w:val="auto"/>
              </w:rPr>
            </w:pPr>
            <w:r>
              <w:rPr>
                <w:rFonts w:hint="default" w:ascii="Times New Roman" w:hAnsi="Times New Roman" w:cs="Times New Roman"/>
                <w:color w:val="auto"/>
              </w:rPr>
              <w:t>1</w:t>
            </w:r>
          </w:p>
        </w:tc>
        <w:tc>
          <w:tcPr>
            <w:tcW w:w="1604" w:type="dxa"/>
            <w:tcBorders>
              <w:tl2br w:val="nil"/>
              <w:tr2bl w:val="nil"/>
            </w:tcBorders>
            <w:vAlign w:val="center"/>
          </w:tcPr>
          <w:p>
            <w:pPr>
              <w:pStyle w:val="22"/>
              <w:bidi w:val="0"/>
              <w:jc w:val="center"/>
              <w:rPr>
                <w:rFonts w:hint="default" w:ascii="Times New Roman" w:hAnsi="Times New Roman" w:cs="Times New Roman"/>
                <w:color w:val="auto"/>
              </w:rPr>
            </w:pPr>
            <w:r>
              <w:rPr>
                <w:rFonts w:hint="default" w:ascii="Times New Roman" w:hAnsi="Times New Roman" w:cs="Times New Roman"/>
                <w:color w:val="auto"/>
              </w:rPr>
              <w:t>结核分枝杆菌</w:t>
            </w:r>
          </w:p>
        </w:tc>
        <w:tc>
          <w:tcPr>
            <w:tcW w:w="3478" w:type="dxa"/>
            <w:tcBorders>
              <w:tl2br w:val="nil"/>
              <w:tr2bl w:val="nil"/>
            </w:tcBorders>
            <w:vAlign w:val="center"/>
          </w:tcPr>
          <w:p>
            <w:pPr>
              <w:pStyle w:val="22"/>
              <w:bidi w:val="0"/>
              <w:jc w:val="center"/>
              <w:rPr>
                <w:rFonts w:hint="default" w:ascii="Times New Roman" w:hAnsi="Times New Roman" w:cs="Times New Roman"/>
                <w:color w:val="auto"/>
              </w:rPr>
            </w:pPr>
            <w:r>
              <w:rPr>
                <w:rFonts w:hint="default" w:ascii="Times New Roman" w:hAnsi="Times New Roman" w:cs="Times New Roman"/>
                <w:color w:val="auto"/>
              </w:rPr>
              <w:t>样本的病原菌分离纯化、生化鉴定等试验检测活动</w:t>
            </w:r>
          </w:p>
        </w:tc>
        <w:tc>
          <w:tcPr>
            <w:tcW w:w="2568" w:type="dxa"/>
            <w:tcBorders>
              <w:tl2br w:val="nil"/>
              <w:tr2bl w:val="nil"/>
            </w:tcBorders>
            <w:vAlign w:val="center"/>
          </w:tcPr>
          <w:p>
            <w:pPr>
              <w:pStyle w:val="22"/>
              <w:bidi w:val="0"/>
              <w:jc w:val="center"/>
              <w:rPr>
                <w:rFonts w:hint="default" w:ascii="Times New Roman" w:hAnsi="Times New Roman" w:cs="Times New Roman"/>
                <w:color w:val="auto"/>
              </w:rPr>
            </w:pPr>
            <w:r>
              <w:rPr>
                <w:rFonts w:hint="default" w:ascii="Times New Roman" w:hAnsi="Times New Roman" w:cs="Times New Roman"/>
                <w:color w:val="auto"/>
              </w:rPr>
              <w:t>痰及其他标本的直接涂片、分离与培养、菌液的制备与稀释；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6" w:hRule="atLeast"/>
          <w:jc w:val="center"/>
        </w:trPr>
        <w:tc>
          <w:tcPr>
            <w:tcW w:w="874" w:type="dxa"/>
            <w:tcBorders>
              <w:tl2br w:val="nil"/>
              <w:tr2bl w:val="nil"/>
            </w:tcBorders>
            <w:vAlign w:val="center"/>
          </w:tcPr>
          <w:p>
            <w:pPr>
              <w:pStyle w:val="22"/>
              <w:bidi w:val="0"/>
              <w:jc w:val="center"/>
              <w:rPr>
                <w:rFonts w:hint="default" w:ascii="Times New Roman" w:hAnsi="Times New Roman" w:cs="Times New Roman"/>
                <w:color w:val="auto"/>
              </w:rPr>
            </w:pPr>
            <w:r>
              <w:rPr>
                <w:rFonts w:hint="default" w:ascii="Times New Roman" w:hAnsi="Times New Roman" w:cs="Times New Roman"/>
                <w:color w:val="auto"/>
              </w:rPr>
              <w:t>2</w:t>
            </w:r>
          </w:p>
        </w:tc>
        <w:tc>
          <w:tcPr>
            <w:tcW w:w="1604" w:type="dxa"/>
            <w:tcBorders>
              <w:tl2br w:val="nil"/>
              <w:tr2bl w:val="nil"/>
            </w:tcBorders>
            <w:vAlign w:val="center"/>
          </w:tcPr>
          <w:p>
            <w:pPr>
              <w:pStyle w:val="22"/>
              <w:bidi w:val="0"/>
              <w:jc w:val="center"/>
              <w:rPr>
                <w:rFonts w:hint="default" w:ascii="Times New Roman" w:hAnsi="Times New Roman" w:cs="Times New Roman"/>
                <w:color w:val="auto"/>
              </w:rPr>
            </w:pPr>
            <w:r>
              <w:rPr>
                <w:rFonts w:hint="default" w:ascii="Times New Roman" w:hAnsi="Times New Roman" w:cs="Times New Roman"/>
                <w:color w:val="auto"/>
              </w:rPr>
              <w:t>麻疹</w:t>
            </w:r>
          </w:p>
        </w:tc>
        <w:tc>
          <w:tcPr>
            <w:tcW w:w="3478" w:type="dxa"/>
            <w:tcBorders>
              <w:tl2br w:val="nil"/>
              <w:tr2bl w:val="nil"/>
            </w:tcBorders>
            <w:vAlign w:val="center"/>
          </w:tcPr>
          <w:p>
            <w:pPr>
              <w:pStyle w:val="22"/>
              <w:bidi w:val="0"/>
              <w:jc w:val="center"/>
              <w:rPr>
                <w:rFonts w:hint="default" w:ascii="Times New Roman" w:hAnsi="Times New Roman" w:cs="Times New Roman"/>
                <w:color w:val="auto"/>
              </w:rPr>
            </w:pPr>
            <w:r>
              <w:rPr>
                <w:rFonts w:hint="default" w:ascii="Times New Roman" w:hAnsi="Times New Roman" w:cs="Times New Roman"/>
                <w:color w:val="auto"/>
              </w:rPr>
              <w:t>样品的采集和处理检测</w:t>
            </w:r>
          </w:p>
        </w:tc>
        <w:tc>
          <w:tcPr>
            <w:tcW w:w="2568" w:type="dxa"/>
            <w:vMerge w:val="restart"/>
            <w:tcBorders>
              <w:tl2br w:val="nil"/>
              <w:tr2bl w:val="nil"/>
            </w:tcBorders>
            <w:vAlign w:val="center"/>
          </w:tcPr>
          <w:p>
            <w:pPr>
              <w:pStyle w:val="22"/>
              <w:bidi w:val="0"/>
              <w:jc w:val="center"/>
              <w:rPr>
                <w:rFonts w:hint="default" w:ascii="Times New Roman" w:hAnsi="Times New Roman" w:cs="Times New Roman"/>
                <w:color w:val="auto"/>
              </w:rPr>
            </w:pPr>
            <w:r>
              <w:rPr>
                <w:rFonts w:hint="default" w:ascii="Times New Roman" w:hAnsi="Times New Roman" w:cs="Times New Roman"/>
                <w:color w:val="auto"/>
              </w:rPr>
              <w:t>直接涂片镜检；血清实验。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874" w:type="dxa"/>
            <w:tcBorders>
              <w:tl2br w:val="nil"/>
              <w:tr2bl w:val="nil"/>
            </w:tcBorders>
            <w:vAlign w:val="center"/>
          </w:tcPr>
          <w:p>
            <w:pPr>
              <w:pStyle w:val="22"/>
              <w:bidi w:val="0"/>
              <w:jc w:val="center"/>
              <w:rPr>
                <w:rFonts w:hint="default" w:ascii="Times New Roman" w:hAnsi="Times New Roman" w:cs="Times New Roman"/>
                <w:color w:val="auto"/>
              </w:rPr>
            </w:pPr>
            <w:r>
              <w:rPr>
                <w:rFonts w:hint="default" w:ascii="Times New Roman" w:hAnsi="Times New Roman" w:cs="Times New Roman"/>
                <w:color w:val="auto"/>
              </w:rPr>
              <w:t>3</w:t>
            </w:r>
          </w:p>
        </w:tc>
        <w:tc>
          <w:tcPr>
            <w:tcW w:w="1604" w:type="dxa"/>
            <w:tcBorders>
              <w:tl2br w:val="nil"/>
              <w:tr2bl w:val="nil"/>
            </w:tcBorders>
            <w:vAlign w:val="center"/>
          </w:tcPr>
          <w:p>
            <w:pPr>
              <w:pStyle w:val="22"/>
              <w:bidi w:val="0"/>
              <w:jc w:val="center"/>
              <w:rPr>
                <w:rFonts w:hint="default" w:ascii="Times New Roman" w:hAnsi="Times New Roman" w:cs="Times New Roman"/>
                <w:color w:val="auto"/>
              </w:rPr>
            </w:pPr>
            <w:r>
              <w:rPr>
                <w:rFonts w:hint="default" w:ascii="Times New Roman" w:hAnsi="Times New Roman" w:cs="Times New Roman"/>
                <w:color w:val="auto"/>
              </w:rPr>
              <w:t>风疹</w:t>
            </w:r>
          </w:p>
        </w:tc>
        <w:tc>
          <w:tcPr>
            <w:tcW w:w="3478" w:type="dxa"/>
            <w:tcBorders>
              <w:tl2br w:val="nil"/>
              <w:tr2bl w:val="nil"/>
            </w:tcBorders>
            <w:vAlign w:val="center"/>
          </w:tcPr>
          <w:p>
            <w:pPr>
              <w:pStyle w:val="22"/>
              <w:bidi w:val="0"/>
              <w:jc w:val="center"/>
              <w:rPr>
                <w:rFonts w:hint="default" w:ascii="Times New Roman" w:hAnsi="Times New Roman" w:cs="Times New Roman"/>
                <w:color w:val="auto"/>
              </w:rPr>
            </w:pPr>
            <w:r>
              <w:rPr>
                <w:rFonts w:hint="default" w:ascii="Times New Roman" w:hAnsi="Times New Roman" w:cs="Times New Roman"/>
                <w:color w:val="auto"/>
              </w:rPr>
              <w:t>样品的采集和处理检测</w:t>
            </w:r>
          </w:p>
        </w:tc>
        <w:tc>
          <w:tcPr>
            <w:tcW w:w="2568" w:type="dxa"/>
            <w:vMerge w:val="continue"/>
            <w:tcBorders>
              <w:tl2br w:val="nil"/>
              <w:tr2bl w:val="nil"/>
            </w:tcBorders>
            <w:vAlign w:val="center"/>
          </w:tcPr>
          <w:p>
            <w:pPr>
              <w:pStyle w:val="22"/>
              <w:bidi w:val="0"/>
              <w:jc w:val="center"/>
              <w:rPr>
                <w:rFonts w:hint="default"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874" w:type="dxa"/>
            <w:tcBorders>
              <w:tl2br w:val="nil"/>
              <w:tr2bl w:val="nil"/>
            </w:tcBorders>
            <w:vAlign w:val="center"/>
          </w:tcPr>
          <w:p>
            <w:pPr>
              <w:pStyle w:val="22"/>
              <w:bidi w:val="0"/>
              <w:jc w:val="center"/>
              <w:rPr>
                <w:rFonts w:hint="default" w:ascii="Times New Roman" w:hAnsi="Times New Roman" w:cs="Times New Roman"/>
                <w:color w:val="auto"/>
              </w:rPr>
            </w:pPr>
            <w:r>
              <w:rPr>
                <w:rFonts w:hint="default" w:ascii="Times New Roman" w:hAnsi="Times New Roman" w:cs="Times New Roman"/>
                <w:color w:val="auto"/>
              </w:rPr>
              <w:t>4</w:t>
            </w:r>
          </w:p>
        </w:tc>
        <w:tc>
          <w:tcPr>
            <w:tcW w:w="1604" w:type="dxa"/>
            <w:tcBorders>
              <w:tl2br w:val="nil"/>
              <w:tr2bl w:val="nil"/>
            </w:tcBorders>
            <w:vAlign w:val="center"/>
          </w:tcPr>
          <w:p>
            <w:pPr>
              <w:pStyle w:val="22"/>
              <w:bidi w:val="0"/>
              <w:jc w:val="center"/>
              <w:rPr>
                <w:rFonts w:hint="default" w:ascii="Times New Roman" w:hAnsi="Times New Roman" w:cs="Times New Roman"/>
                <w:color w:val="auto"/>
              </w:rPr>
            </w:pPr>
            <w:r>
              <w:rPr>
                <w:rFonts w:hint="default" w:ascii="Times New Roman" w:hAnsi="Times New Roman" w:cs="Times New Roman"/>
                <w:color w:val="auto"/>
              </w:rPr>
              <w:t>流感检测</w:t>
            </w:r>
          </w:p>
        </w:tc>
        <w:tc>
          <w:tcPr>
            <w:tcW w:w="3478" w:type="dxa"/>
            <w:tcBorders>
              <w:tl2br w:val="nil"/>
              <w:tr2bl w:val="nil"/>
            </w:tcBorders>
            <w:vAlign w:val="center"/>
          </w:tcPr>
          <w:p>
            <w:pPr>
              <w:pStyle w:val="22"/>
              <w:bidi w:val="0"/>
              <w:jc w:val="center"/>
              <w:rPr>
                <w:rFonts w:hint="default" w:ascii="Times New Roman" w:hAnsi="Times New Roman" w:cs="Times New Roman"/>
                <w:color w:val="auto"/>
              </w:rPr>
            </w:pPr>
            <w:r>
              <w:rPr>
                <w:rFonts w:hint="default" w:ascii="Times New Roman" w:hAnsi="Times New Roman" w:cs="Times New Roman"/>
                <w:color w:val="auto"/>
              </w:rPr>
              <w:t>样品的采集和处理、病毒抗体检测</w:t>
            </w:r>
          </w:p>
        </w:tc>
        <w:tc>
          <w:tcPr>
            <w:tcW w:w="2568" w:type="dxa"/>
            <w:vMerge w:val="continue"/>
            <w:tcBorders>
              <w:tl2br w:val="nil"/>
              <w:tr2bl w:val="nil"/>
            </w:tcBorders>
            <w:vAlign w:val="center"/>
          </w:tcPr>
          <w:p>
            <w:pPr>
              <w:pStyle w:val="22"/>
              <w:bidi w:val="0"/>
              <w:jc w:val="center"/>
              <w:rPr>
                <w:rFonts w:hint="default"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7" w:hRule="atLeast"/>
          <w:jc w:val="center"/>
        </w:trPr>
        <w:tc>
          <w:tcPr>
            <w:tcW w:w="874" w:type="dxa"/>
            <w:tcBorders>
              <w:tl2br w:val="nil"/>
              <w:tr2bl w:val="nil"/>
            </w:tcBorders>
            <w:vAlign w:val="center"/>
          </w:tcPr>
          <w:p>
            <w:pPr>
              <w:pStyle w:val="22"/>
              <w:bidi w:val="0"/>
              <w:jc w:val="center"/>
              <w:rPr>
                <w:rFonts w:hint="default" w:ascii="Times New Roman" w:hAnsi="Times New Roman" w:cs="Times New Roman"/>
                <w:color w:val="auto"/>
              </w:rPr>
            </w:pPr>
            <w:r>
              <w:rPr>
                <w:rFonts w:hint="default" w:ascii="Times New Roman" w:hAnsi="Times New Roman" w:cs="Times New Roman"/>
                <w:color w:val="auto"/>
              </w:rPr>
              <w:t>5</w:t>
            </w:r>
          </w:p>
        </w:tc>
        <w:tc>
          <w:tcPr>
            <w:tcW w:w="1604" w:type="dxa"/>
            <w:tcBorders>
              <w:tl2br w:val="nil"/>
              <w:tr2bl w:val="nil"/>
            </w:tcBorders>
            <w:vAlign w:val="center"/>
          </w:tcPr>
          <w:p>
            <w:pPr>
              <w:pStyle w:val="22"/>
              <w:bidi w:val="0"/>
              <w:jc w:val="center"/>
              <w:rPr>
                <w:rFonts w:hint="default" w:ascii="Times New Roman" w:hAnsi="Times New Roman" w:cs="Times New Roman"/>
                <w:color w:val="auto"/>
              </w:rPr>
            </w:pPr>
            <w:r>
              <w:rPr>
                <w:rFonts w:hint="default" w:ascii="Times New Roman" w:hAnsi="Times New Roman" w:cs="Times New Roman"/>
                <w:color w:val="auto"/>
              </w:rPr>
              <w:t>手足口病</w:t>
            </w:r>
          </w:p>
        </w:tc>
        <w:tc>
          <w:tcPr>
            <w:tcW w:w="3478" w:type="dxa"/>
            <w:tcBorders>
              <w:tl2br w:val="nil"/>
              <w:tr2bl w:val="nil"/>
            </w:tcBorders>
            <w:vAlign w:val="center"/>
          </w:tcPr>
          <w:p>
            <w:pPr>
              <w:pStyle w:val="22"/>
              <w:bidi w:val="0"/>
              <w:jc w:val="center"/>
              <w:rPr>
                <w:rFonts w:hint="default" w:ascii="Times New Roman" w:hAnsi="Times New Roman" w:cs="Times New Roman"/>
                <w:color w:val="auto"/>
              </w:rPr>
            </w:pPr>
            <w:r>
              <w:rPr>
                <w:rFonts w:hint="default" w:ascii="Times New Roman" w:hAnsi="Times New Roman" w:cs="Times New Roman"/>
                <w:color w:val="auto"/>
              </w:rPr>
              <w:t>样品的采集和处理、检测</w:t>
            </w:r>
          </w:p>
        </w:tc>
        <w:tc>
          <w:tcPr>
            <w:tcW w:w="2568" w:type="dxa"/>
            <w:vMerge w:val="continue"/>
            <w:tcBorders>
              <w:tl2br w:val="nil"/>
              <w:tr2bl w:val="nil"/>
            </w:tcBorders>
            <w:vAlign w:val="center"/>
          </w:tcPr>
          <w:p>
            <w:pPr>
              <w:pStyle w:val="22"/>
              <w:bidi w:val="0"/>
              <w:jc w:val="center"/>
              <w:rPr>
                <w:rFonts w:hint="default"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874" w:type="dxa"/>
            <w:tcBorders>
              <w:tl2br w:val="nil"/>
              <w:tr2bl w:val="nil"/>
            </w:tcBorders>
            <w:vAlign w:val="center"/>
          </w:tcPr>
          <w:p>
            <w:pPr>
              <w:pStyle w:val="22"/>
              <w:bidi w:val="0"/>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6</w:t>
            </w:r>
          </w:p>
        </w:tc>
        <w:tc>
          <w:tcPr>
            <w:tcW w:w="1604" w:type="dxa"/>
            <w:tcBorders>
              <w:tl2br w:val="nil"/>
              <w:tr2bl w:val="nil"/>
            </w:tcBorders>
            <w:vAlign w:val="center"/>
          </w:tcPr>
          <w:p>
            <w:pPr>
              <w:pStyle w:val="22"/>
              <w:bidi w:val="0"/>
              <w:jc w:val="center"/>
              <w:rPr>
                <w:rFonts w:hint="default" w:ascii="Times New Roman" w:hAnsi="Times New Roman" w:cs="Times New Roman"/>
                <w:color w:val="auto"/>
              </w:rPr>
            </w:pPr>
            <w:r>
              <w:rPr>
                <w:rFonts w:hint="default" w:ascii="Times New Roman" w:hAnsi="Times New Roman" w:cs="Times New Roman"/>
                <w:color w:val="auto"/>
              </w:rPr>
              <w:t>禽流感</w:t>
            </w:r>
          </w:p>
        </w:tc>
        <w:tc>
          <w:tcPr>
            <w:tcW w:w="3478" w:type="dxa"/>
            <w:tcBorders>
              <w:tl2br w:val="nil"/>
              <w:tr2bl w:val="nil"/>
            </w:tcBorders>
            <w:vAlign w:val="center"/>
          </w:tcPr>
          <w:p>
            <w:pPr>
              <w:pStyle w:val="22"/>
              <w:bidi w:val="0"/>
              <w:jc w:val="center"/>
              <w:rPr>
                <w:rFonts w:hint="default" w:ascii="Times New Roman" w:hAnsi="Times New Roman" w:cs="Times New Roman"/>
                <w:color w:val="auto"/>
              </w:rPr>
            </w:pPr>
            <w:r>
              <w:rPr>
                <w:rFonts w:hint="default" w:ascii="Times New Roman" w:hAnsi="Times New Roman" w:cs="Times New Roman"/>
                <w:color w:val="auto"/>
              </w:rPr>
              <w:t>样品的采集和处理、病毒抗体检测</w:t>
            </w:r>
          </w:p>
        </w:tc>
        <w:tc>
          <w:tcPr>
            <w:tcW w:w="2568" w:type="dxa"/>
            <w:vMerge w:val="continue"/>
            <w:tcBorders>
              <w:tl2br w:val="nil"/>
              <w:tr2bl w:val="nil"/>
            </w:tcBorders>
            <w:vAlign w:val="center"/>
          </w:tcPr>
          <w:p>
            <w:pPr>
              <w:pStyle w:val="22"/>
              <w:bidi w:val="0"/>
              <w:jc w:val="center"/>
              <w:rPr>
                <w:rFonts w:hint="default" w:ascii="Times New Roman" w:hAnsi="Times New Roman" w:cs="Times New Roman"/>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874" w:type="dxa"/>
            <w:tcBorders>
              <w:tl2br w:val="nil"/>
              <w:tr2bl w:val="nil"/>
            </w:tcBorders>
            <w:vAlign w:val="center"/>
          </w:tcPr>
          <w:p>
            <w:pPr>
              <w:pStyle w:val="22"/>
              <w:bidi w:val="0"/>
              <w:jc w:val="center"/>
              <w:rPr>
                <w:rFonts w:hint="default" w:ascii="Times New Roman" w:hAnsi="Times New Roman" w:eastAsia="宋体" w:cs="Times New Roman"/>
                <w:color w:val="auto"/>
                <w:lang w:eastAsia="zh-CN"/>
              </w:rPr>
            </w:pPr>
            <w:r>
              <w:rPr>
                <w:rFonts w:hint="default" w:ascii="Times New Roman" w:hAnsi="Times New Roman" w:cs="Times New Roman"/>
                <w:color w:val="auto"/>
                <w:lang w:val="en-US" w:eastAsia="zh-CN"/>
              </w:rPr>
              <w:t>7</w:t>
            </w:r>
          </w:p>
        </w:tc>
        <w:tc>
          <w:tcPr>
            <w:tcW w:w="1604" w:type="dxa"/>
            <w:tcBorders>
              <w:tl2br w:val="nil"/>
              <w:tr2bl w:val="nil"/>
            </w:tcBorders>
            <w:vAlign w:val="center"/>
          </w:tcPr>
          <w:p>
            <w:pPr>
              <w:pStyle w:val="22"/>
              <w:bidi w:val="0"/>
              <w:jc w:val="center"/>
              <w:rPr>
                <w:rFonts w:hint="default" w:ascii="Times New Roman" w:hAnsi="Times New Roman" w:cs="Times New Roman"/>
                <w:color w:val="auto"/>
              </w:rPr>
            </w:pPr>
            <w:r>
              <w:rPr>
                <w:rFonts w:hint="default" w:ascii="Times New Roman" w:hAnsi="Times New Roman" w:cs="Times New Roman"/>
                <w:color w:val="auto"/>
              </w:rPr>
              <w:t>新冠病毒</w:t>
            </w:r>
          </w:p>
        </w:tc>
        <w:tc>
          <w:tcPr>
            <w:tcW w:w="3478" w:type="dxa"/>
            <w:tcBorders>
              <w:tl2br w:val="nil"/>
              <w:tr2bl w:val="nil"/>
            </w:tcBorders>
            <w:vAlign w:val="center"/>
          </w:tcPr>
          <w:p>
            <w:pPr>
              <w:pStyle w:val="22"/>
              <w:bidi w:val="0"/>
              <w:jc w:val="center"/>
              <w:rPr>
                <w:rFonts w:hint="default" w:ascii="Times New Roman" w:hAnsi="Times New Roman" w:cs="Times New Roman"/>
                <w:color w:val="auto"/>
              </w:rPr>
            </w:pPr>
            <w:r>
              <w:rPr>
                <w:rFonts w:hint="default" w:ascii="Times New Roman" w:hAnsi="Times New Roman" w:cs="Times New Roman"/>
                <w:color w:val="auto"/>
              </w:rPr>
              <w:t>样品的采集和处理、抗体检测</w:t>
            </w:r>
          </w:p>
        </w:tc>
        <w:tc>
          <w:tcPr>
            <w:tcW w:w="2568" w:type="dxa"/>
            <w:tcBorders>
              <w:tl2br w:val="nil"/>
              <w:tr2bl w:val="nil"/>
            </w:tcBorders>
            <w:vAlign w:val="center"/>
          </w:tcPr>
          <w:p>
            <w:pPr>
              <w:pStyle w:val="22"/>
              <w:bidi w:val="0"/>
              <w:jc w:val="center"/>
              <w:rPr>
                <w:rFonts w:hint="default" w:ascii="Times New Roman" w:hAnsi="Times New Roman" w:cs="Times New Roman"/>
                <w:color w:val="auto"/>
              </w:rPr>
            </w:pPr>
            <w:r>
              <w:rPr>
                <w:rFonts w:hint="default" w:ascii="Times New Roman" w:hAnsi="Times New Roman" w:cs="Times New Roman"/>
                <w:color w:val="auto"/>
              </w:rPr>
              <w:t>直接涂片镜检</w:t>
            </w:r>
          </w:p>
        </w:tc>
      </w:tr>
    </w:tbl>
    <w:p>
      <w:pPr>
        <w:bidi w:val="0"/>
        <w:rPr>
          <w:rFonts w:hint="default" w:ascii="Times New Roman" w:hAnsi="Times New Roman" w:cs="Times New Roman"/>
          <w:color w:val="auto"/>
        </w:rPr>
      </w:pPr>
      <w:r>
        <w:rPr>
          <w:rFonts w:hint="default" w:ascii="Times New Roman" w:hAnsi="Times New Roman" w:cs="Times New Roman"/>
          <w:color w:val="auto"/>
        </w:rPr>
        <w:t>按照卫生部颁发的《人间传染的病原微生物名录》中病毒和细菌的分类，本项目所涉及的病原微生物危害程度及其相关特性见表3.</w:t>
      </w:r>
      <w:r>
        <w:rPr>
          <w:rFonts w:hint="eastAsia" w:cs="Times New Roman"/>
          <w:color w:val="auto"/>
          <w:lang w:val="en-US" w:eastAsia="zh-CN"/>
        </w:rPr>
        <w:t>2</w:t>
      </w:r>
      <w:r>
        <w:rPr>
          <w:rFonts w:hint="default" w:ascii="Times New Roman" w:hAnsi="Times New Roman" w:cs="Times New Roman"/>
          <w:color w:val="auto"/>
        </w:rPr>
        <w:t>-5。</w:t>
      </w:r>
    </w:p>
    <w:p>
      <w:pPr>
        <w:pStyle w:val="22"/>
        <w:bidi w:val="0"/>
        <w:rPr>
          <w:b/>
          <w:bCs/>
          <w:color w:val="auto"/>
        </w:rPr>
      </w:pPr>
      <w:r>
        <w:rPr>
          <w:b/>
          <w:bCs/>
          <w:color w:val="auto"/>
        </w:rPr>
        <w:t>表3.</w:t>
      </w:r>
      <w:r>
        <w:rPr>
          <w:rFonts w:hint="eastAsia"/>
          <w:b/>
          <w:bCs/>
          <w:color w:val="auto"/>
          <w:lang w:val="en-US" w:eastAsia="zh-CN"/>
        </w:rPr>
        <w:t>2</w:t>
      </w:r>
      <w:r>
        <w:rPr>
          <w:b/>
          <w:bCs/>
          <w:color w:val="auto"/>
        </w:rPr>
        <w:t>-5本项目涉及的病原微生物危害性评价表</w:t>
      </w:r>
    </w:p>
    <w:tbl>
      <w:tblPr>
        <w:tblStyle w:val="23"/>
        <w:tblW w:w="85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
        <w:gridCol w:w="533"/>
        <w:gridCol w:w="2"/>
        <w:gridCol w:w="1110"/>
        <w:gridCol w:w="2"/>
        <w:gridCol w:w="1233"/>
        <w:gridCol w:w="3"/>
        <w:gridCol w:w="1059"/>
        <w:gridCol w:w="3"/>
        <w:gridCol w:w="3485"/>
        <w:gridCol w:w="1082"/>
        <w:gridCol w:w="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1246" w:hRule="atLeast"/>
          <w:jc w:val="center"/>
        </w:trPr>
        <w:tc>
          <w:tcPr>
            <w:tcW w:w="535" w:type="dxa"/>
            <w:gridSpan w:val="2"/>
            <w:tcBorders>
              <w:tl2br w:val="nil"/>
              <w:tr2bl w:val="nil"/>
            </w:tcBorders>
            <w:textDirection w:val="tbRlV"/>
            <w:vAlign w:val="center"/>
          </w:tcPr>
          <w:p>
            <w:pPr>
              <w:pStyle w:val="22"/>
              <w:bidi w:val="0"/>
              <w:jc w:val="center"/>
              <w:rPr>
                <w:b/>
                <w:bCs/>
                <w:color w:val="auto"/>
              </w:rPr>
            </w:pPr>
            <w:r>
              <w:rPr>
                <w:b/>
                <w:bCs/>
                <w:color w:val="auto"/>
              </w:rPr>
              <w:t>序号</w:t>
            </w:r>
          </w:p>
        </w:tc>
        <w:tc>
          <w:tcPr>
            <w:tcW w:w="1112" w:type="dxa"/>
            <w:gridSpan w:val="2"/>
            <w:tcBorders>
              <w:tl2br w:val="nil"/>
              <w:tr2bl w:val="nil"/>
            </w:tcBorders>
            <w:vAlign w:val="center"/>
          </w:tcPr>
          <w:p>
            <w:pPr>
              <w:pStyle w:val="22"/>
              <w:bidi w:val="0"/>
              <w:jc w:val="center"/>
              <w:rPr>
                <w:b/>
                <w:bCs/>
                <w:color w:val="auto"/>
              </w:rPr>
            </w:pPr>
            <w:r>
              <w:rPr>
                <w:b/>
                <w:bCs/>
                <w:color w:val="auto"/>
              </w:rPr>
              <w:t>名称</w:t>
            </w:r>
          </w:p>
        </w:tc>
        <w:tc>
          <w:tcPr>
            <w:tcW w:w="1236" w:type="dxa"/>
            <w:gridSpan w:val="2"/>
            <w:tcBorders>
              <w:tl2br w:val="nil"/>
              <w:tr2bl w:val="nil"/>
            </w:tcBorders>
            <w:vAlign w:val="center"/>
          </w:tcPr>
          <w:p>
            <w:pPr>
              <w:pStyle w:val="22"/>
              <w:bidi w:val="0"/>
              <w:jc w:val="center"/>
              <w:rPr>
                <w:b/>
                <w:bCs/>
                <w:color w:val="auto"/>
              </w:rPr>
            </w:pPr>
            <w:r>
              <w:rPr>
                <w:b/>
                <w:bCs/>
                <w:color w:val="auto"/>
              </w:rPr>
              <w:t>致病危害</w:t>
            </w:r>
          </w:p>
        </w:tc>
        <w:tc>
          <w:tcPr>
            <w:tcW w:w="1062" w:type="dxa"/>
            <w:gridSpan w:val="2"/>
            <w:tcBorders>
              <w:tl2br w:val="nil"/>
              <w:tr2bl w:val="nil"/>
            </w:tcBorders>
            <w:vAlign w:val="center"/>
          </w:tcPr>
          <w:p>
            <w:pPr>
              <w:pStyle w:val="22"/>
              <w:bidi w:val="0"/>
              <w:jc w:val="center"/>
              <w:rPr>
                <w:b/>
                <w:bCs/>
                <w:color w:val="auto"/>
              </w:rPr>
            </w:pPr>
            <w:r>
              <w:rPr>
                <w:b/>
                <w:bCs/>
                <w:color w:val="auto"/>
              </w:rPr>
              <w:t>感染</w:t>
            </w:r>
          </w:p>
          <w:p>
            <w:pPr>
              <w:pStyle w:val="22"/>
              <w:bidi w:val="0"/>
              <w:jc w:val="center"/>
              <w:rPr>
                <w:b/>
                <w:bCs/>
                <w:color w:val="auto"/>
              </w:rPr>
            </w:pPr>
            <w:r>
              <w:rPr>
                <w:b/>
                <w:bCs/>
                <w:color w:val="auto"/>
              </w:rPr>
              <w:t>宿主</w:t>
            </w:r>
          </w:p>
        </w:tc>
        <w:tc>
          <w:tcPr>
            <w:tcW w:w="3485" w:type="dxa"/>
            <w:tcBorders>
              <w:tl2br w:val="nil"/>
              <w:tr2bl w:val="nil"/>
            </w:tcBorders>
            <w:vAlign w:val="center"/>
          </w:tcPr>
          <w:p>
            <w:pPr>
              <w:pStyle w:val="22"/>
              <w:bidi w:val="0"/>
              <w:jc w:val="center"/>
              <w:rPr>
                <w:b/>
                <w:bCs/>
                <w:color w:val="auto"/>
              </w:rPr>
            </w:pPr>
            <w:r>
              <w:rPr>
                <w:b/>
                <w:bCs/>
                <w:color w:val="auto"/>
              </w:rPr>
              <w:t>传播途径</w:t>
            </w:r>
          </w:p>
        </w:tc>
        <w:tc>
          <w:tcPr>
            <w:tcW w:w="1085" w:type="dxa"/>
            <w:gridSpan w:val="2"/>
            <w:tcBorders>
              <w:tl2br w:val="nil"/>
              <w:tr2bl w:val="nil"/>
            </w:tcBorders>
            <w:vAlign w:val="center"/>
          </w:tcPr>
          <w:p>
            <w:pPr>
              <w:pStyle w:val="22"/>
              <w:bidi w:val="0"/>
              <w:jc w:val="center"/>
              <w:rPr>
                <w:b/>
                <w:bCs/>
                <w:color w:val="auto"/>
              </w:rPr>
            </w:pPr>
            <w:r>
              <w:rPr>
                <w:b/>
                <w:bCs/>
                <w:color w:val="auto"/>
              </w:rPr>
              <w:t>实验活动</w:t>
            </w:r>
          </w:p>
          <w:p>
            <w:pPr>
              <w:pStyle w:val="22"/>
              <w:bidi w:val="0"/>
              <w:jc w:val="center"/>
              <w:rPr>
                <w:b/>
                <w:bCs/>
                <w:color w:val="auto"/>
              </w:rPr>
            </w:pPr>
            <w:r>
              <w:rPr>
                <w:b/>
                <w:bCs/>
                <w:color w:val="auto"/>
              </w:rPr>
              <w:t>所需生物</w:t>
            </w:r>
          </w:p>
          <w:p>
            <w:pPr>
              <w:pStyle w:val="22"/>
              <w:bidi w:val="0"/>
              <w:jc w:val="center"/>
              <w:rPr>
                <w:b/>
                <w:bCs/>
                <w:color w:val="auto"/>
              </w:rPr>
            </w:pPr>
            <w:r>
              <w:rPr>
                <w:b/>
                <w:bCs/>
                <w:color w:val="auto"/>
              </w:rPr>
              <w:t>安全实验</w:t>
            </w:r>
          </w:p>
          <w:p>
            <w:pPr>
              <w:pStyle w:val="22"/>
              <w:bidi w:val="0"/>
              <w:jc w:val="center"/>
              <w:rPr>
                <w:b/>
                <w:bCs/>
                <w:color w:val="auto"/>
              </w:rPr>
            </w:pPr>
            <w:r>
              <w:rPr>
                <w:b/>
                <w:bCs/>
                <w:color w:val="auto"/>
              </w:rPr>
              <w:t>室级别</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933" w:hRule="atLeast"/>
          <w:jc w:val="center"/>
        </w:trPr>
        <w:tc>
          <w:tcPr>
            <w:tcW w:w="535" w:type="dxa"/>
            <w:gridSpan w:val="2"/>
            <w:tcBorders>
              <w:tl2br w:val="nil"/>
              <w:tr2bl w:val="nil"/>
            </w:tcBorders>
            <w:vAlign w:val="center"/>
          </w:tcPr>
          <w:p>
            <w:pPr>
              <w:pStyle w:val="22"/>
              <w:bidi w:val="0"/>
              <w:jc w:val="center"/>
              <w:rPr>
                <w:color w:val="auto"/>
              </w:rPr>
            </w:pPr>
            <w:r>
              <w:rPr>
                <w:color w:val="auto"/>
              </w:rPr>
              <w:t>1</w:t>
            </w:r>
          </w:p>
        </w:tc>
        <w:tc>
          <w:tcPr>
            <w:tcW w:w="1112" w:type="dxa"/>
            <w:gridSpan w:val="2"/>
            <w:tcBorders>
              <w:tl2br w:val="nil"/>
              <w:tr2bl w:val="nil"/>
            </w:tcBorders>
            <w:vAlign w:val="center"/>
          </w:tcPr>
          <w:p>
            <w:pPr>
              <w:pStyle w:val="22"/>
              <w:bidi w:val="0"/>
              <w:jc w:val="center"/>
              <w:rPr>
                <w:color w:val="auto"/>
              </w:rPr>
            </w:pPr>
            <w:r>
              <w:rPr>
                <w:color w:val="auto"/>
              </w:rPr>
              <w:t>结核分枝杆菌</w:t>
            </w:r>
          </w:p>
        </w:tc>
        <w:tc>
          <w:tcPr>
            <w:tcW w:w="1236" w:type="dxa"/>
            <w:gridSpan w:val="2"/>
            <w:tcBorders>
              <w:tl2br w:val="nil"/>
              <w:tr2bl w:val="nil"/>
            </w:tcBorders>
            <w:vAlign w:val="center"/>
          </w:tcPr>
          <w:p>
            <w:pPr>
              <w:pStyle w:val="22"/>
              <w:bidi w:val="0"/>
              <w:jc w:val="center"/>
              <w:rPr>
                <w:color w:val="auto"/>
              </w:rPr>
            </w:pPr>
            <w:r>
              <w:rPr>
                <w:color w:val="auto"/>
              </w:rPr>
              <w:t>第二类</w:t>
            </w:r>
          </w:p>
        </w:tc>
        <w:tc>
          <w:tcPr>
            <w:tcW w:w="1062" w:type="dxa"/>
            <w:gridSpan w:val="2"/>
            <w:tcBorders>
              <w:tl2br w:val="nil"/>
              <w:tr2bl w:val="nil"/>
            </w:tcBorders>
            <w:vAlign w:val="center"/>
          </w:tcPr>
          <w:p>
            <w:pPr>
              <w:pStyle w:val="22"/>
              <w:bidi w:val="0"/>
              <w:jc w:val="center"/>
              <w:rPr>
                <w:color w:val="auto"/>
              </w:rPr>
            </w:pPr>
            <w:r>
              <w:rPr>
                <w:color w:val="auto"/>
              </w:rPr>
              <w:t>人、动物</w:t>
            </w:r>
          </w:p>
        </w:tc>
        <w:tc>
          <w:tcPr>
            <w:tcW w:w="3485" w:type="dxa"/>
            <w:tcBorders>
              <w:tl2br w:val="nil"/>
              <w:tr2bl w:val="nil"/>
            </w:tcBorders>
            <w:vAlign w:val="center"/>
          </w:tcPr>
          <w:p>
            <w:pPr>
              <w:pStyle w:val="22"/>
              <w:bidi w:val="0"/>
              <w:jc w:val="center"/>
              <w:rPr>
                <w:color w:val="auto"/>
              </w:rPr>
            </w:pPr>
            <w:r>
              <w:rPr>
                <w:color w:val="auto"/>
              </w:rPr>
              <w:t>呼吸道、消化道和受损皮肤侵入易感</w:t>
            </w:r>
          </w:p>
          <w:p>
            <w:pPr>
              <w:pStyle w:val="22"/>
              <w:bidi w:val="0"/>
              <w:jc w:val="center"/>
              <w:rPr>
                <w:color w:val="auto"/>
              </w:rPr>
            </w:pPr>
            <w:r>
              <w:rPr>
                <w:color w:val="auto"/>
              </w:rPr>
              <w:t>机体，引起各种组织和器官的结核</w:t>
            </w:r>
            <w:r>
              <w:rPr>
                <w:rFonts w:hint="eastAsia"/>
                <w:color w:val="auto"/>
                <w:lang w:val="en-US" w:eastAsia="zh-CN"/>
              </w:rPr>
              <w:t>病</w:t>
            </w:r>
          </w:p>
        </w:tc>
        <w:tc>
          <w:tcPr>
            <w:tcW w:w="1085" w:type="dxa"/>
            <w:gridSpan w:val="2"/>
            <w:tcBorders>
              <w:tl2br w:val="nil"/>
              <w:tr2bl w:val="nil"/>
            </w:tcBorders>
            <w:vAlign w:val="center"/>
          </w:tcPr>
          <w:p>
            <w:pPr>
              <w:pStyle w:val="22"/>
              <w:bidi w:val="0"/>
              <w:jc w:val="center"/>
              <w:rPr>
                <w:color w:val="auto"/>
              </w:rPr>
            </w:pPr>
            <w:r>
              <w:rPr>
                <w:color w:val="auto"/>
              </w:rPr>
              <w:t>BSL-2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2" w:type="dxa"/>
          <w:trHeight w:val="336" w:hRule="atLeast"/>
          <w:jc w:val="center"/>
        </w:trPr>
        <w:tc>
          <w:tcPr>
            <w:tcW w:w="535" w:type="dxa"/>
            <w:gridSpan w:val="2"/>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2</w:t>
            </w:r>
          </w:p>
        </w:tc>
        <w:tc>
          <w:tcPr>
            <w:tcW w:w="1112" w:type="dxa"/>
            <w:gridSpan w:val="2"/>
            <w:tcBorders>
              <w:tl2br w:val="nil"/>
              <w:tr2bl w:val="nil"/>
            </w:tcBorders>
            <w:vAlign w:val="center"/>
          </w:tcPr>
          <w:p>
            <w:pPr>
              <w:pStyle w:val="22"/>
              <w:bidi w:val="0"/>
              <w:jc w:val="center"/>
              <w:rPr>
                <w:color w:val="auto"/>
              </w:rPr>
            </w:pPr>
            <w:r>
              <w:rPr>
                <w:color w:val="auto"/>
              </w:rPr>
              <w:t>新冠病毒</w:t>
            </w:r>
          </w:p>
        </w:tc>
        <w:tc>
          <w:tcPr>
            <w:tcW w:w="1236" w:type="dxa"/>
            <w:gridSpan w:val="2"/>
            <w:tcBorders>
              <w:tl2br w:val="nil"/>
              <w:tr2bl w:val="nil"/>
            </w:tcBorders>
            <w:vAlign w:val="center"/>
          </w:tcPr>
          <w:p>
            <w:pPr>
              <w:pStyle w:val="22"/>
              <w:bidi w:val="0"/>
              <w:jc w:val="center"/>
              <w:rPr>
                <w:color w:val="auto"/>
              </w:rPr>
            </w:pPr>
            <w:r>
              <w:rPr>
                <w:color w:val="auto"/>
              </w:rPr>
              <w:t>第二类</w:t>
            </w:r>
          </w:p>
        </w:tc>
        <w:tc>
          <w:tcPr>
            <w:tcW w:w="1062" w:type="dxa"/>
            <w:gridSpan w:val="2"/>
            <w:tcBorders>
              <w:tl2br w:val="nil"/>
              <w:tr2bl w:val="nil"/>
            </w:tcBorders>
            <w:vAlign w:val="center"/>
          </w:tcPr>
          <w:p>
            <w:pPr>
              <w:pStyle w:val="22"/>
              <w:bidi w:val="0"/>
              <w:jc w:val="center"/>
              <w:rPr>
                <w:color w:val="auto"/>
              </w:rPr>
            </w:pPr>
            <w:r>
              <w:rPr>
                <w:color w:val="auto"/>
              </w:rPr>
              <w:t>人</w:t>
            </w:r>
          </w:p>
        </w:tc>
        <w:tc>
          <w:tcPr>
            <w:tcW w:w="3485" w:type="dxa"/>
            <w:tcBorders>
              <w:tl2br w:val="nil"/>
              <w:tr2bl w:val="nil"/>
            </w:tcBorders>
            <w:vAlign w:val="center"/>
          </w:tcPr>
          <w:p>
            <w:pPr>
              <w:pStyle w:val="22"/>
              <w:bidi w:val="0"/>
              <w:jc w:val="center"/>
              <w:rPr>
                <w:color w:val="auto"/>
              </w:rPr>
            </w:pPr>
            <w:r>
              <w:rPr>
                <w:color w:val="auto"/>
              </w:rPr>
              <w:t>呼吸道飞沫传播和接触传播</w:t>
            </w:r>
          </w:p>
        </w:tc>
        <w:tc>
          <w:tcPr>
            <w:tcW w:w="1085" w:type="dxa"/>
            <w:gridSpan w:val="2"/>
            <w:tcBorders>
              <w:tl2br w:val="nil"/>
              <w:tr2bl w:val="nil"/>
            </w:tcBorders>
            <w:vAlign w:val="center"/>
          </w:tcPr>
          <w:p>
            <w:pPr>
              <w:pStyle w:val="22"/>
              <w:bidi w:val="0"/>
              <w:jc w:val="center"/>
              <w:rPr>
                <w:color w:val="auto"/>
              </w:rPr>
            </w:pPr>
            <w:r>
              <w:rPr>
                <w:color w:val="auto"/>
              </w:rPr>
              <w:t>BSL-2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dxa"/>
          <w:trHeight w:val="320" w:hRule="atLeast"/>
          <w:jc w:val="center"/>
        </w:trPr>
        <w:tc>
          <w:tcPr>
            <w:tcW w:w="535" w:type="dxa"/>
            <w:gridSpan w:val="2"/>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3</w:t>
            </w:r>
          </w:p>
        </w:tc>
        <w:tc>
          <w:tcPr>
            <w:tcW w:w="1112" w:type="dxa"/>
            <w:gridSpan w:val="2"/>
            <w:tcBorders>
              <w:tl2br w:val="nil"/>
              <w:tr2bl w:val="nil"/>
            </w:tcBorders>
            <w:vAlign w:val="center"/>
          </w:tcPr>
          <w:p>
            <w:pPr>
              <w:pStyle w:val="22"/>
              <w:bidi w:val="0"/>
              <w:jc w:val="center"/>
              <w:rPr>
                <w:color w:val="auto"/>
              </w:rPr>
            </w:pPr>
            <w:r>
              <w:rPr>
                <w:color w:val="auto"/>
              </w:rPr>
              <w:t>麻疹</w:t>
            </w:r>
          </w:p>
        </w:tc>
        <w:tc>
          <w:tcPr>
            <w:tcW w:w="1235" w:type="dxa"/>
            <w:gridSpan w:val="2"/>
            <w:tcBorders>
              <w:tl2br w:val="nil"/>
              <w:tr2bl w:val="nil"/>
            </w:tcBorders>
            <w:vAlign w:val="center"/>
          </w:tcPr>
          <w:p>
            <w:pPr>
              <w:pStyle w:val="22"/>
              <w:bidi w:val="0"/>
              <w:jc w:val="center"/>
              <w:rPr>
                <w:color w:val="auto"/>
              </w:rPr>
            </w:pPr>
            <w:r>
              <w:rPr>
                <w:color w:val="auto"/>
              </w:rPr>
              <w:t>第三类</w:t>
            </w:r>
          </w:p>
        </w:tc>
        <w:tc>
          <w:tcPr>
            <w:tcW w:w="1062" w:type="dxa"/>
            <w:gridSpan w:val="2"/>
            <w:tcBorders>
              <w:tl2br w:val="nil"/>
              <w:tr2bl w:val="nil"/>
            </w:tcBorders>
            <w:vAlign w:val="center"/>
          </w:tcPr>
          <w:p>
            <w:pPr>
              <w:pStyle w:val="22"/>
              <w:bidi w:val="0"/>
              <w:jc w:val="center"/>
              <w:rPr>
                <w:color w:val="auto"/>
              </w:rPr>
            </w:pPr>
            <w:r>
              <w:rPr>
                <w:color w:val="auto"/>
              </w:rPr>
              <w:t>人</w:t>
            </w:r>
          </w:p>
        </w:tc>
        <w:tc>
          <w:tcPr>
            <w:tcW w:w="3488" w:type="dxa"/>
            <w:gridSpan w:val="2"/>
            <w:tcBorders>
              <w:tl2br w:val="nil"/>
              <w:tr2bl w:val="nil"/>
            </w:tcBorders>
            <w:vAlign w:val="center"/>
          </w:tcPr>
          <w:p>
            <w:pPr>
              <w:pStyle w:val="22"/>
              <w:bidi w:val="0"/>
              <w:jc w:val="center"/>
              <w:rPr>
                <w:color w:val="auto"/>
              </w:rPr>
            </w:pPr>
            <w:r>
              <w:rPr>
                <w:color w:val="auto"/>
              </w:rPr>
              <w:t>飞沫直接传播</w:t>
            </w:r>
          </w:p>
        </w:tc>
        <w:tc>
          <w:tcPr>
            <w:tcW w:w="1082" w:type="dxa"/>
            <w:tcBorders>
              <w:tl2br w:val="nil"/>
              <w:tr2bl w:val="nil"/>
            </w:tcBorders>
            <w:vAlign w:val="center"/>
          </w:tcPr>
          <w:p>
            <w:pPr>
              <w:pStyle w:val="22"/>
              <w:bidi w:val="0"/>
              <w:jc w:val="center"/>
              <w:rPr>
                <w:color w:val="auto"/>
              </w:rPr>
            </w:pPr>
            <w:r>
              <w:rPr>
                <w:color w:val="auto"/>
              </w:rPr>
              <w:t>BSL-2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dxa"/>
          <w:trHeight w:val="316" w:hRule="atLeast"/>
          <w:jc w:val="center"/>
        </w:trPr>
        <w:tc>
          <w:tcPr>
            <w:tcW w:w="535" w:type="dxa"/>
            <w:gridSpan w:val="2"/>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4</w:t>
            </w:r>
          </w:p>
        </w:tc>
        <w:tc>
          <w:tcPr>
            <w:tcW w:w="1112" w:type="dxa"/>
            <w:gridSpan w:val="2"/>
            <w:tcBorders>
              <w:tl2br w:val="nil"/>
              <w:tr2bl w:val="nil"/>
            </w:tcBorders>
            <w:vAlign w:val="center"/>
          </w:tcPr>
          <w:p>
            <w:pPr>
              <w:pStyle w:val="22"/>
              <w:bidi w:val="0"/>
              <w:jc w:val="center"/>
              <w:rPr>
                <w:color w:val="auto"/>
              </w:rPr>
            </w:pPr>
            <w:r>
              <w:rPr>
                <w:color w:val="auto"/>
              </w:rPr>
              <w:t>风疹</w:t>
            </w:r>
          </w:p>
        </w:tc>
        <w:tc>
          <w:tcPr>
            <w:tcW w:w="1235" w:type="dxa"/>
            <w:gridSpan w:val="2"/>
            <w:tcBorders>
              <w:tl2br w:val="nil"/>
              <w:tr2bl w:val="nil"/>
            </w:tcBorders>
            <w:vAlign w:val="center"/>
          </w:tcPr>
          <w:p>
            <w:pPr>
              <w:pStyle w:val="22"/>
              <w:bidi w:val="0"/>
              <w:jc w:val="center"/>
              <w:rPr>
                <w:color w:val="auto"/>
              </w:rPr>
            </w:pPr>
            <w:r>
              <w:rPr>
                <w:color w:val="auto"/>
              </w:rPr>
              <w:t>第三类</w:t>
            </w:r>
          </w:p>
        </w:tc>
        <w:tc>
          <w:tcPr>
            <w:tcW w:w="1062" w:type="dxa"/>
            <w:gridSpan w:val="2"/>
            <w:tcBorders>
              <w:tl2br w:val="nil"/>
              <w:tr2bl w:val="nil"/>
            </w:tcBorders>
            <w:vAlign w:val="center"/>
          </w:tcPr>
          <w:p>
            <w:pPr>
              <w:pStyle w:val="22"/>
              <w:bidi w:val="0"/>
              <w:jc w:val="center"/>
              <w:rPr>
                <w:color w:val="auto"/>
              </w:rPr>
            </w:pPr>
            <w:r>
              <w:rPr>
                <w:color w:val="auto"/>
              </w:rPr>
              <w:t>人</w:t>
            </w:r>
          </w:p>
        </w:tc>
        <w:tc>
          <w:tcPr>
            <w:tcW w:w="3488" w:type="dxa"/>
            <w:gridSpan w:val="2"/>
            <w:tcBorders>
              <w:tl2br w:val="nil"/>
              <w:tr2bl w:val="nil"/>
            </w:tcBorders>
            <w:vAlign w:val="center"/>
          </w:tcPr>
          <w:p>
            <w:pPr>
              <w:pStyle w:val="22"/>
              <w:bidi w:val="0"/>
              <w:jc w:val="center"/>
              <w:rPr>
                <w:color w:val="auto"/>
              </w:rPr>
            </w:pPr>
            <w:r>
              <w:rPr>
                <w:color w:val="auto"/>
              </w:rPr>
              <w:t>飞沫直接传播</w:t>
            </w:r>
          </w:p>
        </w:tc>
        <w:tc>
          <w:tcPr>
            <w:tcW w:w="1082" w:type="dxa"/>
            <w:tcBorders>
              <w:tl2br w:val="nil"/>
              <w:tr2bl w:val="nil"/>
            </w:tcBorders>
            <w:vAlign w:val="center"/>
          </w:tcPr>
          <w:p>
            <w:pPr>
              <w:pStyle w:val="22"/>
              <w:bidi w:val="0"/>
              <w:jc w:val="center"/>
              <w:rPr>
                <w:color w:val="auto"/>
              </w:rPr>
            </w:pPr>
            <w:r>
              <w:rPr>
                <w:color w:val="auto"/>
              </w:rPr>
              <w:t>BSL-2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dxa"/>
          <w:trHeight w:val="316" w:hRule="atLeast"/>
          <w:jc w:val="center"/>
        </w:trPr>
        <w:tc>
          <w:tcPr>
            <w:tcW w:w="535" w:type="dxa"/>
            <w:gridSpan w:val="2"/>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5</w:t>
            </w:r>
          </w:p>
        </w:tc>
        <w:tc>
          <w:tcPr>
            <w:tcW w:w="1112" w:type="dxa"/>
            <w:gridSpan w:val="2"/>
            <w:tcBorders>
              <w:tl2br w:val="nil"/>
              <w:tr2bl w:val="nil"/>
            </w:tcBorders>
            <w:vAlign w:val="center"/>
          </w:tcPr>
          <w:p>
            <w:pPr>
              <w:pStyle w:val="22"/>
              <w:bidi w:val="0"/>
              <w:jc w:val="center"/>
              <w:rPr>
                <w:color w:val="auto"/>
              </w:rPr>
            </w:pPr>
            <w:r>
              <w:rPr>
                <w:color w:val="auto"/>
              </w:rPr>
              <w:t>流感检测</w:t>
            </w:r>
          </w:p>
        </w:tc>
        <w:tc>
          <w:tcPr>
            <w:tcW w:w="1235" w:type="dxa"/>
            <w:gridSpan w:val="2"/>
            <w:tcBorders>
              <w:tl2br w:val="nil"/>
              <w:tr2bl w:val="nil"/>
            </w:tcBorders>
            <w:vAlign w:val="center"/>
          </w:tcPr>
          <w:p>
            <w:pPr>
              <w:pStyle w:val="22"/>
              <w:bidi w:val="0"/>
              <w:jc w:val="center"/>
              <w:rPr>
                <w:color w:val="auto"/>
              </w:rPr>
            </w:pPr>
            <w:r>
              <w:rPr>
                <w:color w:val="auto"/>
              </w:rPr>
              <w:t>第三类</w:t>
            </w:r>
          </w:p>
        </w:tc>
        <w:tc>
          <w:tcPr>
            <w:tcW w:w="1062" w:type="dxa"/>
            <w:gridSpan w:val="2"/>
            <w:tcBorders>
              <w:tl2br w:val="nil"/>
              <w:tr2bl w:val="nil"/>
            </w:tcBorders>
            <w:vAlign w:val="center"/>
          </w:tcPr>
          <w:p>
            <w:pPr>
              <w:pStyle w:val="22"/>
              <w:bidi w:val="0"/>
              <w:jc w:val="center"/>
              <w:rPr>
                <w:color w:val="auto"/>
              </w:rPr>
            </w:pPr>
            <w:r>
              <w:rPr>
                <w:color w:val="auto"/>
              </w:rPr>
              <w:t>人、动物</w:t>
            </w:r>
          </w:p>
        </w:tc>
        <w:tc>
          <w:tcPr>
            <w:tcW w:w="3488" w:type="dxa"/>
            <w:gridSpan w:val="2"/>
            <w:tcBorders>
              <w:tl2br w:val="nil"/>
              <w:tr2bl w:val="nil"/>
            </w:tcBorders>
            <w:vAlign w:val="center"/>
          </w:tcPr>
          <w:p>
            <w:pPr>
              <w:pStyle w:val="22"/>
              <w:bidi w:val="0"/>
              <w:jc w:val="center"/>
              <w:rPr>
                <w:color w:val="auto"/>
              </w:rPr>
            </w:pPr>
            <w:r>
              <w:rPr>
                <w:color w:val="auto"/>
              </w:rPr>
              <w:t>呼吸道</w:t>
            </w:r>
          </w:p>
        </w:tc>
        <w:tc>
          <w:tcPr>
            <w:tcW w:w="1082" w:type="dxa"/>
            <w:tcBorders>
              <w:tl2br w:val="nil"/>
              <w:tr2bl w:val="nil"/>
            </w:tcBorders>
            <w:vAlign w:val="center"/>
          </w:tcPr>
          <w:p>
            <w:pPr>
              <w:pStyle w:val="22"/>
              <w:bidi w:val="0"/>
              <w:jc w:val="center"/>
              <w:rPr>
                <w:color w:val="auto"/>
              </w:rPr>
            </w:pPr>
            <w:r>
              <w:rPr>
                <w:color w:val="auto"/>
              </w:rPr>
              <w:t>BSL-2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dxa"/>
          <w:trHeight w:val="316" w:hRule="atLeast"/>
          <w:jc w:val="center"/>
        </w:trPr>
        <w:tc>
          <w:tcPr>
            <w:tcW w:w="535" w:type="dxa"/>
            <w:gridSpan w:val="2"/>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6</w:t>
            </w:r>
          </w:p>
        </w:tc>
        <w:tc>
          <w:tcPr>
            <w:tcW w:w="1112" w:type="dxa"/>
            <w:gridSpan w:val="2"/>
            <w:tcBorders>
              <w:tl2br w:val="nil"/>
              <w:tr2bl w:val="nil"/>
            </w:tcBorders>
            <w:vAlign w:val="center"/>
          </w:tcPr>
          <w:p>
            <w:pPr>
              <w:pStyle w:val="22"/>
              <w:bidi w:val="0"/>
              <w:jc w:val="center"/>
              <w:rPr>
                <w:color w:val="auto"/>
              </w:rPr>
            </w:pPr>
            <w:r>
              <w:rPr>
                <w:color w:val="auto"/>
              </w:rPr>
              <w:t>禽流感</w:t>
            </w:r>
          </w:p>
        </w:tc>
        <w:tc>
          <w:tcPr>
            <w:tcW w:w="1235" w:type="dxa"/>
            <w:gridSpan w:val="2"/>
            <w:tcBorders>
              <w:tl2br w:val="nil"/>
              <w:tr2bl w:val="nil"/>
            </w:tcBorders>
            <w:vAlign w:val="center"/>
          </w:tcPr>
          <w:p>
            <w:pPr>
              <w:pStyle w:val="22"/>
              <w:bidi w:val="0"/>
              <w:jc w:val="center"/>
              <w:rPr>
                <w:color w:val="auto"/>
              </w:rPr>
            </w:pPr>
            <w:r>
              <w:rPr>
                <w:color w:val="auto"/>
              </w:rPr>
              <w:t>第三类</w:t>
            </w:r>
          </w:p>
        </w:tc>
        <w:tc>
          <w:tcPr>
            <w:tcW w:w="1062" w:type="dxa"/>
            <w:gridSpan w:val="2"/>
            <w:tcBorders>
              <w:tl2br w:val="nil"/>
              <w:tr2bl w:val="nil"/>
            </w:tcBorders>
            <w:vAlign w:val="center"/>
          </w:tcPr>
          <w:p>
            <w:pPr>
              <w:pStyle w:val="22"/>
              <w:bidi w:val="0"/>
              <w:jc w:val="center"/>
              <w:rPr>
                <w:color w:val="auto"/>
              </w:rPr>
            </w:pPr>
            <w:r>
              <w:rPr>
                <w:color w:val="auto"/>
              </w:rPr>
              <w:t>人、动物</w:t>
            </w:r>
          </w:p>
        </w:tc>
        <w:tc>
          <w:tcPr>
            <w:tcW w:w="3488" w:type="dxa"/>
            <w:gridSpan w:val="2"/>
            <w:tcBorders>
              <w:tl2br w:val="nil"/>
              <w:tr2bl w:val="nil"/>
            </w:tcBorders>
            <w:vAlign w:val="center"/>
          </w:tcPr>
          <w:p>
            <w:pPr>
              <w:pStyle w:val="22"/>
              <w:bidi w:val="0"/>
              <w:jc w:val="center"/>
              <w:rPr>
                <w:color w:val="auto"/>
              </w:rPr>
            </w:pPr>
            <w:r>
              <w:rPr>
                <w:color w:val="auto"/>
              </w:rPr>
              <w:t>呼吸道，消化系统</w:t>
            </w:r>
          </w:p>
        </w:tc>
        <w:tc>
          <w:tcPr>
            <w:tcW w:w="1082" w:type="dxa"/>
            <w:tcBorders>
              <w:tl2br w:val="nil"/>
              <w:tr2bl w:val="nil"/>
            </w:tcBorders>
            <w:vAlign w:val="center"/>
          </w:tcPr>
          <w:p>
            <w:pPr>
              <w:pStyle w:val="22"/>
              <w:bidi w:val="0"/>
              <w:jc w:val="center"/>
              <w:rPr>
                <w:color w:val="auto"/>
              </w:rPr>
            </w:pPr>
            <w:r>
              <w:rPr>
                <w:color w:val="auto"/>
              </w:rPr>
              <w:t>BSL-2</w:t>
            </w:r>
          </w:p>
        </w:tc>
      </w:tr>
    </w:tbl>
    <w:p>
      <w:pPr>
        <w:bidi w:val="0"/>
        <w:rPr>
          <w:rFonts w:hint="eastAsia"/>
          <w:color w:val="auto"/>
          <w:lang w:val="en-US" w:eastAsia="zh-CN"/>
        </w:rPr>
      </w:pPr>
      <w:r>
        <w:rPr>
          <w:color w:val="auto"/>
        </w:rPr>
        <w:t>由表3.</w:t>
      </w:r>
      <w:r>
        <w:rPr>
          <w:rFonts w:hint="eastAsia"/>
          <w:color w:val="auto"/>
          <w:lang w:val="en-US" w:eastAsia="zh-CN"/>
        </w:rPr>
        <w:t>2</w:t>
      </w:r>
      <w:r>
        <w:rPr>
          <w:color w:val="auto"/>
        </w:rPr>
        <w:t>-5可知，项目涉及的各项病原微生物危害程度多为二类和三类，实验室采用消毒剂、高温高压消毒措施可满足实验要求，实验过程中产生的实验废水经处理站处理后排入城镇管网，理化实验室</w:t>
      </w:r>
      <w:r>
        <w:rPr>
          <w:rFonts w:hint="eastAsia" w:ascii="Times New Roman" w:eastAsia="宋体"/>
          <w:color w:val="auto"/>
          <w:lang w:val="en-US" w:eastAsia="zh-CN"/>
        </w:rPr>
        <w:t>经</w:t>
      </w:r>
      <w:r>
        <w:rPr>
          <w:color w:val="auto"/>
        </w:rPr>
        <w:t>集气罩收集，活性炭吸附后</w:t>
      </w:r>
      <w:r>
        <w:rPr>
          <w:rFonts w:hint="eastAsia" w:ascii="Times New Roman" w:eastAsia="宋体"/>
          <w:color w:val="auto"/>
          <w:lang w:val="en-US" w:eastAsia="zh-CN"/>
        </w:rPr>
        <w:t>经管道引至位于屋顶排放，生物实验经生物安全柜安装负压高效空气过滤器，经管道引至位于屋顶的排放</w:t>
      </w:r>
      <w:r>
        <w:rPr>
          <w:rFonts w:hint="eastAsia" w:eastAsia="宋体"/>
          <w:color w:val="auto"/>
          <w:lang w:eastAsia="zh-CN"/>
        </w:rPr>
        <w:t>。</w:t>
      </w:r>
      <w:r>
        <w:rPr>
          <w:color w:val="auto"/>
        </w:rPr>
        <w:t>并且由于本项目不涉及动物感染实验及活菌操作实验，实验活动所需实验室安全级别二级即可，因此，项目建设危害性一般。</w:t>
      </w:r>
    </w:p>
    <w:p>
      <w:pPr>
        <w:pStyle w:val="6"/>
        <w:bidi w:val="0"/>
        <w:outlineLvl w:val="1"/>
        <w:rPr>
          <w:rFonts w:hint="eastAsia"/>
          <w:color w:val="auto"/>
          <w:lang w:val="en-US" w:eastAsia="zh-CN"/>
        </w:rPr>
      </w:pPr>
      <w:bookmarkStart w:id="54" w:name="_Toc2123"/>
      <w:r>
        <w:rPr>
          <w:rFonts w:hint="eastAsia"/>
          <w:color w:val="auto"/>
          <w:lang w:val="en-US" w:eastAsia="zh-CN"/>
        </w:rPr>
        <w:t>3.2.2主要设备</w:t>
      </w:r>
      <w:bookmarkEnd w:id="54"/>
    </w:p>
    <w:p>
      <w:pPr>
        <w:pStyle w:val="22"/>
        <w:bidi w:val="0"/>
        <w:rPr>
          <w:b/>
          <w:bCs/>
          <w:color w:val="auto"/>
        </w:rPr>
      </w:pPr>
      <w:r>
        <w:rPr>
          <w:b/>
          <w:bCs/>
          <w:color w:val="auto"/>
        </w:rPr>
        <w:t>表3.</w:t>
      </w:r>
      <w:r>
        <w:rPr>
          <w:rFonts w:hint="eastAsia"/>
          <w:b/>
          <w:bCs/>
          <w:color w:val="auto"/>
          <w:lang w:val="en-US" w:eastAsia="zh-CN"/>
        </w:rPr>
        <w:t>2</w:t>
      </w:r>
      <w:r>
        <w:rPr>
          <w:b/>
          <w:bCs/>
          <w:color w:val="auto"/>
        </w:rPr>
        <w:t>-6主要设备清单一览表</w:t>
      </w:r>
    </w:p>
    <w:tbl>
      <w:tblPr>
        <w:tblStyle w:val="1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2864"/>
        <w:gridCol w:w="2209"/>
        <w:gridCol w:w="1049"/>
        <w:gridCol w:w="1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b/>
                <w:bCs/>
                <w:color w:val="auto"/>
                <w:lang w:val="en-US" w:eastAsia="zh-CN"/>
              </w:rPr>
            </w:pPr>
            <w:r>
              <w:rPr>
                <w:rFonts w:hint="eastAsia"/>
                <w:b/>
                <w:bCs/>
                <w:color w:val="auto"/>
                <w:lang w:val="en-US" w:eastAsia="zh-CN"/>
              </w:rPr>
              <w:t>序号</w:t>
            </w:r>
          </w:p>
        </w:tc>
        <w:tc>
          <w:tcPr>
            <w:tcW w:w="2864" w:type="dxa"/>
            <w:vAlign w:val="center"/>
          </w:tcPr>
          <w:p>
            <w:pPr>
              <w:pStyle w:val="22"/>
              <w:keepNext w:val="0"/>
              <w:keepLines w:val="0"/>
              <w:suppressLineNumbers w:val="0"/>
              <w:bidi w:val="0"/>
              <w:spacing w:before="0" w:beforeAutospacing="0" w:after="0" w:afterAutospacing="0"/>
              <w:ind w:left="0" w:right="0"/>
              <w:rPr>
                <w:rFonts w:hint="default"/>
                <w:b/>
                <w:bCs/>
                <w:color w:val="auto"/>
                <w:lang w:val="en-US" w:eastAsia="zh-CN"/>
              </w:rPr>
            </w:pPr>
            <w:r>
              <w:rPr>
                <w:rFonts w:hint="eastAsia"/>
                <w:b/>
                <w:bCs/>
                <w:color w:val="auto"/>
                <w:lang w:val="en-US" w:eastAsia="zh-CN"/>
              </w:rPr>
              <w:t>设备名称</w:t>
            </w:r>
          </w:p>
        </w:tc>
        <w:tc>
          <w:tcPr>
            <w:tcW w:w="2209" w:type="dxa"/>
            <w:vAlign w:val="center"/>
          </w:tcPr>
          <w:p>
            <w:pPr>
              <w:pStyle w:val="22"/>
              <w:keepNext w:val="0"/>
              <w:keepLines w:val="0"/>
              <w:suppressLineNumbers w:val="0"/>
              <w:bidi w:val="0"/>
              <w:spacing w:before="0" w:beforeAutospacing="0" w:after="0" w:afterAutospacing="0"/>
              <w:ind w:left="0" w:right="0"/>
              <w:rPr>
                <w:rFonts w:hint="default"/>
                <w:b/>
                <w:bCs/>
                <w:color w:val="auto"/>
                <w:lang w:val="en-US" w:eastAsia="zh-CN"/>
              </w:rPr>
            </w:pPr>
            <w:r>
              <w:rPr>
                <w:rFonts w:hint="eastAsia"/>
                <w:b/>
                <w:bCs/>
                <w:color w:val="auto"/>
                <w:lang w:val="en-US" w:eastAsia="zh-CN"/>
              </w:rPr>
              <w:t>型号</w:t>
            </w:r>
          </w:p>
        </w:tc>
        <w:tc>
          <w:tcPr>
            <w:tcW w:w="1049" w:type="dxa"/>
            <w:vAlign w:val="center"/>
          </w:tcPr>
          <w:p>
            <w:pPr>
              <w:pStyle w:val="22"/>
              <w:keepNext w:val="0"/>
              <w:keepLines w:val="0"/>
              <w:suppressLineNumbers w:val="0"/>
              <w:bidi w:val="0"/>
              <w:spacing w:before="0" w:beforeAutospacing="0" w:after="0" w:afterAutospacing="0"/>
              <w:ind w:left="0" w:right="0"/>
              <w:rPr>
                <w:rFonts w:hint="default"/>
                <w:b/>
                <w:bCs/>
                <w:color w:val="auto"/>
                <w:lang w:val="en-US" w:eastAsia="zh-CN"/>
              </w:rPr>
            </w:pPr>
            <w:r>
              <w:rPr>
                <w:rFonts w:hint="eastAsia"/>
                <w:b/>
                <w:bCs/>
                <w:color w:val="auto"/>
                <w:lang w:val="en-US" w:eastAsia="zh-CN"/>
              </w:rPr>
              <w:t>数量</w:t>
            </w:r>
          </w:p>
        </w:tc>
        <w:tc>
          <w:tcPr>
            <w:tcW w:w="1705" w:type="dxa"/>
            <w:vAlign w:val="center"/>
          </w:tcPr>
          <w:p>
            <w:pPr>
              <w:pStyle w:val="22"/>
              <w:keepNext w:val="0"/>
              <w:keepLines w:val="0"/>
              <w:suppressLineNumbers w:val="0"/>
              <w:bidi w:val="0"/>
              <w:spacing w:before="0" w:beforeAutospacing="0" w:after="0" w:afterAutospacing="0"/>
              <w:ind w:left="0" w:right="0"/>
              <w:rPr>
                <w:rFonts w:hint="default"/>
                <w:b/>
                <w:bCs/>
                <w:color w:val="auto"/>
                <w:lang w:val="en-US" w:eastAsia="zh-CN"/>
              </w:rPr>
            </w:pPr>
            <w:r>
              <w:rPr>
                <w:rFonts w:hint="eastAsia"/>
                <w:b/>
                <w:bCs/>
                <w:color w:val="auto"/>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w:t>
            </w:r>
          </w:p>
        </w:tc>
        <w:tc>
          <w:tcPr>
            <w:tcW w:w="2864"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核酸提取仪</w:t>
            </w:r>
          </w:p>
        </w:tc>
        <w:tc>
          <w:tcPr>
            <w:tcW w:w="2209"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BK-HS32</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PCR实验室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2</w:t>
            </w:r>
          </w:p>
        </w:tc>
        <w:tc>
          <w:tcPr>
            <w:tcW w:w="2864"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生物安全柜</w:t>
            </w:r>
          </w:p>
        </w:tc>
        <w:tc>
          <w:tcPr>
            <w:tcW w:w="2209"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BSC-3FB2</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PCR实验室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3</w:t>
            </w:r>
          </w:p>
        </w:tc>
        <w:tc>
          <w:tcPr>
            <w:tcW w:w="2864"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全自动医用</w:t>
            </w:r>
            <w:r>
              <w:rPr>
                <w:rFonts w:hint="default"/>
                <w:color w:val="auto"/>
                <w:lang w:val="en-US" w:eastAsia="zh-CN"/>
              </w:rPr>
              <w:t>PCR</w:t>
            </w:r>
            <w:r>
              <w:rPr>
                <w:rFonts w:hint="eastAsia"/>
                <w:color w:val="auto"/>
                <w:lang w:val="en-US" w:eastAsia="zh-CN"/>
              </w:rPr>
              <w:t>分析系统</w:t>
            </w:r>
          </w:p>
        </w:tc>
        <w:tc>
          <w:tcPr>
            <w:tcW w:w="2209"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Lepgen-96</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PCR实验室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4</w:t>
            </w:r>
          </w:p>
        </w:tc>
        <w:tc>
          <w:tcPr>
            <w:tcW w:w="2864"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洁净工作台</w:t>
            </w:r>
          </w:p>
        </w:tc>
        <w:tc>
          <w:tcPr>
            <w:tcW w:w="2209"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lang w:val="en-US" w:eastAsia="zh-CN"/>
              </w:rPr>
              <w:t>JBCJ-V1500U</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PCR实验室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5</w:t>
            </w:r>
          </w:p>
        </w:tc>
        <w:tc>
          <w:tcPr>
            <w:tcW w:w="2864"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医用冷藏箱</w:t>
            </w:r>
          </w:p>
        </w:tc>
        <w:tc>
          <w:tcPr>
            <w:tcW w:w="2209"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BYC-310</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PCR实验室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6</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auto"/>
              </w:rPr>
            </w:pPr>
            <w:r>
              <w:rPr>
                <w:rFonts w:hint="default"/>
                <w:color w:val="auto"/>
              </w:rPr>
              <w:t>医用低温箱</w:t>
            </w:r>
            <w:r>
              <w:rPr>
                <w:rFonts w:hint="eastAsia"/>
                <w:color w:val="auto"/>
                <w:lang w:eastAsia="zh-CN"/>
              </w:rPr>
              <w:t>－</w:t>
            </w:r>
            <w:r>
              <w:rPr>
                <w:rFonts w:hint="default"/>
                <w:color w:val="auto"/>
              </w:rPr>
              <w:t>25℃</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auto"/>
              </w:rPr>
            </w:pPr>
            <w:r>
              <w:rPr>
                <w:rFonts w:hint="default"/>
                <w:color w:val="auto"/>
              </w:rPr>
              <w:t>DW-YL270</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PCR实验室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7</w:t>
            </w:r>
          </w:p>
        </w:tc>
        <w:tc>
          <w:tcPr>
            <w:tcW w:w="2864"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移动式紫外杀菌车</w:t>
            </w:r>
          </w:p>
        </w:tc>
        <w:tc>
          <w:tcPr>
            <w:tcW w:w="2209"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FY-30DC</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2</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PCR实验室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8</w:t>
            </w:r>
          </w:p>
        </w:tc>
        <w:tc>
          <w:tcPr>
            <w:tcW w:w="2864"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移液器</w:t>
            </w:r>
          </w:p>
        </w:tc>
        <w:tc>
          <w:tcPr>
            <w:tcW w:w="2209"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default"/>
                <w:color w:val="auto"/>
              </w:rPr>
              <w:t>(0.5-10ul，5-50ul，50-300ul)</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4</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PCR实验室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9</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auto"/>
              </w:rPr>
            </w:pPr>
            <w:r>
              <w:rPr>
                <w:rFonts w:hint="default"/>
                <w:color w:val="auto"/>
              </w:rPr>
              <w:t>迷你离心机</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auto"/>
              </w:rPr>
            </w:pPr>
            <w:r>
              <w:rPr>
                <w:rFonts w:hint="default"/>
                <w:color w:val="auto"/>
              </w:rPr>
              <w:t>Mini-12</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PCR实验室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10</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auto"/>
              </w:rPr>
            </w:pPr>
            <w:r>
              <w:rPr>
                <w:rFonts w:hint="default"/>
                <w:color w:val="auto"/>
              </w:rPr>
              <w:t>生物安全柜</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auto"/>
              </w:rPr>
            </w:pPr>
            <w:r>
              <w:rPr>
                <w:rFonts w:hint="default"/>
                <w:color w:val="auto"/>
              </w:rPr>
              <w:t>NU-437-400E</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微生物室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11</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auto"/>
              </w:rPr>
            </w:pPr>
            <w:r>
              <w:rPr>
                <w:rFonts w:hint="default"/>
                <w:color w:val="auto"/>
              </w:rPr>
              <w:t>电热恒温培养箱</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auto"/>
              </w:rPr>
            </w:pPr>
            <w:r>
              <w:rPr>
                <w:rFonts w:hint="default"/>
                <w:color w:val="auto"/>
              </w:rPr>
              <w:t>DHP-420</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2</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微生物室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12</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auto"/>
              </w:rPr>
            </w:pPr>
            <w:r>
              <w:rPr>
                <w:rFonts w:hint="default"/>
                <w:color w:val="auto"/>
              </w:rPr>
              <w:t>生化培养箱</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auto"/>
              </w:rPr>
            </w:pPr>
            <w:r>
              <w:rPr>
                <w:rFonts w:hint="default"/>
                <w:color w:val="auto"/>
              </w:rPr>
              <w:t>SPX-250B-Z</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微生物室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13</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无菌均质器</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SCIENTZ-04</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微生物室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14</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低速离心机</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TDZ5-WS</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微生物室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15</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无菌均质器</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SCIENTZ-04</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微生物室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16</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电热恒温鼓风干燥箱</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GZX-9070MBE</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微生物室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17</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原子吸收分光光度计</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TAS-990</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理化室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18</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气相色谱仪</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SP-3420A</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理化室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19</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浊度仪</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YZD-1B</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理化室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20</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紫外可见分光光度计</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TU-1810</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理化室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21</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大气采样器</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XQC-15ET</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理化室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22</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auto"/>
              </w:rPr>
            </w:pPr>
            <w:r>
              <w:rPr>
                <w:rFonts w:hint="eastAsia"/>
                <w:color w:val="auto"/>
                <w:lang w:val="en-US" w:eastAsia="zh-CN"/>
              </w:rPr>
              <w:t>便携式</w:t>
            </w:r>
            <w:r>
              <w:rPr>
                <w:rFonts w:hint="default"/>
                <w:color w:val="auto"/>
                <w:lang w:val="en-US" w:eastAsia="zh-CN"/>
              </w:rPr>
              <w:t>CO2</w:t>
            </w:r>
            <w:r>
              <w:rPr>
                <w:rFonts w:hint="eastAsia"/>
                <w:color w:val="auto"/>
                <w:lang w:val="en-US" w:eastAsia="zh-CN"/>
              </w:rPr>
              <w:t>检测仪</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auto"/>
              </w:rPr>
            </w:pPr>
            <w:r>
              <w:rPr>
                <w:rFonts w:hint="default"/>
                <w:color w:val="auto"/>
                <w:lang w:val="en-US" w:eastAsia="zh-CN"/>
              </w:rPr>
              <w:t>DEM-3</w:t>
            </w:r>
            <w:r>
              <w:rPr>
                <w:rFonts w:hint="eastAsia"/>
                <w:color w:val="auto"/>
                <w:lang w:val="en-US" w:eastAsia="zh-CN"/>
              </w:rPr>
              <w:t>型</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eastAsia"/>
                <w:color w:val="auto"/>
                <w:lang w:val="en-US" w:eastAsia="zh-CN"/>
              </w:rPr>
            </w:pPr>
            <w:r>
              <w:rPr>
                <w:rFonts w:hint="eastAsia"/>
                <w:color w:val="auto"/>
                <w:lang w:val="en-US" w:eastAsia="zh-CN"/>
              </w:rPr>
              <w:t>理化室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5"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23</w:t>
            </w:r>
          </w:p>
        </w:tc>
        <w:tc>
          <w:tcPr>
            <w:tcW w:w="2864" w:type="dxa"/>
            <w:vAlign w:val="center"/>
          </w:tcPr>
          <w:p>
            <w:pPr>
              <w:pStyle w:val="22"/>
              <w:keepNext w:val="0"/>
              <w:keepLines w:val="0"/>
              <w:suppressLineNumbers w:val="0"/>
              <w:bidi w:val="0"/>
              <w:spacing w:before="0" w:beforeAutospacing="0" w:after="0" w:afterAutospacing="0"/>
              <w:ind w:left="0" w:right="0"/>
              <w:rPr>
                <w:rFonts w:hint="default"/>
                <w:color w:val="auto"/>
              </w:rPr>
            </w:pPr>
            <w:r>
              <w:rPr>
                <w:rFonts w:hint="default" w:ascii="宋体" w:hAnsi="宋体" w:eastAsia="宋体" w:cs="宋体"/>
                <w:color w:val="auto"/>
                <w:spacing w:val="-3"/>
                <w:sz w:val="21"/>
                <w:szCs w:val="21"/>
              </w:rPr>
              <w:t>超纯水机</w:t>
            </w:r>
          </w:p>
        </w:tc>
        <w:tc>
          <w:tcPr>
            <w:tcW w:w="2209" w:type="dxa"/>
            <w:vAlign w:val="center"/>
          </w:tcPr>
          <w:p>
            <w:pPr>
              <w:pStyle w:val="22"/>
              <w:keepNext w:val="0"/>
              <w:keepLines w:val="0"/>
              <w:suppressLineNumbers w:val="0"/>
              <w:bidi w:val="0"/>
              <w:spacing w:before="0" w:beforeAutospacing="0" w:after="0" w:afterAutospacing="0"/>
              <w:ind w:left="0" w:right="0"/>
              <w:rPr>
                <w:rFonts w:hint="default"/>
                <w:color w:val="auto"/>
              </w:rPr>
            </w:pPr>
            <w:r>
              <w:rPr>
                <w:rFonts w:hint="default" w:ascii="Times New Roman" w:hAnsi="Times New Roman" w:eastAsia="Times New Roman" w:cs="Times New Roman"/>
                <w:color w:val="auto"/>
                <w:spacing w:val="-2"/>
                <w:sz w:val="21"/>
                <w:szCs w:val="21"/>
              </w:rPr>
              <w:t>CR-20NT+</w:t>
            </w:r>
          </w:p>
        </w:tc>
        <w:tc>
          <w:tcPr>
            <w:tcW w:w="1049"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1</w:t>
            </w:r>
          </w:p>
        </w:tc>
        <w:tc>
          <w:tcPr>
            <w:tcW w:w="1705" w:type="dxa"/>
            <w:vAlign w:val="center"/>
          </w:tcPr>
          <w:p>
            <w:pPr>
              <w:pStyle w:val="22"/>
              <w:keepNext w:val="0"/>
              <w:keepLines w:val="0"/>
              <w:suppressLineNumbers w:val="0"/>
              <w:bidi w:val="0"/>
              <w:spacing w:before="0" w:beforeAutospacing="0" w:after="0" w:afterAutospacing="0"/>
              <w:ind w:left="0" w:right="0"/>
              <w:rPr>
                <w:rFonts w:hint="default"/>
                <w:color w:val="auto"/>
                <w:lang w:val="en-US" w:eastAsia="zh-CN"/>
              </w:rPr>
            </w:pPr>
            <w:r>
              <w:rPr>
                <w:rFonts w:hint="eastAsia"/>
                <w:color w:val="auto"/>
                <w:lang w:val="en-US" w:eastAsia="zh-CN"/>
              </w:rPr>
              <w:t>/</w:t>
            </w:r>
          </w:p>
        </w:tc>
      </w:tr>
    </w:tbl>
    <w:p>
      <w:pPr>
        <w:pStyle w:val="6"/>
        <w:bidi w:val="0"/>
        <w:outlineLvl w:val="1"/>
        <w:rPr>
          <w:rFonts w:hint="eastAsia"/>
          <w:color w:val="auto"/>
          <w:lang w:val="en-US" w:eastAsia="zh-CN"/>
        </w:rPr>
      </w:pPr>
      <w:bookmarkStart w:id="55" w:name="_Toc4552"/>
      <w:r>
        <w:rPr>
          <w:rFonts w:hint="eastAsia"/>
          <w:color w:val="auto"/>
          <w:lang w:val="en-US" w:eastAsia="zh-CN"/>
        </w:rPr>
        <w:t>3.2.3原辅材料及能源消耗</w:t>
      </w:r>
      <w:bookmarkEnd w:id="55"/>
    </w:p>
    <w:p>
      <w:pPr>
        <w:bidi w:val="0"/>
        <w:rPr>
          <w:color w:val="auto"/>
        </w:rPr>
      </w:pPr>
      <w:r>
        <w:rPr>
          <w:color w:val="auto"/>
        </w:rPr>
        <w:t>主要原辅材料及能源消耗件表3.</w:t>
      </w:r>
      <w:r>
        <w:rPr>
          <w:rFonts w:hint="eastAsia"/>
          <w:color w:val="auto"/>
          <w:lang w:val="en-US" w:eastAsia="zh-CN"/>
        </w:rPr>
        <w:t>2</w:t>
      </w:r>
      <w:r>
        <w:rPr>
          <w:color w:val="auto"/>
        </w:rPr>
        <w:t>-7。</w:t>
      </w:r>
    </w:p>
    <w:p>
      <w:pPr>
        <w:pStyle w:val="22"/>
        <w:bidi w:val="0"/>
        <w:rPr>
          <w:b/>
          <w:bCs/>
          <w:color w:val="auto"/>
        </w:rPr>
      </w:pPr>
      <w:r>
        <w:rPr>
          <w:b/>
          <w:bCs/>
          <w:color w:val="auto"/>
        </w:rPr>
        <w:t>表3.</w:t>
      </w:r>
      <w:r>
        <w:rPr>
          <w:rFonts w:hint="eastAsia"/>
          <w:b/>
          <w:bCs/>
          <w:color w:val="auto"/>
          <w:lang w:val="en-US" w:eastAsia="zh-CN"/>
        </w:rPr>
        <w:t>2</w:t>
      </w:r>
      <w:r>
        <w:rPr>
          <w:b/>
          <w:bCs/>
          <w:color w:val="auto"/>
        </w:rPr>
        <w:t>-7主要原辅材料及用量一览表</w:t>
      </w:r>
    </w:p>
    <w:tbl>
      <w:tblPr>
        <w:tblStyle w:val="23"/>
        <w:tblW w:w="853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6"/>
        <w:gridCol w:w="1154"/>
        <w:gridCol w:w="1312"/>
        <w:gridCol w:w="1275"/>
        <w:gridCol w:w="1238"/>
        <w:gridCol w:w="1450"/>
        <w:gridCol w:w="11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32" w:hRule="atLeast"/>
          <w:jc w:val="center"/>
        </w:trPr>
        <w:tc>
          <w:tcPr>
            <w:tcW w:w="946" w:type="dxa"/>
            <w:tcBorders>
              <w:tl2br w:val="nil"/>
              <w:tr2bl w:val="nil"/>
            </w:tcBorders>
            <w:vAlign w:val="center"/>
          </w:tcPr>
          <w:p>
            <w:pPr>
              <w:pStyle w:val="22"/>
              <w:bidi w:val="0"/>
              <w:jc w:val="center"/>
              <w:rPr>
                <w:b/>
                <w:bCs/>
                <w:color w:val="auto"/>
              </w:rPr>
            </w:pPr>
            <w:r>
              <w:rPr>
                <w:b/>
                <w:bCs/>
                <w:color w:val="auto"/>
              </w:rPr>
              <w:t>类别</w:t>
            </w:r>
          </w:p>
        </w:tc>
        <w:tc>
          <w:tcPr>
            <w:tcW w:w="1154" w:type="dxa"/>
            <w:tcBorders>
              <w:tl2br w:val="nil"/>
              <w:tr2bl w:val="nil"/>
            </w:tcBorders>
            <w:vAlign w:val="center"/>
          </w:tcPr>
          <w:p>
            <w:pPr>
              <w:pStyle w:val="22"/>
              <w:bidi w:val="0"/>
              <w:jc w:val="center"/>
              <w:rPr>
                <w:b/>
                <w:bCs/>
                <w:color w:val="auto"/>
              </w:rPr>
            </w:pPr>
            <w:r>
              <w:rPr>
                <w:b/>
                <w:bCs/>
                <w:color w:val="auto"/>
              </w:rPr>
              <w:t>序号</w:t>
            </w:r>
          </w:p>
        </w:tc>
        <w:tc>
          <w:tcPr>
            <w:tcW w:w="1312" w:type="dxa"/>
            <w:tcBorders>
              <w:tl2br w:val="nil"/>
              <w:tr2bl w:val="nil"/>
            </w:tcBorders>
            <w:vAlign w:val="center"/>
          </w:tcPr>
          <w:p>
            <w:pPr>
              <w:pStyle w:val="22"/>
              <w:bidi w:val="0"/>
              <w:jc w:val="center"/>
              <w:rPr>
                <w:b/>
                <w:bCs/>
                <w:color w:val="auto"/>
              </w:rPr>
            </w:pPr>
            <w:r>
              <w:rPr>
                <w:b/>
                <w:bCs/>
                <w:color w:val="auto"/>
              </w:rPr>
              <w:t>名称</w:t>
            </w:r>
          </w:p>
        </w:tc>
        <w:tc>
          <w:tcPr>
            <w:tcW w:w="1275" w:type="dxa"/>
            <w:tcBorders>
              <w:tl2br w:val="nil"/>
              <w:tr2bl w:val="nil"/>
            </w:tcBorders>
            <w:vAlign w:val="center"/>
          </w:tcPr>
          <w:p>
            <w:pPr>
              <w:pStyle w:val="22"/>
              <w:bidi w:val="0"/>
              <w:jc w:val="center"/>
              <w:rPr>
                <w:b/>
                <w:bCs/>
                <w:color w:val="auto"/>
              </w:rPr>
            </w:pPr>
            <w:r>
              <w:rPr>
                <w:b/>
                <w:bCs/>
                <w:color w:val="auto"/>
              </w:rPr>
              <w:t>单位</w:t>
            </w:r>
          </w:p>
        </w:tc>
        <w:tc>
          <w:tcPr>
            <w:tcW w:w="1238" w:type="dxa"/>
            <w:tcBorders>
              <w:tl2br w:val="nil"/>
              <w:tr2bl w:val="nil"/>
            </w:tcBorders>
            <w:vAlign w:val="center"/>
          </w:tcPr>
          <w:p>
            <w:pPr>
              <w:pStyle w:val="22"/>
              <w:bidi w:val="0"/>
              <w:jc w:val="center"/>
              <w:rPr>
                <w:b/>
                <w:bCs/>
                <w:color w:val="auto"/>
              </w:rPr>
            </w:pPr>
            <w:r>
              <w:rPr>
                <w:b/>
                <w:bCs/>
                <w:color w:val="auto"/>
              </w:rPr>
              <w:t>年耗量</w:t>
            </w:r>
          </w:p>
        </w:tc>
        <w:tc>
          <w:tcPr>
            <w:tcW w:w="1450" w:type="dxa"/>
            <w:tcBorders>
              <w:tl2br w:val="nil"/>
              <w:tr2bl w:val="nil"/>
            </w:tcBorders>
            <w:vAlign w:val="center"/>
          </w:tcPr>
          <w:p>
            <w:pPr>
              <w:pStyle w:val="22"/>
              <w:bidi w:val="0"/>
              <w:jc w:val="center"/>
              <w:rPr>
                <w:b/>
                <w:bCs/>
                <w:color w:val="auto"/>
              </w:rPr>
            </w:pPr>
            <w:r>
              <w:rPr>
                <w:b/>
                <w:bCs/>
                <w:color w:val="auto"/>
              </w:rPr>
              <w:t>规格</w:t>
            </w:r>
          </w:p>
        </w:tc>
        <w:tc>
          <w:tcPr>
            <w:tcW w:w="1160" w:type="dxa"/>
            <w:tcBorders>
              <w:tl2br w:val="nil"/>
              <w:tr2bl w:val="nil"/>
            </w:tcBorders>
            <w:vAlign w:val="center"/>
          </w:tcPr>
          <w:p>
            <w:pPr>
              <w:pStyle w:val="22"/>
              <w:bidi w:val="0"/>
              <w:jc w:val="center"/>
              <w:rPr>
                <w:b/>
                <w:bCs/>
                <w:color w:val="auto"/>
              </w:rPr>
            </w:pPr>
            <w:r>
              <w:rPr>
                <w:b/>
                <w:bCs/>
                <w:color w:val="auto"/>
              </w:rPr>
              <w:t>危险化学品最大储量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jc w:val="center"/>
        </w:trPr>
        <w:tc>
          <w:tcPr>
            <w:tcW w:w="946" w:type="dxa"/>
            <w:vMerge w:val="restart"/>
            <w:tcBorders>
              <w:tl2br w:val="nil"/>
              <w:tr2bl w:val="nil"/>
            </w:tcBorders>
            <w:vAlign w:val="center"/>
          </w:tcPr>
          <w:p>
            <w:pPr>
              <w:pStyle w:val="22"/>
              <w:bidi w:val="0"/>
              <w:jc w:val="center"/>
              <w:rPr>
                <w:color w:val="auto"/>
              </w:rPr>
            </w:pPr>
          </w:p>
          <w:p>
            <w:pPr>
              <w:pStyle w:val="22"/>
              <w:bidi w:val="0"/>
              <w:jc w:val="center"/>
              <w:rPr>
                <w:color w:val="auto"/>
              </w:rPr>
            </w:pPr>
            <w:r>
              <w:rPr>
                <w:color w:val="auto"/>
              </w:rPr>
              <w:t>医疗器械</w:t>
            </w:r>
          </w:p>
        </w:tc>
        <w:tc>
          <w:tcPr>
            <w:tcW w:w="1154" w:type="dxa"/>
            <w:tcBorders>
              <w:tl2br w:val="nil"/>
              <w:tr2bl w:val="nil"/>
            </w:tcBorders>
            <w:vAlign w:val="center"/>
          </w:tcPr>
          <w:p>
            <w:pPr>
              <w:pStyle w:val="22"/>
              <w:bidi w:val="0"/>
              <w:jc w:val="center"/>
              <w:rPr>
                <w:color w:val="auto"/>
              </w:rPr>
            </w:pPr>
            <w:r>
              <w:rPr>
                <w:color w:val="auto"/>
              </w:rPr>
              <w:t>1</w:t>
            </w:r>
          </w:p>
        </w:tc>
        <w:tc>
          <w:tcPr>
            <w:tcW w:w="1312" w:type="dxa"/>
            <w:tcBorders>
              <w:tl2br w:val="nil"/>
              <w:tr2bl w:val="nil"/>
            </w:tcBorders>
            <w:vAlign w:val="center"/>
          </w:tcPr>
          <w:p>
            <w:pPr>
              <w:pStyle w:val="22"/>
              <w:bidi w:val="0"/>
              <w:jc w:val="center"/>
              <w:rPr>
                <w:color w:val="auto"/>
              </w:rPr>
            </w:pPr>
            <w:r>
              <w:rPr>
                <w:color w:val="auto"/>
              </w:rPr>
              <w:t>PE手套</w:t>
            </w:r>
          </w:p>
        </w:tc>
        <w:tc>
          <w:tcPr>
            <w:tcW w:w="1275" w:type="dxa"/>
            <w:tcBorders>
              <w:tl2br w:val="nil"/>
              <w:tr2bl w:val="nil"/>
            </w:tcBorders>
            <w:vAlign w:val="center"/>
          </w:tcPr>
          <w:p>
            <w:pPr>
              <w:pStyle w:val="22"/>
              <w:bidi w:val="0"/>
              <w:jc w:val="center"/>
              <w:rPr>
                <w:color w:val="auto"/>
              </w:rPr>
            </w:pPr>
            <w:r>
              <w:rPr>
                <w:color w:val="auto"/>
              </w:rPr>
              <w:t>支</w:t>
            </w:r>
          </w:p>
        </w:tc>
        <w:tc>
          <w:tcPr>
            <w:tcW w:w="1238"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200</w:t>
            </w:r>
          </w:p>
        </w:tc>
        <w:tc>
          <w:tcPr>
            <w:tcW w:w="1450" w:type="dxa"/>
            <w:tcBorders>
              <w:tl2br w:val="nil"/>
              <w:tr2bl w:val="nil"/>
            </w:tcBorders>
            <w:vAlign w:val="center"/>
          </w:tcPr>
          <w:p>
            <w:pPr>
              <w:pStyle w:val="22"/>
              <w:bidi w:val="0"/>
              <w:jc w:val="center"/>
              <w:rPr>
                <w:color w:val="auto"/>
              </w:rPr>
            </w:pPr>
            <w:r>
              <w:rPr>
                <w:color w:val="auto"/>
              </w:rPr>
              <w:t>100支/盒</w:t>
            </w:r>
          </w:p>
        </w:tc>
        <w:tc>
          <w:tcPr>
            <w:tcW w:w="1160" w:type="dxa"/>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jc w:val="center"/>
        </w:trPr>
        <w:tc>
          <w:tcPr>
            <w:tcW w:w="946" w:type="dxa"/>
            <w:vMerge w:val="continue"/>
            <w:tcBorders>
              <w:tl2br w:val="nil"/>
              <w:tr2bl w:val="nil"/>
            </w:tcBorders>
            <w:vAlign w:val="center"/>
          </w:tcPr>
          <w:p>
            <w:pPr>
              <w:pStyle w:val="22"/>
              <w:bidi w:val="0"/>
              <w:jc w:val="center"/>
              <w:rPr>
                <w:color w:val="auto"/>
              </w:rPr>
            </w:pPr>
          </w:p>
        </w:tc>
        <w:tc>
          <w:tcPr>
            <w:tcW w:w="1154" w:type="dxa"/>
            <w:tcBorders>
              <w:tl2br w:val="nil"/>
              <w:tr2bl w:val="nil"/>
            </w:tcBorders>
            <w:vAlign w:val="center"/>
          </w:tcPr>
          <w:p>
            <w:pPr>
              <w:pStyle w:val="22"/>
              <w:bidi w:val="0"/>
              <w:jc w:val="center"/>
              <w:rPr>
                <w:color w:val="auto"/>
              </w:rPr>
            </w:pPr>
            <w:r>
              <w:rPr>
                <w:color w:val="auto"/>
              </w:rPr>
              <w:t>2</w:t>
            </w:r>
          </w:p>
        </w:tc>
        <w:tc>
          <w:tcPr>
            <w:tcW w:w="1312" w:type="dxa"/>
            <w:tcBorders>
              <w:tl2br w:val="nil"/>
              <w:tr2bl w:val="nil"/>
            </w:tcBorders>
            <w:vAlign w:val="center"/>
          </w:tcPr>
          <w:p>
            <w:pPr>
              <w:pStyle w:val="22"/>
              <w:bidi w:val="0"/>
              <w:jc w:val="center"/>
              <w:rPr>
                <w:color w:val="auto"/>
              </w:rPr>
            </w:pPr>
            <w:r>
              <w:rPr>
                <w:color w:val="auto"/>
              </w:rPr>
              <w:t>医用胶贴</w:t>
            </w:r>
          </w:p>
        </w:tc>
        <w:tc>
          <w:tcPr>
            <w:tcW w:w="1275" w:type="dxa"/>
            <w:tcBorders>
              <w:tl2br w:val="nil"/>
              <w:tr2bl w:val="nil"/>
            </w:tcBorders>
            <w:vAlign w:val="center"/>
          </w:tcPr>
          <w:p>
            <w:pPr>
              <w:pStyle w:val="22"/>
              <w:bidi w:val="0"/>
              <w:jc w:val="center"/>
              <w:rPr>
                <w:color w:val="auto"/>
              </w:rPr>
            </w:pPr>
            <w:r>
              <w:rPr>
                <w:color w:val="auto"/>
              </w:rPr>
              <w:t>片</w:t>
            </w:r>
          </w:p>
        </w:tc>
        <w:tc>
          <w:tcPr>
            <w:tcW w:w="1238"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130</w:t>
            </w:r>
          </w:p>
        </w:tc>
        <w:tc>
          <w:tcPr>
            <w:tcW w:w="1450" w:type="dxa"/>
            <w:tcBorders>
              <w:tl2br w:val="nil"/>
              <w:tr2bl w:val="nil"/>
            </w:tcBorders>
            <w:vAlign w:val="center"/>
          </w:tcPr>
          <w:p>
            <w:pPr>
              <w:pStyle w:val="22"/>
              <w:bidi w:val="0"/>
              <w:jc w:val="center"/>
              <w:rPr>
                <w:color w:val="auto"/>
              </w:rPr>
            </w:pPr>
            <w:r>
              <w:rPr>
                <w:color w:val="auto"/>
              </w:rPr>
              <w:t>100贴/盒</w:t>
            </w:r>
          </w:p>
        </w:tc>
        <w:tc>
          <w:tcPr>
            <w:tcW w:w="1160" w:type="dxa"/>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jc w:val="center"/>
        </w:trPr>
        <w:tc>
          <w:tcPr>
            <w:tcW w:w="946" w:type="dxa"/>
            <w:vMerge w:val="continue"/>
            <w:tcBorders>
              <w:tl2br w:val="nil"/>
              <w:tr2bl w:val="nil"/>
            </w:tcBorders>
            <w:vAlign w:val="center"/>
          </w:tcPr>
          <w:p>
            <w:pPr>
              <w:pStyle w:val="22"/>
              <w:bidi w:val="0"/>
              <w:jc w:val="center"/>
              <w:rPr>
                <w:color w:val="auto"/>
              </w:rPr>
            </w:pPr>
          </w:p>
        </w:tc>
        <w:tc>
          <w:tcPr>
            <w:tcW w:w="1154" w:type="dxa"/>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3</w:t>
            </w:r>
          </w:p>
        </w:tc>
        <w:tc>
          <w:tcPr>
            <w:tcW w:w="1312" w:type="dxa"/>
            <w:tcBorders>
              <w:tl2br w:val="nil"/>
              <w:tr2bl w:val="nil"/>
            </w:tcBorders>
            <w:vAlign w:val="center"/>
          </w:tcPr>
          <w:p>
            <w:pPr>
              <w:pStyle w:val="22"/>
              <w:bidi w:val="0"/>
              <w:jc w:val="center"/>
              <w:rPr>
                <w:color w:val="auto"/>
              </w:rPr>
            </w:pPr>
            <w:r>
              <w:rPr>
                <w:color w:val="auto"/>
              </w:rPr>
              <w:t>注射器</w:t>
            </w:r>
          </w:p>
        </w:tc>
        <w:tc>
          <w:tcPr>
            <w:tcW w:w="1275" w:type="dxa"/>
            <w:tcBorders>
              <w:tl2br w:val="nil"/>
              <w:tr2bl w:val="nil"/>
            </w:tcBorders>
            <w:vAlign w:val="center"/>
          </w:tcPr>
          <w:p>
            <w:pPr>
              <w:pStyle w:val="22"/>
              <w:bidi w:val="0"/>
              <w:jc w:val="center"/>
              <w:rPr>
                <w:color w:val="auto"/>
              </w:rPr>
            </w:pPr>
            <w:r>
              <w:rPr>
                <w:color w:val="auto"/>
              </w:rPr>
              <w:t>支</w:t>
            </w:r>
          </w:p>
        </w:tc>
        <w:tc>
          <w:tcPr>
            <w:tcW w:w="1238"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150</w:t>
            </w:r>
          </w:p>
        </w:tc>
        <w:tc>
          <w:tcPr>
            <w:tcW w:w="1450" w:type="dxa"/>
            <w:tcBorders>
              <w:tl2br w:val="nil"/>
              <w:tr2bl w:val="nil"/>
            </w:tcBorders>
            <w:vAlign w:val="center"/>
          </w:tcPr>
          <w:p>
            <w:pPr>
              <w:pStyle w:val="22"/>
              <w:bidi w:val="0"/>
              <w:jc w:val="center"/>
              <w:rPr>
                <w:color w:val="auto"/>
              </w:rPr>
            </w:pPr>
            <w:r>
              <w:rPr>
                <w:color w:val="auto"/>
              </w:rPr>
              <w:t>150支/盒</w:t>
            </w:r>
          </w:p>
        </w:tc>
        <w:tc>
          <w:tcPr>
            <w:tcW w:w="1160" w:type="dxa"/>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4" w:hRule="atLeast"/>
          <w:jc w:val="center"/>
        </w:trPr>
        <w:tc>
          <w:tcPr>
            <w:tcW w:w="946" w:type="dxa"/>
            <w:vMerge w:val="continue"/>
            <w:tcBorders>
              <w:tl2br w:val="nil"/>
              <w:tr2bl w:val="nil"/>
            </w:tcBorders>
            <w:vAlign w:val="center"/>
          </w:tcPr>
          <w:p>
            <w:pPr>
              <w:pStyle w:val="22"/>
              <w:bidi w:val="0"/>
              <w:jc w:val="center"/>
              <w:rPr>
                <w:color w:val="auto"/>
              </w:rPr>
            </w:pPr>
          </w:p>
        </w:tc>
        <w:tc>
          <w:tcPr>
            <w:tcW w:w="1154" w:type="dxa"/>
            <w:tcBorders>
              <w:tl2br w:val="nil"/>
              <w:tr2bl w:val="nil"/>
            </w:tcBorders>
            <w:vAlign w:val="top"/>
          </w:tcPr>
          <w:p>
            <w:pPr>
              <w:pStyle w:val="22"/>
              <w:bidi w:val="0"/>
              <w:rPr>
                <w:rFonts w:hint="eastAsia" w:eastAsia="宋体"/>
                <w:color w:val="auto"/>
                <w:lang w:eastAsia="zh-CN"/>
              </w:rPr>
            </w:pPr>
            <w:r>
              <w:rPr>
                <w:rFonts w:hint="eastAsia"/>
                <w:color w:val="auto"/>
                <w:lang w:val="en-US" w:eastAsia="zh-CN"/>
              </w:rPr>
              <w:t>4</w:t>
            </w:r>
          </w:p>
        </w:tc>
        <w:tc>
          <w:tcPr>
            <w:tcW w:w="1312" w:type="dxa"/>
            <w:tcBorders>
              <w:tl2br w:val="nil"/>
              <w:tr2bl w:val="nil"/>
            </w:tcBorders>
            <w:vAlign w:val="top"/>
          </w:tcPr>
          <w:p>
            <w:pPr>
              <w:pStyle w:val="22"/>
              <w:bidi w:val="0"/>
              <w:rPr>
                <w:color w:val="auto"/>
              </w:rPr>
            </w:pPr>
            <w:r>
              <w:rPr>
                <w:color w:val="auto"/>
              </w:rPr>
              <w:t>采血管</w:t>
            </w:r>
          </w:p>
        </w:tc>
        <w:tc>
          <w:tcPr>
            <w:tcW w:w="1275" w:type="dxa"/>
            <w:tcBorders>
              <w:tl2br w:val="nil"/>
              <w:tr2bl w:val="nil"/>
            </w:tcBorders>
            <w:vAlign w:val="top"/>
          </w:tcPr>
          <w:p>
            <w:pPr>
              <w:pStyle w:val="22"/>
              <w:bidi w:val="0"/>
              <w:rPr>
                <w:color w:val="auto"/>
              </w:rPr>
            </w:pPr>
            <w:r>
              <w:rPr>
                <w:color w:val="auto"/>
              </w:rPr>
              <w:t>支</w:t>
            </w:r>
          </w:p>
        </w:tc>
        <w:tc>
          <w:tcPr>
            <w:tcW w:w="1238" w:type="dxa"/>
            <w:tcBorders>
              <w:tl2br w:val="nil"/>
              <w:tr2bl w:val="nil"/>
            </w:tcBorders>
            <w:vAlign w:val="top"/>
          </w:tcPr>
          <w:p>
            <w:pPr>
              <w:pStyle w:val="22"/>
              <w:bidi w:val="0"/>
              <w:rPr>
                <w:rFonts w:hint="default" w:eastAsia="宋体"/>
                <w:color w:val="auto"/>
                <w:lang w:val="en-US" w:eastAsia="zh-CN"/>
              </w:rPr>
            </w:pPr>
            <w:r>
              <w:rPr>
                <w:rFonts w:hint="eastAsia"/>
                <w:color w:val="auto"/>
                <w:lang w:val="en-US" w:eastAsia="zh-CN"/>
              </w:rPr>
              <w:t>50</w:t>
            </w:r>
          </w:p>
        </w:tc>
        <w:tc>
          <w:tcPr>
            <w:tcW w:w="1450" w:type="dxa"/>
            <w:tcBorders>
              <w:tl2br w:val="nil"/>
              <w:tr2bl w:val="nil"/>
            </w:tcBorders>
            <w:vAlign w:val="top"/>
          </w:tcPr>
          <w:p>
            <w:pPr>
              <w:pStyle w:val="22"/>
              <w:bidi w:val="0"/>
              <w:rPr>
                <w:color w:val="auto"/>
              </w:rPr>
            </w:pPr>
            <w:r>
              <w:rPr>
                <w:color w:val="auto"/>
              </w:rPr>
              <w:t>100支/盒</w:t>
            </w:r>
          </w:p>
        </w:tc>
        <w:tc>
          <w:tcPr>
            <w:tcW w:w="1160" w:type="dxa"/>
            <w:tcBorders>
              <w:tl2br w:val="nil"/>
              <w:tr2bl w:val="nil"/>
            </w:tcBorders>
            <w:vAlign w:val="top"/>
          </w:tcPr>
          <w:p>
            <w:pPr>
              <w:pStyle w:val="22"/>
              <w:bidi w:val="0"/>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 w:hRule="atLeast"/>
          <w:jc w:val="center"/>
        </w:trPr>
        <w:tc>
          <w:tcPr>
            <w:tcW w:w="946" w:type="dxa"/>
            <w:vMerge w:val="continue"/>
            <w:tcBorders>
              <w:tl2br w:val="nil"/>
              <w:tr2bl w:val="nil"/>
            </w:tcBorders>
            <w:vAlign w:val="center"/>
          </w:tcPr>
          <w:p>
            <w:pPr>
              <w:pStyle w:val="22"/>
              <w:bidi w:val="0"/>
              <w:jc w:val="center"/>
              <w:rPr>
                <w:color w:val="auto"/>
              </w:rPr>
            </w:pPr>
          </w:p>
        </w:tc>
        <w:tc>
          <w:tcPr>
            <w:tcW w:w="1154" w:type="dxa"/>
            <w:tcBorders>
              <w:tl2br w:val="nil"/>
              <w:tr2bl w:val="nil"/>
            </w:tcBorders>
            <w:vAlign w:val="top"/>
          </w:tcPr>
          <w:p>
            <w:pPr>
              <w:pStyle w:val="22"/>
              <w:bidi w:val="0"/>
              <w:rPr>
                <w:rFonts w:hint="eastAsia" w:eastAsia="宋体"/>
                <w:color w:val="auto"/>
                <w:lang w:eastAsia="zh-CN"/>
              </w:rPr>
            </w:pPr>
            <w:r>
              <w:rPr>
                <w:rFonts w:hint="eastAsia"/>
                <w:color w:val="auto"/>
                <w:lang w:val="en-US" w:eastAsia="zh-CN"/>
              </w:rPr>
              <w:t>5</w:t>
            </w:r>
          </w:p>
        </w:tc>
        <w:tc>
          <w:tcPr>
            <w:tcW w:w="1312" w:type="dxa"/>
            <w:tcBorders>
              <w:tl2br w:val="nil"/>
              <w:tr2bl w:val="nil"/>
            </w:tcBorders>
            <w:vAlign w:val="top"/>
          </w:tcPr>
          <w:p>
            <w:pPr>
              <w:pStyle w:val="22"/>
              <w:bidi w:val="0"/>
              <w:rPr>
                <w:color w:val="auto"/>
              </w:rPr>
            </w:pPr>
            <w:r>
              <w:rPr>
                <w:color w:val="auto"/>
              </w:rPr>
              <w:t>采血针</w:t>
            </w:r>
          </w:p>
        </w:tc>
        <w:tc>
          <w:tcPr>
            <w:tcW w:w="1275" w:type="dxa"/>
            <w:tcBorders>
              <w:tl2br w:val="nil"/>
              <w:tr2bl w:val="nil"/>
            </w:tcBorders>
            <w:vAlign w:val="top"/>
          </w:tcPr>
          <w:p>
            <w:pPr>
              <w:pStyle w:val="22"/>
              <w:bidi w:val="0"/>
              <w:rPr>
                <w:color w:val="auto"/>
              </w:rPr>
            </w:pPr>
            <w:r>
              <w:rPr>
                <w:color w:val="auto"/>
              </w:rPr>
              <w:t>支</w:t>
            </w:r>
          </w:p>
        </w:tc>
        <w:tc>
          <w:tcPr>
            <w:tcW w:w="1238" w:type="dxa"/>
            <w:tcBorders>
              <w:tl2br w:val="nil"/>
              <w:tr2bl w:val="nil"/>
            </w:tcBorders>
            <w:vAlign w:val="top"/>
          </w:tcPr>
          <w:p>
            <w:pPr>
              <w:pStyle w:val="22"/>
              <w:bidi w:val="0"/>
              <w:rPr>
                <w:rFonts w:hint="default" w:eastAsia="宋体"/>
                <w:color w:val="auto"/>
                <w:lang w:val="en-US" w:eastAsia="zh-CN"/>
              </w:rPr>
            </w:pPr>
            <w:r>
              <w:rPr>
                <w:rFonts w:hint="eastAsia"/>
                <w:color w:val="auto"/>
                <w:lang w:val="en-US" w:eastAsia="zh-CN"/>
              </w:rPr>
              <w:t>50</w:t>
            </w:r>
          </w:p>
        </w:tc>
        <w:tc>
          <w:tcPr>
            <w:tcW w:w="1450" w:type="dxa"/>
            <w:tcBorders>
              <w:tl2br w:val="nil"/>
              <w:tr2bl w:val="nil"/>
            </w:tcBorders>
            <w:vAlign w:val="top"/>
          </w:tcPr>
          <w:p>
            <w:pPr>
              <w:pStyle w:val="22"/>
              <w:bidi w:val="0"/>
              <w:rPr>
                <w:color w:val="auto"/>
              </w:rPr>
            </w:pPr>
            <w:r>
              <w:rPr>
                <w:color w:val="auto"/>
              </w:rPr>
              <w:t>100支/盒</w:t>
            </w:r>
          </w:p>
        </w:tc>
        <w:tc>
          <w:tcPr>
            <w:tcW w:w="1160" w:type="dxa"/>
            <w:tcBorders>
              <w:tl2br w:val="nil"/>
              <w:tr2bl w:val="nil"/>
            </w:tcBorders>
            <w:vAlign w:val="top"/>
          </w:tcPr>
          <w:p>
            <w:pPr>
              <w:pStyle w:val="22"/>
              <w:bidi w:val="0"/>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4" w:hRule="atLeast"/>
          <w:jc w:val="center"/>
        </w:trPr>
        <w:tc>
          <w:tcPr>
            <w:tcW w:w="946" w:type="dxa"/>
            <w:vMerge w:val="continue"/>
            <w:tcBorders>
              <w:tl2br w:val="nil"/>
              <w:tr2bl w:val="nil"/>
            </w:tcBorders>
            <w:vAlign w:val="center"/>
          </w:tcPr>
          <w:p>
            <w:pPr>
              <w:pStyle w:val="22"/>
              <w:bidi w:val="0"/>
              <w:jc w:val="center"/>
              <w:rPr>
                <w:color w:val="auto"/>
              </w:rPr>
            </w:pPr>
          </w:p>
        </w:tc>
        <w:tc>
          <w:tcPr>
            <w:tcW w:w="1154" w:type="dxa"/>
            <w:tcBorders>
              <w:tl2br w:val="nil"/>
              <w:tr2bl w:val="nil"/>
            </w:tcBorders>
            <w:vAlign w:val="top"/>
          </w:tcPr>
          <w:p>
            <w:pPr>
              <w:pStyle w:val="22"/>
              <w:bidi w:val="0"/>
              <w:rPr>
                <w:rFonts w:hint="eastAsia" w:eastAsia="宋体"/>
                <w:color w:val="auto"/>
                <w:lang w:eastAsia="zh-CN"/>
              </w:rPr>
            </w:pPr>
            <w:r>
              <w:rPr>
                <w:rFonts w:hint="eastAsia"/>
                <w:color w:val="auto"/>
                <w:lang w:val="en-US" w:eastAsia="zh-CN"/>
              </w:rPr>
              <w:t>6</w:t>
            </w:r>
          </w:p>
        </w:tc>
        <w:tc>
          <w:tcPr>
            <w:tcW w:w="1312" w:type="dxa"/>
            <w:tcBorders>
              <w:tl2br w:val="nil"/>
              <w:tr2bl w:val="nil"/>
            </w:tcBorders>
            <w:vAlign w:val="top"/>
          </w:tcPr>
          <w:p>
            <w:pPr>
              <w:pStyle w:val="22"/>
              <w:bidi w:val="0"/>
              <w:rPr>
                <w:color w:val="auto"/>
              </w:rPr>
            </w:pPr>
            <w:r>
              <w:rPr>
                <w:color w:val="auto"/>
              </w:rPr>
              <w:t>采血组件</w:t>
            </w:r>
          </w:p>
        </w:tc>
        <w:tc>
          <w:tcPr>
            <w:tcW w:w="1275" w:type="dxa"/>
            <w:tcBorders>
              <w:tl2br w:val="nil"/>
              <w:tr2bl w:val="nil"/>
            </w:tcBorders>
            <w:vAlign w:val="top"/>
          </w:tcPr>
          <w:p>
            <w:pPr>
              <w:pStyle w:val="22"/>
              <w:bidi w:val="0"/>
              <w:rPr>
                <w:color w:val="auto"/>
              </w:rPr>
            </w:pPr>
            <w:r>
              <w:rPr>
                <w:color w:val="auto"/>
              </w:rPr>
              <w:t>支</w:t>
            </w:r>
          </w:p>
        </w:tc>
        <w:tc>
          <w:tcPr>
            <w:tcW w:w="1238" w:type="dxa"/>
            <w:tcBorders>
              <w:tl2br w:val="nil"/>
              <w:tr2bl w:val="nil"/>
            </w:tcBorders>
            <w:vAlign w:val="top"/>
          </w:tcPr>
          <w:p>
            <w:pPr>
              <w:pStyle w:val="22"/>
              <w:bidi w:val="0"/>
              <w:rPr>
                <w:rFonts w:hint="default" w:eastAsia="宋体"/>
                <w:color w:val="auto"/>
                <w:lang w:val="en-US" w:eastAsia="zh-CN"/>
              </w:rPr>
            </w:pPr>
            <w:r>
              <w:rPr>
                <w:rFonts w:hint="eastAsia"/>
                <w:color w:val="auto"/>
                <w:lang w:val="en-US" w:eastAsia="zh-CN"/>
              </w:rPr>
              <w:t>50</w:t>
            </w:r>
          </w:p>
        </w:tc>
        <w:tc>
          <w:tcPr>
            <w:tcW w:w="1450" w:type="dxa"/>
            <w:tcBorders>
              <w:tl2br w:val="nil"/>
              <w:tr2bl w:val="nil"/>
            </w:tcBorders>
            <w:vAlign w:val="top"/>
          </w:tcPr>
          <w:p>
            <w:pPr>
              <w:pStyle w:val="22"/>
              <w:bidi w:val="0"/>
              <w:rPr>
                <w:color w:val="auto"/>
              </w:rPr>
            </w:pPr>
            <w:r>
              <w:rPr>
                <w:color w:val="auto"/>
              </w:rPr>
              <w:t>100支/盒</w:t>
            </w:r>
          </w:p>
        </w:tc>
        <w:tc>
          <w:tcPr>
            <w:tcW w:w="1160" w:type="dxa"/>
            <w:tcBorders>
              <w:tl2br w:val="nil"/>
              <w:tr2bl w:val="nil"/>
            </w:tcBorders>
            <w:vAlign w:val="top"/>
          </w:tcPr>
          <w:p>
            <w:pPr>
              <w:pStyle w:val="22"/>
              <w:bidi w:val="0"/>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4" w:hRule="atLeast"/>
          <w:jc w:val="center"/>
        </w:trPr>
        <w:tc>
          <w:tcPr>
            <w:tcW w:w="946" w:type="dxa"/>
            <w:vMerge w:val="continue"/>
            <w:tcBorders>
              <w:tl2br w:val="nil"/>
              <w:tr2bl w:val="nil"/>
            </w:tcBorders>
            <w:vAlign w:val="center"/>
          </w:tcPr>
          <w:p>
            <w:pPr>
              <w:pStyle w:val="22"/>
              <w:bidi w:val="0"/>
              <w:jc w:val="center"/>
              <w:rPr>
                <w:color w:val="auto"/>
              </w:rPr>
            </w:pPr>
          </w:p>
        </w:tc>
        <w:tc>
          <w:tcPr>
            <w:tcW w:w="1154" w:type="dxa"/>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7</w:t>
            </w:r>
          </w:p>
        </w:tc>
        <w:tc>
          <w:tcPr>
            <w:tcW w:w="1312" w:type="dxa"/>
            <w:tcBorders>
              <w:tl2br w:val="nil"/>
              <w:tr2bl w:val="nil"/>
            </w:tcBorders>
            <w:vAlign w:val="center"/>
          </w:tcPr>
          <w:p>
            <w:pPr>
              <w:pStyle w:val="22"/>
              <w:bidi w:val="0"/>
              <w:jc w:val="center"/>
              <w:rPr>
                <w:color w:val="auto"/>
              </w:rPr>
            </w:pPr>
            <w:r>
              <w:rPr>
                <w:color w:val="auto"/>
              </w:rPr>
              <w:t>一次性口罩</w:t>
            </w:r>
          </w:p>
        </w:tc>
        <w:tc>
          <w:tcPr>
            <w:tcW w:w="1275" w:type="dxa"/>
            <w:tcBorders>
              <w:tl2br w:val="nil"/>
              <w:tr2bl w:val="nil"/>
            </w:tcBorders>
            <w:vAlign w:val="center"/>
          </w:tcPr>
          <w:p>
            <w:pPr>
              <w:pStyle w:val="22"/>
              <w:bidi w:val="0"/>
              <w:jc w:val="center"/>
              <w:rPr>
                <w:color w:val="auto"/>
              </w:rPr>
            </w:pPr>
            <w:r>
              <w:rPr>
                <w:color w:val="auto"/>
              </w:rPr>
              <w:t>个</w:t>
            </w:r>
          </w:p>
        </w:tc>
        <w:tc>
          <w:tcPr>
            <w:tcW w:w="1238"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500</w:t>
            </w:r>
          </w:p>
        </w:tc>
        <w:tc>
          <w:tcPr>
            <w:tcW w:w="1450" w:type="dxa"/>
            <w:tcBorders>
              <w:tl2br w:val="nil"/>
              <w:tr2bl w:val="nil"/>
            </w:tcBorders>
            <w:vAlign w:val="center"/>
          </w:tcPr>
          <w:p>
            <w:pPr>
              <w:pStyle w:val="22"/>
              <w:bidi w:val="0"/>
              <w:jc w:val="center"/>
              <w:rPr>
                <w:color w:val="auto"/>
              </w:rPr>
            </w:pPr>
            <w:r>
              <w:rPr>
                <w:color w:val="auto"/>
              </w:rPr>
              <w:t>100个/盒</w:t>
            </w:r>
          </w:p>
        </w:tc>
        <w:tc>
          <w:tcPr>
            <w:tcW w:w="1160" w:type="dxa"/>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7" w:hRule="atLeast"/>
          <w:jc w:val="center"/>
        </w:trPr>
        <w:tc>
          <w:tcPr>
            <w:tcW w:w="946" w:type="dxa"/>
            <w:vMerge w:val="continue"/>
            <w:tcBorders>
              <w:tl2br w:val="nil"/>
              <w:tr2bl w:val="nil"/>
            </w:tcBorders>
            <w:vAlign w:val="center"/>
          </w:tcPr>
          <w:p>
            <w:pPr>
              <w:pStyle w:val="22"/>
              <w:bidi w:val="0"/>
              <w:jc w:val="center"/>
              <w:rPr>
                <w:color w:val="auto"/>
              </w:rPr>
            </w:pPr>
          </w:p>
        </w:tc>
        <w:tc>
          <w:tcPr>
            <w:tcW w:w="1154" w:type="dxa"/>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8</w:t>
            </w:r>
          </w:p>
        </w:tc>
        <w:tc>
          <w:tcPr>
            <w:tcW w:w="1312" w:type="dxa"/>
            <w:tcBorders>
              <w:tl2br w:val="nil"/>
              <w:tr2bl w:val="nil"/>
            </w:tcBorders>
            <w:vAlign w:val="center"/>
          </w:tcPr>
          <w:p>
            <w:pPr>
              <w:pStyle w:val="22"/>
              <w:bidi w:val="0"/>
              <w:jc w:val="center"/>
              <w:rPr>
                <w:color w:val="auto"/>
              </w:rPr>
            </w:pPr>
            <w:r>
              <w:rPr>
                <w:color w:val="auto"/>
              </w:rPr>
              <w:t>棉签</w:t>
            </w:r>
          </w:p>
        </w:tc>
        <w:tc>
          <w:tcPr>
            <w:tcW w:w="1275" w:type="dxa"/>
            <w:tcBorders>
              <w:tl2br w:val="nil"/>
              <w:tr2bl w:val="nil"/>
            </w:tcBorders>
            <w:vAlign w:val="center"/>
          </w:tcPr>
          <w:p>
            <w:pPr>
              <w:pStyle w:val="22"/>
              <w:bidi w:val="0"/>
              <w:jc w:val="center"/>
              <w:rPr>
                <w:color w:val="auto"/>
              </w:rPr>
            </w:pPr>
            <w:r>
              <w:rPr>
                <w:color w:val="auto"/>
              </w:rPr>
              <w:t>支</w:t>
            </w:r>
          </w:p>
        </w:tc>
        <w:tc>
          <w:tcPr>
            <w:tcW w:w="1238"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350</w:t>
            </w:r>
          </w:p>
        </w:tc>
        <w:tc>
          <w:tcPr>
            <w:tcW w:w="1450" w:type="dxa"/>
            <w:tcBorders>
              <w:tl2br w:val="nil"/>
              <w:tr2bl w:val="nil"/>
            </w:tcBorders>
            <w:vAlign w:val="center"/>
          </w:tcPr>
          <w:p>
            <w:pPr>
              <w:pStyle w:val="22"/>
              <w:bidi w:val="0"/>
              <w:jc w:val="center"/>
              <w:rPr>
                <w:color w:val="auto"/>
              </w:rPr>
            </w:pPr>
            <w:r>
              <w:rPr>
                <w:color w:val="auto"/>
              </w:rPr>
              <w:t>100支/盒</w:t>
            </w:r>
          </w:p>
        </w:tc>
        <w:tc>
          <w:tcPr>
            <w:tcW w:w="1160" w:type="dxa"/>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jc w:val="center"/>
        </w:trPr>
        <w:tc>
          <w:tcPr>
            <w:tcW w:w="946" w:type="dxa"/>
            <w:vMerge w:val="continue"/>
            <w:tcBorders>
              <w:tl2br w:val="nil"/>
              <w:tr2bl w:val="nil"/>
            </w:tcBorders>
            <w:vAlign w:val="center"/>
          </w:tcPr>
          <w:p>
            <w:pPr>
              <w:pStyle w:val="22"/>
              <w:bidi w:val="0"/>
              <w:jc w:val="center"/>
              <w:rPr>
                <w:color w:val="auto"/>
              </w:rPr>
            </w:pPr>
          </w:p>
        </w:tc>
        <w:tc>
          <w:tcPr>
            <w:tcW w:w="1154" w:type="dxa"/>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9</w:t>
            </w:r>
          </w:p>
        </w:tc>
        <w:tc>
          <w:tcPr>
            <w:tcW w:w="1312" w:type="dxa"/>
            <w:tcBorders>
              <w:tl2br w:val="nil"/>
              <w:tr2bl w:val="nil"/>
            </w:tcBorders>
            <w:vAlign w:val="center"/>
          </w:tcPr>
          <w:p>
            <w:pPr>
              <w:pStyle w:val="22"/>
              <w:bidi w:val="0"/>
              <w:jc w:val="center"/>
              <w:rPr>
                <w:color w:val="auto"/>
              </w:rPr>
            </w:pPr>
            <w:r>
              <w:rPr>
                <w:color w:val="auto"/>
              </w:rPr>
              <w:t>压舌板</w:t>
            </w:r>
          </w:p>
        </w:tc>
        <w:tc>
          <w:tcPr>
            <w:tcW w:w="1275" w:type="dxa"/>
            <w:tcBorders>
              <w:tl2br w:val="nil"/>
              <w:tr2bl w:val="nil"/>
            </w:tcBorders>
            <w:vAlign w:val="center"/>
          </w:tcPr>
          <w:p>
            <w:pPr>
              <w:pStyle w:val="22"/>
              <w:bidi w:val="0"/>
              <w:jc w:val="center"/>
              <w:rPr>
                <w:color w:val="auto"/>
              </w:rPr>
            </w:pPr>
            <w:r>
              <w:rPr>
                <w:color w:val="auto"/>
              </w:rPr>
              <w:t>支</w:t>
            </w:r>
          </w:p>
        </w:tc>
        <w:tc>
          <w:tcPr>
            <w:tcW w:w="1238"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50</w:t>
            </w:r>
          </w:p>
        </w:tc>
        <w:tc>
          <w:tcPr>
            <w:tcW w:w="1450" w:type="dxa"/>
            <w:tcBorders>
              <w:tl2br w:val="nil"/>
              <w:tr2bl w:val="nil"/>
            </w:tcBorders>
            <w:vAlign w:val="center"/>
          </w:tcPr>
          <w:p>
            <w:pPr>
              <w:pStyle w:val="22"/>
              <w:bidi w:val="0"/>
              <w:jc w:val="center"/>
              <w:rPr>
                <w:color w:val="auto"/>
              </w:rPr>
            </w:pPr>
            <w:r>
              <w:rPr>
                <w:color w:val="auto"/>
              </w:rPr>
              <w:t>100支/盒</w:t>
            </w:r>
          </w:p>
        </w:tc>
        <w:tc>
          <w:tcPr>
            <w:tcW w:w="1160" w:type="dxa"/>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jc w:val="center"/>
        </w:trPr>
        <w:tc>
          <w:tcPr>
            <w:tcW w:w="946" w:type="dxa"/>
            <w:vMerge w:val="continue"/>
            <w:tcBorders>
              <w:tl2br w:val="nil"/>
              <w:tr2bl w:val="nil"/>
            </w:tcBorders>
            <w:vAlign w:val="center"/>
          </w:tcPr>
          <w:p>
            <w:pPr>
              <w:pStyle w:val="22"/>
              <w:bidi w:val="0"/>
              <w:jc w:val="center"/>
              <w:rPr>
                <w:color w:val="auto"/>
              </w:rPr>
            </w:pPr>
          </w:p>
        </w:tc>
        <w:tc>
          <w:tcPr>
            <w:tcW w:w="1154"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10</w:t>
            </w:r>
          </w:p>
        </w:tc>
        <w:tc>
          <w:tcPr>
            <w:tcW w:w="1312" w:type="dxa"/>
            <w:tcBorders>
              <w:tl2br w:val="nil"/>
              <w:tr2bl w:val="nil"/>
            </w:tcBorders>
            <w:vAlign w:val="center"/>
          </w:tcPr>
          <w:p>
            <w:pPr>
              <w:pStyle w:val="22"/>
              <w:bidi w:val="0"/>
              <w:jc w:val="center"/>
              <w:rPr>
                <w:color w:val="auto"/>
              </w:rPr>
            </w:pPr>
            <w:r>
              <w:rPr>
                <w:color w:val="auto"/>
              </w:rPr>
              <w:t>乳胶手套</w:t>
            </w:r>
          </w:p>
        </w:tc>
        <w:tc>
          <w:tcPr>
            <w:tcW w:w="1275" w:type="dxa"/>
            <w:tcBorders>
              <w:tl2br w:val="nil"/>
              <w:tr2bl w:val="nil"/>
            </w:tcBorders>
            <w:vAlign w:val="center"/>
          </w:tcPr>
          <w:p>
            <w:pPr>
              <w:pStyle w:val="22"/>
              <w:bidi w:val="0"/>
              <w:jc w:val="center"/>
              <w:rPr>
                <w:color w:val="auto"/>
              </w:rPr>
            </w:pPr>
            <w:r>
              <w:rPr>
                <w:color w:val="auto"/>
              </w:rPr>
              <w:t>支</w:t>
            </w:r>
          </w:p>
        </w:tc>
        <w:tc>
          <w:tcPr>
            <w:tcW w:w="1238"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100</w:t>
            </w:r>
          </w:p>
        </w:tc>
        <w:tc>
          <w:tcPr>
            <w:tcW w:w="1450" w:type="dxa"/>
            <w:tcBorders>
              <w:tl2br w:val="nil"/>
              <w:tr2bl w:val="nil"/>
            </w:tcBorders>
            <w:vAlign w:val="center"/>
          </w:tcPr>
          <w:p>
            <w:pPr>
              <w:pStyle w:val="22"/>
              <w:bidi w:val="0"/>
              <w:jc w:val="center"/>
              <w:rPr>
                <w:color w:val="auto"/>
              </w:rPr>
            </w:pPr>
            <w:r>
              <w:rPr>
                <w:color w:val="auto"/>
              </w:rPr>
              <w:t>100支/盒</w:t>
            </w:r>
          </w:p>
        </w:tc>
        <w:tc>
          <w:tcPr>
            <w:tcW w:w="1160" w:type="dxa"/>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jc w:val="center"/>
        </w:trPr>
        <w:tc>
          <w:tcPr>
            <w:tcW w:w="946" w:type="dxa"/>
            <w:vMerge w:val="continue"/>
            <w:tcBorders>
              <w:tl2br w:val="nil"/>
              <w:tr2bl w:val="nil"/>
            </w:tcBorders>
            <w:vAlign w:val="center"/>
          </w:tcPr>
          <w:p>
            <w:pPr>
              <w:pStyle w:val="22"/>
              <w:bidi w:val="0"/>
              <w:jc w:val="center"/>
              <w:rPr>
                <w:color w:val="auto"/>
              </w:rPr>
            </w:pPr>
          </w:p>
        </w:tc>
        <w:tc>
          <w:tcPr>
            <w:tcW w:w="1154"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11</w:t>
            </w:r>
          </w:p>
        </w:tc>
        <w:tc>
          <w:tcPr>
            <w:tcW w:w="1312" w:type="dxa"/>
            <w:tcBorders>
              <w:tl2br w:val="nil"/>
              <w:tr2bl w:val="nil"/>
            </w:tcBorders>
            <w:vAlign w:val="center"/>
          </w:tcPr>
          <w:p>
            <w:pPr>
              <w:pStyle w:val="22"/>
              <w:bidi w:val="0"/>
              <w:jc w:val="center"/>
              <w:rPr>
                <w:color w:val="auto"/>
              </w:rPr>
            </w:pPr>
            <w:r>
              <w:rPr>
                <w:color w:val="auto"/>
              </w:rPr>
              <w:t>防护服</w:t>
            </w:r>
          </w:p>
        </w:tc>
        <w:tc>
          <w:tcPr>
            <w:tcW w:w="1275" w:type="dxa"/>
            <w:tcBorders>
              <w:tl2br w:val="nil"/>
              <w:tr2bl w:val="nil"/>
            </w:tcBorders>
            <w:vAlign w:val="center"/>
          </w:tcPr>
          <w:p>
            <w:pPr>
              <w:pStyle w:val="22"/>
              <w:bidi w:val="0"/>
              <w:jc w:val="center"/>
              <w:rPr>
                <w:color w:val="auto"/>
              </w:rPr>
            </w:pPr>
            <w:r>
              <w:rPr>
                <w:color w:val="auto"/>
              </w:rPr>
              <w:t>套</w:t>
            </w:r>
          </w:p>
        </w:tc>
        <w:tc>
          <w:tcPr>
            <w:tcW w:w="1238"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500</w:t>
            </w:r>
          </w:p>
        </w:tc>
        <w:tc>
          <w:tcPr>
            <w:tcW w:w="1450" w:type="dxa"/>
            <w:tcBorders>
              <w:tl2br w:val="nil"/>
              <w:tr2bl w:val="nil"/>
            </w:tcBorders>
            <w:vAlign w:val="center"/>
          </w:tcPr>
          <w:p>
            <w:pPr>
              <w:pStyle w:val="22"/>
              <w:bidi w:val="0"/>
              <w:jc w:val="center"/>
              <w:rPr>
                <w:color w:val="auto"/>
              </w:rPr>
            </w:pPr>
            <w:r>
              <w:rPr>
                <w:color w:val="auto"/>
              </w:rPr>
              <w:t>/</w:t>
            </w:r>
          </w:p>
        </w:tc>
        <w:tc>
          <w:tcPr>
            <w:tcW w:w="1160" w:type="dxa"/>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jc w:val="center"/>
        </w:trPr>
        <w:tc>
          <w:tcPr>
            <w:tcW w:w="946" w:type="dxa"/>
            <w:vMerge w:val="restart"/>
            <w:tcBorders>
              <w:tl2br w:val="nil"/>
              <w:tr2bl w:val="nil"/>
            </w:tcBorders>
            <w:vAlign w:val="center"/>
          </w:tcPr>
          <w:p>
            <w:pPr>
              <w:pStyle w:val="22"/>
              <w:bidi w:val="0"/>
              <w:jc w:val="center"/>
              <w:rPr>
                <w:color w:val="auto"/>
              </w:rPr>
            </w:pPr>
            <w:r>
              <w:rPr>
                <w:color w:val="auto"/>
              </w:rPr>
              <w:t>药剂</w:t>
            </w:r>
          </w:p>
        </w:tc>
        <w:tc>
          <w:tcPr>
            <w:tcW w:w="1154"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12</w:t>
            </w:r>
          </w:p>
        </w:tc>
        <w:tc>
          <w:tcPr>
            <w:tcW w:w="1312" w:type="dxa"/>
            <w:tcBorders>
              <w:tl2br w:val="nil"/>
              <w:tr2bl w:val="nil"/>
            </w:tcBorders>
            <w:vAlign w:val="center"/>
          </w:tcPr>
          <w:p>
            <w:pPr>
              <w:pStyle w:val="22"/>
              <w:bidi w:val="0"/>
              <w:jc w:val="center"/>
              <w:rPr>
                <w:color w:val="auto"/>
              </w:rPr>
            </w:pPr>
            <w:r>
              <w:rPr>
                <w:color w:val="auto"/>
              </w:rPr>
              <w:t>酒精</w:t>
            </w:r>
          </w:p>
        </w:tc>
        <w:tc>
          <w:tcPr>
            <w:tcW w:w="1275" w:type="dxa"/>
            <w:tcBorders>
              <w:tl2br w:val="nil"/>
              <w:tr2bl w:val="nil"/>
            </w:tcBorders>
            <w:vAlign w:val="center"/>
          </w:tcPr>
          <w:p>
            <w:pPr>
              <w:pStyle w:val="22"/>
              <w:bidi w:val="0"/>
              <w:jc w:val="center"/>
              <w:rPr>
                <w:color w:val="auto"/>
              </w:rPr>
            </w:pPr>
            <w:r>
              <w:rPr>
                <w:color w:val="auto"/>
              </w:rPr>
              <w:t>瓶</w:t>
            </w:r>
          </w:p>
        </w:tc>
        <w:tc>
          <w:tcPr>
            <w:tcW w:w="1238"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20</w:t>
            </w:r>
          </w:p>
        </w:tc>
        <w:tc>
          <w:tcPr>
            <w:tcW w:w="1450" w:type="dxa"/>
            <w:tcBorders>
              <w:tl2br w:val="nil"/>
              <w:tr2bl w:val="nil"/>
            </w:tcBorders>
            <w:vAlign w:val="center"/>
          </w:tcPr>
          <w:p>
            <w:pPr>
              <w:pStyle w:val="22"/>
              <w:bidi w:val="0"/>
              <w:jc w:val="center"/>
              <w:rPr>
                <w:color w:val="auto"/>
              </w:rPr>
            </w:pPr>
            <w:r>
              <w:rPr>
                <w:color w:val="auto"/>
              </w:rPr>
              <w:t>500mL/瓶，液体</w:t>
            </w:r>
          </w:p>
        </w:tc>
        <w:tc>
          <w:tcPr>
            <w:tcW w:w="1160" w:type="dxa"/>
            <w:tcBorders>
              <w:tl2br w:val="nil"/>
              <w:tr2bl w:val="nil"/>
            </w:tcBorders>
            <w:vAlign w:val="center"/>
          </w:tcPr>
          <w:p>
            <w:pPr>
              <w:pStyle w:val="22"/>
              <w:bidi w:val="0"/>
              <w:jc w:val="center"/>
              <w:rPr>
                <w:color w:val="auto"/>
              </w:rPr>
            </w:pPr>
            <w:r>
              <w:rPr>
                <w:rFonts w:hint="eastAsia"/>
                <w:color w:val="auto"/>
                <w:lang w:val="en-US" w:eastAsia="zh-CN"/>
              </w:rPr>
              <w:t>20</w:t>
            </w:r>
            <w:r>
              <w:rPr>
                <w:color w:val="auto"/>
              </w:rPr>
              <w:t>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jc w:val="center"/>
        </w:trPr>
        <w:tc>
          <w:tcPr>
            <w:tcW w:w="946" w:type="dxa"/>
            <w:vMerge w:val="continue"/>
            <w:tcBorders>
              <w:tl2br w:val="nil"/>
              <w:tr2bl w:val="nil"/>
            </w:tcBorders>
            <w:vAlign w:val="center"/>
          </w:tcPr>
          <w:p>
            <w:pPr>
              <w:pStyle w:val="22"/>
              <w:bidi w:val="0"/>
              <w:jc w:val="center"/>
              <w:rPr>
                <w:color w:val="auto"/>
              </w:rPr>
            </w:pPr>
          </w:p>
        </w:tc>
        <w:tc>
          <w:tcPr>
            <w:tcW w:w="1154" w:type="dxa"/>
            <w:tcBorders>
              <w:tl2br w:val="nil"/>
              <w:tr2bl w:val="nil"/>
            </w:tcBorders>
            <w:vAlign w:val="center"/>
          </w:tcPr>
          <w:p>
            <w:pPr>
              <w:pStyle w:val="22"/>
              <w:bidi w:val="0"/>
              <w:jc w:val="center"/>
              <w:rPr>
                <w:rFonts w:hint="eastAsia" w:eastAsia="宋体"/>
                <w:color w:val="auto"/>
                <w:lang w:eastAsia="zh-CN"/>
              </w:rPr>
            </w:pPr>
            <w:r>
              <w:rPr>
                <w:color w:val="auto"/>
              </w:rPr>
              <w:t>1</w:t>
            </w:r>
            <w:r>
              <w:rPr>
                <w:rFonts w:hint="eastAsia"/>
                <w:color w:val="auto"/>
                <w:lang w:val="en-US" w:eastAsia="zh-CN"/>
              </w:rPr>
              <w:t>2</w:t>
            </w:r>
          </w:p>
        </w:tc>
        <w:tc>
          <w:tcPr>
            <w:tcW w:w="1312" w:type="dxa"/>
            <w:tcBorders>
              <w:tl2br w:val="nil"/>
              <w:tr2bl w:val="nil"/>
            </w:tcBorders>
            <w:vAlign w:val="center"/>
          </w:tcPr>
          <w:p>
            <w:pPr>
              <w:pStyle w:val="22"/>
              <w:bidi w:val="0"/>
              <w:jc w:val="center"/>
              <w:rPr>
                <w:color w:val="auto"/>
              </w:rPr>
            </w:pPr>
            <w:r>
              <w:rPr>
                <w:color w:val="auto"/>
              </w:rPr>
              <w:t>乙醚</w:t>
            </w:r>
          </w:p>
        </w:tc>
        <w:tc>
          <w:tcPr>
            <w:tcW w:w="1275" w:type="dxa"/>
            <w:tcBorders>
              <w:tl2br w:val="nil"/>
              <w:tr2bl w:val="nil"/>
            </w:tcBorders>
            <w:vAlign w:val="center"/>
          </w:tcPr>
          <w:p>
            <w:pPr>
              <w:pStyle w:val="22"/>
              <w:bidi w:val="0"/>
              <w:jc w:val="center"/>
              <w:rPr>
                <w:color w:val="auto"/>
              </w:rPr>
            </w:pPr>
            <w:r>
              <w:rPr>
                <w:color w:val="auto"/>
              </w:rPr>
              <w:t>瓶</w:t>
            </w:r>
          </w:p>
        </w:tc>
        <w:tc>
          <w:tcPr>
            <w:tcW w:w="1238" w:type="dxa"/>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5</w:t>
            </w:r>
          </w:p>
        </w:tc>
        <w:tc>
          <w:tcPr>
            <w:tcW w:w="1450" w:type="dxa"/>
            <w:tcBorders>
              <w:tl2br w:val="nil"/>
              <w:tr2bl w:val="nil"/>
            </w:tcBorders>
            <w:vAlign w:val="center"/>
          </w:tcPr>
          <w:p>
            <w:pPr>
              <w:pStyle w:val="22"/>
              <w:bidi w:val="0"/>
              <w:jc w:val="center"/>
              <w:rPr>
                <w:color w:val="auto"/>
              </w:rPr>
            </w:pPr>
            <w:r>
              <w:rPr>
                <w:color w:val="auto"/>
              </w:rPr>
              <w:t>500mL/瓶，液体</w:t>
            </w:r>
          </w:p>
        </w:tc>
        <w:tc>
          <w:tcPr>
            <w:tcW w:w="1160" w:type="dxa"/>
            <w:tcBorders>
              <w:tl2br w:val="nil"/>
              <w:tr2bl w:val="nil"/>
            </w:tcBorders>
            <w:vAlign w:val="center"/>
          </w:tcPr>
          <w:p>
            <w:pPr>
              <w:pStyle w:val="22"/>
              <w:bidi w:val="0"/>
              <w:jc w:val="center"/>
              <w:rPr>
                <w:color w:val="auto"/>
              </w:rPr>
            </w:pPr>
            <w:r>
              <w:rPr>
                <w:rFonts w:hint="eastAsia"/>
                <w:color w:val="auto"/>
                <w:lang w:val="en-US" w:eastAsia="zh-CN"/>
              </w:rPr>
              <w:t>5</w:t>
            </w:r>
            <w:r>
              <w:rPr>
                <w:color w:val="auto"/>
              </w:rPr>
              <w:t>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3" w:hRule="atLeast"/>
          <w:jc w:val="center"/>
        </w:trPr>
        <w:tc>
          <w:tcPr>
            <w:tcW w:w="946" w:type="dxa"/>
            <w:vMerge w:val="continue"/>
            <w:tcBorders>
              <w:tl2br w:val="nil"/>
              <w:tr2bl w:val="nil"/>
            </w:tcBorders>
            <w:vAlign w:val="center"/>
          </w:tcPr>
          <w:p>
            <w:pPr>
              <w:pStyle w:val="22"/>
              <w:bidi w:val="0"/>
              <w:jc w:val="center"/>
              <w:rPr>
                <w:color w:val="auto"/>
              </w:rPr>
            </w:pPr>
          </w:p>
        </w:tc>
        <w:tc>
          <w:tcPr>
            <w:tcW w:w="1154" w:type="dxa"/>
            <w:tcBorders>
              <w:tl2br w:val="nil"/>
              <w:tr2bl w:val="nil"/>
            </w:tcBorders>
            <w:vAlign w:val="center"/>
          </w:tcPr>
          <w:p>
            <w:pPr>
              <w:pStyle w:val="22"/>
              <w:bidi w:val="0"/>
              <w:jc w:val="center"/>
              <w:rPr>
                <w:rFonts w:hint="eastAsia" w:eastAsia="宋体"/>
                <w:color w:val="auto"/>
                <w:lang w:eastAsia="zh-CN"/>
              </w:rPr>
            </w:pPr>
            <w:r>
              <w:rPr>
                <w:color w:val="auto"/>
              </w:rPr>
              <w:t>1</w:t>
            </w:r>
            <w:r>
              <w:rPr>
                <w:rFonts w:hint="eastAsia"/>
                <w:color w:val="auto"/>
                <w:lang w:val="en-US" w:eastAsia="zh-CN"/>
              </w:rPr>
              <w:t>4</w:t>
            </w:r>
          </w:p>
        </w:tc>
        <w:tc>
          <w:tcPr>
            <w:tcW w:w="1312" w:type="dxa"/>
            <w:tcBorders>
              <w:tl2br w:val="nil"/>
              <w:tr2bl w:val="nil"/>
            </w:tcBorders>
            <w:vAlign w:val="center"/>
          </w:tcPr>
          <w:p>
            <w:pPr>
              <w:pStyle w:val="22"/>
              <w:bidi w:val="0"/>
              <w:jc w:val="center"/>
              <w:rPr>
                <w:color w:val="auto"/>
              </w:rPr>
            </w:pPr>
            <w:r>
              <w:rPr>
                <w:color w:val="auto"/>
              </w:rPr>
              <w:t>三氯甲烷</w:t>
            </w:r>
          </w:p>
        </w:tc>
        <w:tc>
          <w:tcPr>
            <w:tcW w:w="1275" w:type="dxa"/>
            <w:tcBorders>
              <w:tl2br w:val="nil"/>
              <w:tr2bl w:val="nil"/>
            </w:tcBorders>
            <w:vAlign w:val="center"/>
          </w:tcPr>
          <w:p>
            <w:pPr>
              <w:pStyle w:val="22"/>
              <w:bidi w:val="0"/>
              <w:jc w:val="center"/>
              <w:rPr>
                <w:color w:val="auto"/>
              </w:rPr>
            </w:pPr>
            <w:r>
              <w:rPr>
                <w:color w:val="auto"/>
              </w:rPr>
              <w:t>瓶</w:t>
            </w:r>
          </w:p>
        </w:tc>
        <w:tc>
          <w:tcPr>
            <w:tcW w:w="1238"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1</w:t>
            </w:r>
          </w:p>
        </w:tc>
        <w:tc>
          <w:tcPr>
            <w:tcW w:w="1450" w:type="dxa"/>
            <w:tcBorders>
              <w:tl2br w:val="nil"/>
              <w:tr2bl w:val="nil"/>
            </w:tcBorders>
            <w:vAlign w:val="center"/>
          </w:tcPr>
          <w:p>
            <w:pPr>
              <w:pStyle w:val="22"/>
              <w:bidi w:val="0"/>
              <w:jc w:val="center"/>
              <w:rPr>
                <w:color w:val="auto"/>
              </w:rPr>
            </w:pPr>
            <w:r>
              <w:rPr>
                <w:color w:val="auto"/>
              </w:rPr>
              <w:t>500mL/瓶，液体</w:t>
            </w:r>
          </w:p>
        </w:tc>
        <w:tc>
          <w:tcPr>
            <w:tcW w:w="1160" w:type="dxa"/>
            <w:tcBorders>
              <w:tl2br w:val="nil"/>
              <w:tr2bl w:val="nil"/>
            </w:tcBorders>
            <w:vAlign w:val="center"/>
          </w:tcPr>
          <w:p>
            <w:pPr>
              <w:pStyle w:val="22"/>
              <w:bidi w:val="0"/>
              <w:jc w:val="center"/>
              <w:rPr>
                <w:color w:val="auto"/>
              </w:rPr>
            </w:pPr>
            <w:r>
              <w:rPr>
                <w:rFonts w:hint="eastAsia"/>
                <w:color w:val="auto"/>
                <w:lang w:val="en-US" w:eastAsia="zh-CN"/>
              </w:rPr>
              <w:t>1</w:t>
            </w:r>
            <w:r>
              <w:rPr>
                <w:color w:val="auto"/>
              </w:rPr>
              <w:t>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jc w:val="center"/>
        </w:trPr>
        <w:tc>
          <w:tcPr>
            <w:tcW w:w="946" w:type="dxa"/>
            <w:vMerge w:val="continue"/>
            <w:tcBorders>
              <w:tl2br w:val="nil"/>
              <w:tr2bl w:val="nil"/>
            </w:tcBorders>
            <w:vAlign w:val="center"/>
          </w:tcPr>
          <w:p>
            <w:pPr>
              <w:pStyle w:val="22"/>
              <w:bidi w:val="0"/>
              <w:jc w:val="center"/>
              <w:rPr>
                <w:color w:val="auto"/>
              </w:rPr>
            </w:pPr>
          </w:p>
        </w:tc>
        <w:tc>
          <w:tcPr>
            <w:tcW w:w="1154" w:type="dxa"/>
            <w:tcBorders>
              <w:tl2br w:val="nil"/>
              <w:tr2bl w:val="nil"/>
            </w:tcBorders>
            <w:vAlign w:val="center"/>
          </w:tcPr>
          <w:p>
            <w:pPr>
              <w:pStyle w:val="22"/>
              <w:bidi w:val="0"/>
              <w:jc w:val="center"/>
              <w:rPr>
                <w:rFonts w:hint="eastAsia" w:eastAsia="宋体"/>
                <w:color w:val="auto"/>
                <w:lang w:eastAsia="zh-CN"/>
              </w:rPr>
            </w:pPr>
            <w:r>
              <w:rPr>
                <w:color w:val="auto"/>
              </w:rPr>
              <w:t>1</w:t>
            </w:r>
            <w:r>
              <w:rPr>
                <w:rFonts w:hint="eastAsia"/>
                <w:color w:val="auto"/>
                <w:lang w:val="en-US" w:eastAsia="zh-CN"/>
              </w:rPr>
              <w:t>5</w:t>
            </w:r>
          </w:p>
        </w:tc>
        <w:tc>
          <w:tcPr>
            <w:tcW w:w="1312" w:type="dxa"/>
            <w:tcBorders>
              <w:tl2br w:val="nil"/>
              <w:tr2bl w:val="nil"/>
            </w:tcBorders>
            <w:vAlign w:val="center"/>
          </w:tcPr>
          <w:p>
            <w:pPr>
              <w:pStyle w:val="22"/>
              <w:bidi w:val="0"/>
              <w:jc w:val="center"/>
              <w:rPr>
                <w:color w:val="auto"/>
              </w:rPr>
            </w:pPr>
            <w:r>
              <w:rPr>
                <w:color w:val="auto"/>
              </w:rPr>
              <w:t>无水乙醇</w:t>
            </w:r>
          </w:p>
        </w:tc>
        <w:tc>
          <w:tcPr>
            <w:tcW w:w="1275" w:type="dxa"/>
            <w:tcBorders>
              <w:tl2br w:val="nil"/>
              <w:tr2bl w:val="nil"/>
            </w:tcBorders>
            <w:vAlign w:val="center"/>
          </w:tcPr>
          <w:p>
            <w:pPr>
              <w:pStyle w:val="22"/>
              <w:bidi w:val="0"/>
              <w:jc w:val="center"/>
              <w:rPr>
                <w:color w:val="auto"/>
              </w:rPr>
            </w:pPr>
            <w:r>
              <w:rPr>
                <w:color w:val="auto"/>
              </w:rPr>
              <w:t>瓶</w:t>
            </w:r>
          </w:p>
        </w:tc>
        <w:tc>
          <w:tcPr>
            <w:tcW w:w="1238" w:type="dxa"/>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3</w:t>
            </w:r>
          </w:p>
        </w:tc>
        <w:tc>
          <w:tcPr>
            <w:tcW w:w="1450" w:type="dxa"/>
            <w:tcBorders>
              <w:tl2br w:val="nil"/>
              <w:tr2bl w:val="nil"/>
            </w:tcBorders>
            <w:vAlign w:val="center"/>
          </w:tcPr>
          <w:p>
            <w:pPr>
              <w:pStyle w:val="22"/>
              <w:bidi w:val="0"/>
              <w:jc w:val="center"/>
              <w:rPr>
                <w:color w:val="auto"/>
              </w:rPr>
            </w:pPr>
            <w:r>
              <w:rPr>
                <w:color w:val="auto"/>
              </w:rPr>
              <w:t>500mL/瓶，液体</w:t>
            </w:r>
          </w:p>
        </w:tc>
        <w:tc>
          <w:tcPr>
            <w:tcW w:w="1160"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946" w:type="dxa"/>
            <w:vMerge w:val="continue"/>
            <w:tcBorders>
              <w:tl2br w:val="nil"/>
              <w:tr2bl w:val="nil"/>
            </w:tcBorders>
            <w:vAlign w:val="center"/>
          </w:tcPr>
          <w:p>
            <w:pPr>
              <w:pStyle w:val="22"/>
              <w:bidi w:val="0"/>
              <w:jc w:val="center"/>
              <w:rPr>
                <w:color w:val="auto"/>
              </w:rPr>
            </w:pPr>
          </w:p>
        </w:tc>
        <w:tc>
          <w:tcPr>
            <w:tcW w:w="1154" w:type="dxa"/>
            <w:tcBorders>
              <w:tl2br w:val="nil"/>
              <w:tr2bl w:val="nil"/>
            </w:tcBorders>
            <w:vAlign w:val="center"/>
          </w:tcPr>
          <w:p>
            <w:pPr>
              <w:pStyle w:val="22"/>
              <w:bidi w:val="0"/>
              <w:jc w:val="center"/>
              <w:rPr>
                <w:rFonts w:hint="eastAsia" w:eastAsia="宋体"/>
                <w:color w:val="auto"/>
                <w:lang w:eastAsia="zh-CN"/>
              </w:rPr>
            </w:pPr>
            <w:r>
              <w:rPr>
                <w:color w:val="auto"/>
              </w:rPr>
              <w:t>1</w:t>
            </w:r>
            <w:r>
              <w:rPr>
                <w:rFonts w:hint="eastAsia"/>
                <w:color w:val="auto"/>
                <w:lang w:val="en-US" w:eastAsia="zh-CN"/>
              </w:rPr>
              <w:t>6</w:t>
            </w:r>
          </w:p>
        </w:tc>
        <w:tc>
          <w:tcPr>
            <w:tcW w:w="1312" w:type="dxa"/>
            <w:tcBorders>
              <w:tl2br w:val="nil"/>
              <w:tr2bl w:val="nil"/>
            </w:tcBorders>
            <w:vAlign w:val="center"/>
          </w:tcPr>
          <w:p>
            <w:pPr>
              <w:pStyle w:val="22"/>
              <w:bidi w:val="0"/>
              <w:jc w:val="center"/>
              <w:rPr>
                <w:color w:val="auto"/>
              </w:rPr>
            </w:pPr>
            <w:r>
              <w:rPr>
                <w:color w:val="auto"/>
              </w:rPr>
              <w:t>异丙醇</w:t>
            </w:r>
          </w:p>
        </w:tc>
        <w:tc>
          <w:tcPr>
            <w:tcW w:w="1275" w:type="dxa"/>
            <w:tcBorders>
              <w:tl2br w:val="nil"/>
              <w:tr2bl w:val="nil"/>
            </w:tcBorders>
            <w:vAlign w:val="center"/>
          </w:tcPr>
          <w:p>
            <w:pPr>
              <w:pStyle w:val="22"/>
              <w:bidi w:val="0"/>
              <w:jc w:val="center"/>
              <w:rPr>
                <w:color w:val="auto"/>
              </w:rPr>
            </w:pPr>
            <w:r>
              <w:rPr>
                <w:color w:val="auto"/>
              </w:rPr>
              <w:t>瓶</w:t>
            </w:r>
          </w:p>
        </w:tc>
        <w:tc>
          <w:tcPr>
            <w:tcW w:w="1238" w:type="dxa"/>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2</w:t>
            </w:r>
          </w:p>
        </w:tc>
        <w:tc>
          <w:tcPr>
            <w:tcW w:w="1450" w:type="dxa"/>
            <w:tcBorders>
              <w:tl2br w:val="nil"/>
              <w:tr2bl w:val="nil"/>
            </w:tcBorders>
            <w:vAlign w:val="center"/>
          </w:tcPr>
          <w:p>
            <w:pPr>
              <w:pStyle w:val="22"/>
              <w:bidi w:val="0"/>
              <w:jc w:val="center"/>
              <w:rPr>
                <w:color w:val="auto"/>
              </w:rPr>
            </w:pPr>
            <w:r>
              <w:rPr>
                <w:color w:val="auto"/>
              </w:rPr>
              <w:t>500mL/瓶，液体</w:t>
            </w:r>
          </w:p>
        </w:tc>
        <w:tc>
          <w:tcPr>
            <w:tcW w:w="1160" w:type="dxa"/>
            <w:tcBorders>
              <w:tl2br w:val="nil"/>
              <w:tr2bl w:val="nil"/>
            </w:tcBorders>
            <w:vAlign w:val="center"/>
          </w:tcPr>
          <w:p>
            <w:pPr>
              <w:pStyle w:val="22"/>
              <w:bidi w:val="0"/>
              <w:jc w:val="center"/>
              <w:rPr>
                <w:color w:val="auto"/>
              </w:rPr>
            </w:pPr>
            <w:r>
              <w:rPr>
                <w:rFonts w:hint="eastAsia"/>
                <w:color w:val="auto"/>
                <w:lang w:val="en-US" w:eastAsia="zh-CN"/>
              </w:rPr>
              <w:t>2</w:t>
            </w:r>
            <w:r>
              <w:rPr>
                <w:color w:val="auto"/>
              </w:rPr>
              <w:t>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946" w:type="dxa"/>
            <w:vMerge w:val="continue"/>
            <w:tcBorders>
              <w:tl2br w:val="nil"/>
              <w:tr2bl w:val="nil"/>
            </w:tcBorders>
            <w:vAlign w:val="center"/>
          </w:tcPr>
          <w:p>
            <w:pPr>
              <w:pStyle w:val="22"/>
              <w:bidi w:val="0"/>
              <w:jc w:val="center"/>
              <w:rPr>
                <w:color w:val="auto"/>
              </w:rPr>
            </w:pPr>
          </w:p>
        </w:tc>
        <w:tc>
          <w:tcPr>
            <w:tcW w:w="1154"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17</w:t>
            </w:r>
          </w:p>
        </w:tc>
        <w:tc>
          <w:tcPr>
            <w:tcW w:w="1312" w:type="dxa"/>
            <w:tcBorders>
              <w:tl2br w:val="nil"/>
              <w:tr2bl w:val="nil"/>
            </w:tcBorders>
            <w:vAlign w:val="center"/>
          </w:tcPr>
          <w:p>
            <w:pPr>
              <w:pStyle w:val="22"/>
              <w:bidi w:val="0"/>
              <w:jc w:val="center"/>
              <w:rPr>
                <w:color w:val="auto"/>
              </w:rPr>
            </w:pPr>
            <w:r>
              <w:rPr>
                <w:rFonts w:ascii="宋体" w:hAnsi="宋体" w:eastAsia="宋体" w:cs="宋体"/>
                <w:color w:val="auto"/>
                <w:spacing w:val="-6"/>
                <w:sz w:val="21"/>
                <w:szCs w:val="21"/>
              </w:rPr>
              <w:t>盐酸</w:t>
            </w:r>
          </w:p>
        </w:tc>
        <w:tc>
          <w:tcPr>
            <w:tcW w:w="1275" w:type="dxa"/>
            <w:tcBorders>
              <w:tl2br w:val="nil"/>
              <w:tr2bl w:val="nil"/>
            </w:tcBorders>
            <w:vAlign w:val="center"/>
          </w:tcPr>
          <w:p>
            <w:pPr>
              <w:pStyle w:val="22"/>
              <w:bidi w:val="0"/>
              <w:jc w:val="center"/>
              <w:rPr>
                <w:color w:val="auto"/>
              </w:rPr>
            </w:pPr>
            <w:r>
              <w:rPr>
                <w:color w:val="auto"/>
              </w:rPr>
              <w:t>瓶</w:t>
            </w:r>
          </w:p>
        </w:tc>
        <w:tc>
          <w:tcPr>
            <w:tcW w:w="1238" w:type="dxa"/>
            <w:tcBorders>
              <w:tl2br w:val="nil"/>
              <w:tr2bl w:val="nil"/>
            </w:tcBorders>
            <w:vAlign w:val="center"/>
          </w:tcPr>
          <w:p>
            <w:pPr>
              <w:pStyle w:val="22"/>
              <w:bidi w:val="0"/>
              <w:jc w:val="center"/>
              <w:rPr>
                <w:rFonts w:hint="eastAsia" w:eastAsia="宋体"/>
                <w:color w:val="auto"/>
                <w:lang w:val="en-US" w:eastAsia="zh-CN"/>
              </w:rPr>
            </w:pPr>
            <w:r>
              <w:rPr>
                <w:rFonts w:hint="eastAsia"/>
                <w:color w:val="auto"/>
                <w:lang w:val="en-US" w:eastAsia="zh-CN"/>
              </w:rPr>
              <w:t>3</w:t>
            </w:r>
          </w:p>
        </w:tc>
        <w:tc>
          <w:tcPr>
            <w:tcW w:w="1450" w:type="dxa"/>
            <w:tcBorders>
              <w:tl2br w:val="nil"/>
              <w:tr2bl w:val="nil"/>
            </w:tcBorders>
            <w:vAlign w:val="center"/>
          </w:tcPr>
          <w:p>
            <w:pPr>
              <w:pStyle w:val="22"/>
              <w:bidi w:val="0"/>
              <w:jc w:val="center"/>
              <w:rPr>
                <w:color w:val="auto"/>
              </w:rPr>
            </w:pPr>
            <w:r>
              <w:rPr>
                <w:rFonts w:hint="eastAsia"/>
                <w:color w:val="auto"/>
                <w:lang w:val="en-US" w:eastAsia="zh-CN"/>
              </w:rPr>
              <w:t>200</w:t>
            </w:r>
            <w:r>
              <w:rPr>
                <w:color w:val="auto"/>
              </w:rPr>
              <w:t>mL/瓶，液体</w:t>
            </w:r>
          </w:p>
        </w:tc>
        <w:tc>
          <w:tcPr>
            <w:tcW w:w="1160" w:type="dxa"/>
            <w:tcBorders>
              <w:tl2br w:val="nil"/>
              <w:tr2bl w:val="nil"/>
            </w:tcBorders>
            <w:vAlign w:val="center"/>
          </w:tcPr>
          <w:p>
            <w:pPr>
              <w:pStyle w:val="22"/>
              <w:bidi w:val="0"/>
              <w:jc w:val="center"/>
              <w:rPr>
                <w:rFonts w:hint="eastAsia" w:eastAsia="宋体"/>
                <w:color w:val="auto"/>
                <w:lang w:val="en-US" w:eastAsia="zh-CN"/>
              </w:rPr>
            </w:pPr>
            <w:r>
              <w:rPr>
                <w:rFonts w:hint="eastAsia"/>
                <w:color w:val="auto"/>
                <w:lang w:val="en-US" w:eastAsia="zh-CN"/>
              </w:rPr>
              <w:t>3</w:t>
            </w:r>
            <w:r>
              <w:rPr>
                <w:color w:val="auto"/>
              </w:rPr>
              <w:t>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jc w:val="center"/>
        </w:trPr>
        <w:tc>
          <w:tcPr>
            <w:tcW w:w="946" w:type="dxa"/>
            <w:vMerge w:val="continue"/>
            <w:tcBorders>
              <w:tl2br w:val="nil"/>
              <w:tr2bl w:val="nil"/>
            </w:tcBorders>
            <w:vAlign w:val="center"/>
          </w:tcPr>
          <w:p>
            <w:pPr>
              <w:pStyle w:val="22"/>
              <w:bidi w:val="0"/>
              <w:jc w:val="center"/>
              <w:rPr>
                <w:color w:val="auto"/>
              </w:rPr>
            </w:pPr>
          </w:p>
        </w:tc>
        <w:tc>
          <w:tcPr>
            <w:tcW w:w="1154"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18</w:t>
            </w:r>
          </w:p>
        </w:tc>
        <w:tc>
          <w:tcPr>
            <w:tcW w:w="1312" w:type="dxa"/>
            <w:tcBorders>
              <w:tl2br w:val="nil"/>
              <w:tr2bl w:val="nil"/>
            </w:tcBorders>
            <w:vAlign w:val="center"/>
          </w:tcPr>
          <w:p>
            <w:pPr>
              <w:pStyle w:val="22"/>
              <w:bidi w:val="0"/>
              <w:jc w:val="center"/>
              <w:rPr>
                <w:color w:val="auto"/>
              </w:rPr>
            </w:pPr>
            <w:r>
              <w:rPr>
                <w:rFonts w:ascii="宋体" w:hAnsi="宋体" w:eastAsia="宋体" w:cs="宋体"/>
                <w:color w:val="auto"/>
                <w:spacing w:val="-6"/>
                <w:sz w:val="21"/>
                <w:szCs w:val="21"/>
              </w:rPr>
              <w:t>硝酸</w:t>
            </w:r>
          </w:p>
        </w:tc>
        <w:tc>
          <w:tcPr>
            <w:tcW w:w="1275" w:type="dxa"/>
            <w:tcBorders>
              <w:tl2br w:val="nil"/>
              <w:tr2bl w:val="nil"/>
            </w:tcBorders>
            <w:vAlign w:val="center"/>
          </w:tcPr>
          <w:p>
            <w:pPr>
              <w:pStyle w:val="22"/>
              <w:bidi w:val="0"/>
              <w:jc w:val="center"/>
              <w:rPr>
                <w:color w:val="auto"/>
              </w:rPr>
            </w:pPr>
            <w:r>
              <w:rPr>
                <w:color w:val="auto"/>
              </w:rPr>
              <w:t>瓶</w:t>
            </w:r>
          </w:p>
        </w:tc>
        <w:tc>
          <w:tcPr>
            <w:tcW w:w="1238"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4</w:t>
            </w:r>
          </w:p>
        </w:tc>
        <w:tc>
          <w:tcPr>
            <w:tcW w:w="1450" w:type="dxa"/>
            <w:tcBorders>
              <w:tl2br w:val="nil"/>
              <w:tr2bl w:val="nil"/>
            </w:tcBorders>
            <w:vAlign w:val="center"/>
          </w:tcPr>
          <w:p>
            <w:pPr>
              <w:pStyle w:val="22"/>
              <w:bidi w:val="0"/>
              <w:jc w:val="center"/>
              <w:rPr>
                <w:color w:val="auto"/>
              </w:rPr>
            </w:pPr>
            <w:r>
              <w:rPr>
                <w:rFonts w:hint="eastAsia"/>
                <w:color w:val="auto"/>
                <w:lang w:val="en-US" w:eastAsia="zh-CN"/>
              </w:rPr>
              <w:t>500</w:t>
            </w:r>
            <w:r>
              <w:rPr>
                <w:color w:val="auto"/>
              </w:rPr>
              <w:t>mL/瓶，液体</w:t>
            </w:r>
          </w:p>
        </w:tc>
        <w:tc>
          <w:tcPr>
            <w:tcW w:w="1160" w:type="dxa"/>
            <w:tcBorders>
              <w:tl2br w:val="nil"/>
              <w:tr2bl w:val="nil"/>
            </w:tcBorders>
            <w:vAlign w:val="center"/>
          </w:tcPr>
          <w:p>
            <w:pPr>
              <w:pStyle w:val="22"/>
              <w:bidi w:val="0"/>
              <w:jc w:val="center"/>
              <w:rPr>
                <w:rFonts w:hint="eastAsia" w:eastAsia="宋体"/>
                <w:color w:val="auto"/>
                <w:lang w:val="en-US" w:eastAsia="zh-CN"/>
              </w:rPr>
            </w:pPr>
            <w:r>
              <w:rPr>
                <w:rFonts w:hint="eastAsia"/>
                <w:color w:val="auto"/>
                <w:lang w:val="en-US" w:eastAsia="zh-CN"/>
              </w:rPr>
              <w:t>4</w:t>
            </w:r>
            <w:r>
              <w:rPr>
                <w:color w:val="auto"/>
              </w:rPr>
              <w:t>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946" w:type="dxa"/>
            <w:vMerge w:val="continue"/>
            <w:tcBorders>
              <w:tl2br w:val="nil"/>
              <w:tr2bl w:val="nil"/>
            </w:tcBorders>
            <w:vAlign w:val="center"/>
          </w:tcPr>
          <w:p>
            <w:pPr>
              <w:pStyle w:val="22"/>
              <w:bidi w:val="0"/>
              <w:jc w:val="center"/>
              <w:rPr>
                <w:color w:val="auto"/>
              </w:rPr>
            </w:pPr>
          </w:p>
        </w:tc>
        <w:tc>
          <w:tcPr>
            <w:tcW w:w="1154"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19</w:t>
            </w:r>
          </w:p>
        </w:tc>
        <w:tc>
          <w:tcPr>
            <w:tcW w:w="1312" w:type="dxa"/>
            <w:tcBorders>
              <w:tl2br w:val="nil"/>
              <w:tr2bl w:val="nil"/>
            </w:tcBorders>
            <w:vAlign w:val="center"/>
          </w:tcPr>
          <w:p>
            <w:pPr>
              <w:pStyle w:val="22"/>
              <w:bidi w:val="0"/>
              <w:jc w:val="center"/>
              <w:rPr>
                <w:rFonts w:ascii="宋体" w:hAnsi="宋体" w:eastAsia="宋体" w:cs="宋体"/>
                <w:color w:val="auto"/>
                <w:spacing w:val="-6"/>
                <w:sz w:val="21"/>
                <w:szCs w:val="21"/>
              </w:rPr>
            </w:pPr>
            <w:r>
              <w:rPr>
                <w:rFonts w:ascii="宋体" w:hAnsi="宋体" w:eastAsia="宋体" w:cs="宋体"/>
                <w:color w:val="auto"/>
                <w:spacing w:val="-5"/>
                <w:sz w:val="21"/>
                <w:szCs w:val="21"/>
              </w:rPr>
              <w:t>硫酸</w:t>
            </w:r>
          </w:p>
        </w:tc>
        <w:tc>
          <w:tcPr>
            <w:tcW w:w="1275" w:type="dxa"/>
            <w:tcBorders>
              <w:tl2br w:val="nil"/>
              <w:tr2bl w:val="nil"/>
            </w:tcBorders>
            <w:vAlign w:val="center"/>
          </w:tcPr>
          <w:p>
            <w:pPr>
              <w:pStyle w:val="22"/>
              <w:bidi w:val="0"/>
              <w:jc w:val="center"/>
              <w:rPr>
                <w:color w:val="auto"/>
              </w:rPr>
            </w:pPr>
            <w:r>
              <w:rPr>
                <w:color w:val="auto"/>
              </w:rPr>
              <w:t>瓶</w:t>
            </w:r>
          </w:p>
        </w:tc>
        <w:tc>
          <w:tcPr>
            <w:tcW w:w="1238" w:type="dxa"/>
            <w:tcBorders>
              <w:tl2br w:val="nil"/>
              <w:tr2bl w:val="nil"/>
            </w:tcBorders>
            <w:vAlign w:val="center"/>
          </w:tcPr>
          <w:p>
            <w:pPr>
              <w:pStyle w:val="22"/>
              <w:bidi w:val="0"/>
              <w:jc w:val="center"/>
              <w:rPr>
                <w:rFonts w:hint="eastAsia" w:eastAsia="宋体"/>
                <w:color w:val="auto"/>
                <w:lang w:val="en-US" w:eastAsia="zh-CN"/>
              </w:rPr>
            </w:pPr>
            <w:r>
              <w:rPr>
                <w:rFonts w:hint="eastAsia"/>
                <w:color w:val="auto"/>
                <w:lang w:val="en-US" w:eastAsia="zh-CN"/>
              </w:rPr>
              <w:t>2</w:t>
            </w:r>
          </w:p>
        </w:tc>
        <w:tc>
          <w:tcPr>
            <w:tcW w:w="1450" w:type="dxa"/>
            <w:tcBorders>
              <w:tl2br w:val="nil"/>
              <w:tr2bl w:val="nil"/>
            </w:tcBorders>
            <w:vAlign w:val="center"/>
          </w:tcPr>
          <w:p>
            <w:pPr>
              <w:pStyle w:val="22"/>
              <w:bidi w:val="0"/>
              <w:jc w:val="center"/>
              <w:rPr>
                <w:color w:val="auto"/>
              </w:rPr>
            </w:pPr>
            <w:r>
              <w:rPr>
                <w:rFonts w:hint="eastAsia"/>
                <w:color w:val="auto"/>
                <w:lang w:val="en-US" w:eastAsia="zh-CN"/>
              </w:rPr>
              <w:t>100</w:t>
            </w:r>
            <w:r>
              <w:rPr>
                <w:color w:val="auto"/>
              </w:rPr>
              <w:t>mL/瓶，液体</w:t>
            </w:r>
          </w:p>
        </w:tc>
        <w:tc>
          <w:tcPr>
            <w:tcW w:w="1160" w:type="dxa"/>
            <w:tcBorders>
              <w:tl2br w:val="nil"/>
              <w:tr2bl w:val="nil"/>
            </w:tcBorders>
            <w:vAlign w:val="center"/>
          </w:tcPr>
          <w:p>
            <w:pPr>
              <w:pStyle w:val="22"/>
              <w:bidi w:val="0"/>
              <w:jc w:val="center"/>
              <w:rPr>
                <w:rFonts w:hint="eastAsia" w:eastAsia="宋体"/>
                <w:color w:val="auto"/>
                <w:lang w:val="en-US" w:eastAsia="zh-CN"/>
              </w:rPr>
            </w:pPr>
            <w:r>
              <w:rPr>
                <w:rFonts w:hint="eastAsia"/>
                <w:color w:val="auto"/>
                <w:lang w:val="en-US" w:eastAsia="zh-CN"/>
              </w:rPr>
              <w:t>2</w:t>
            </w:r>
            <w:r>
              <w:rPr>
                <w:color w:val="auto"/>
              </w:rPr>
              <w:t>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946" w:type="dxa"/>
            <w:vMerge w:val="restart"/>
            <w:tcBorders>
              <w:tl2br w:val="nil"/>
              <w:tr2bl w:val="nil"/>
            </w:tcBorders>
            <w:vAlign w:val="center"/>
          </w:tcPr>
          <w:p>
            <w:pPr>
              <w:pStyle w:val="22"/>
              <w:bidi w:val="0"/>
              <w:jc w:val="center"/>
              <w:rPr>
                <w:color w:val="auto"/>
              </w:rPr>
            </w:pPr>
            <w:r>
              <w:rPr>
                <w:color w:val="auto"/>
              </w:rPr>
              <w:t>消毒剂</w:t>
            </w:r>
          </w:p>
        </w:tc>
        <w:tc>
          <w:tcPr>
            <w:tcW w:w="1154"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20</w:t>
            </w:r>
          </w:p>
        </w:tc>
        <w:tc>
          <w:tcPr>
            <w:tcW w:w="1312" w:type="dxa"/>
            <w:tcBorders>
              <w:tl2br w:val="nil"/>
              <w:tr2bl w:val="nil"/>
            </w:tcBorders>
            <w:vAlign w:val="center"/>
          </w:tcPr>
          <w:p>
            <w:pPr>
              <w:pStyle w:val="22"/>
              <w:bidi w:val="0"/>
              <w:jc w:val="center"/>
              <w:rPr>
                <w:color w:val="auto"/>
              </w:rPr>
            </w:pPr>
            <w:r>
              <w:rPr>
                <w:color w:val="auto"/>
              </w:rPr>
              <w:t>84消毒液</w:t>
            </w:r>
          </w:p>
        </w:tc>
        <w:tc>
          <w:tcPr>
            <w:tcW w:w="1275" w:type="dxa"/>
            <w:tcBorders>
              <w:tl2br w:val="nil"/>
              <w:tr2bl w:val="nil"/>
            </w:tcBorders>
            <w:vAlign w:val="center"/>
          </w:tcPr>
          <w:p>
            <w:pPr>
              <w:pStyle w:val="22"/>
              <w:bidi w:val="0"/>
              <w:jc w:val="center"/>
              <w:rPr>
                <w:color w:val="auto"/>
              </w:rPr>
            </w:pPr>
            <w:r>
              <w:rPr>
                <w:color w:val="auto"/>
              </w:rPr>
              <w:t>瓶</w:t>
            </w:r>
          </w:p>
        </w:tc>
        <w:tc>
          <w:tcPr>
            <w:tcW w:w="1238"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20</w:t>
            </w:r>
          </w:p>
        </w:tc>
        <w:tc>
          <w:tcPr>
            <w:tcW w:w="1450" w:type="dxa"/>
            <w:tcBorders>
              <w:tl2br w:val="nil"/>
              <w:tr2bl w:val="nil"/>
            </w:tcBorders>
            <w:vAlign w:val="center"/>
          </w:tcPr>
          <w:p>
            <w:pPr>
              <w:pStyle w:val="22"/>
              <w:bidi w:val="0"/>
              <w:jc w:val="center"/>
              <w:rPr>
                <w:color w:val="auto"/>
              </w:rPr>
            </w:pPr>
            <w:r>
              <w:rPr>
                <w:color w:val="auto"/>
              </w:rPr>
              <w:t>470mL/瓶，液体</w:t>
            </w:r>
          </w:p>
        </w:tc>
        <w:tc>
          <w:tcPr>
            <w:tcW w:w="1160" w:type="dxa"/>
            <w:tcBorders>
              <w:tl2br w:val="nil"/>
              <w:tr2bl w:val="nil"/>
            </w:tcBorders>
            <w:vAlign w:val="center"/>
          </w:tcPr>
          <w:p>
            <w:pPr>
              <w:pStyle w:val="22"/>
              <w:bidi w:val="0"/>
              <w:jc w:val="center"/>
              <w:rPr>
                <w:color w:val="auto"/>
              </w:rPr>
            </w:pPr>
            <w:r>
              <w:rPr>
                <w:rFonts w:hint="eastAsia"/>
                <w:color w:val="auto"/>
                <w:lang w:val="en-US" w:eastAsia="zh-CN"/>
              </w:rPr>
              <w:t>20</w:t>
            </w:r>
            <w:r>
              <w:rPr>
                <w:color w:val="auto"/>
              </w:rPr>
              <w:t>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946" w:type="dxa"/>
            <w:vMerge w:val="continue"/>
            <w:tcBorders>
              <w:tl2br w:val="nil"/>
              <w:tr2bl w:val="nil"/>
            </w:tcBorders>
            <w:vAlign w:val="center"/>
          </w:tcPr>
          <w:p>
            <w:pPr>
              <w:pStyle w:val="22"/>
              <w:bidi w:val="0"/>
              <w:jc w:val="center"/>
              <w:rPr>
                <w:color w:val="auto"/>
              </w:rPr>
            </w:pPr>
          </w:p>
        </w:tc>
        <w:tc>
          <w:tcPr>
            <w:tcW w:w="1154"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21</w:t>
            </w:r>
          </w:p>
        </w:tc>
        <w:tc>
          <w:tcPr>
            <w:tcW w:w="1312" w:type="dxa"/>
            <w:tcBorders>
              <w:tl2br w:val="nil"/>
              <w:tr2bl w:val="nil"/>
            </w:tcBorders>
            <w:vAlign w:val="center"/>
          </w:tcPr>
          <w:p>
            <w:pPr>
              <w:pStyle w:val="22"/>
              <w:bidi w:val="0"/>
              <w:jc w:val="center"/>
              <w:rPr>
                <w:color w:val="auto"/>
              </w:rPr>
            </w:pPr>
            <w:r>
              <w:rPr>
                <w:color w:val="auto"/>
              </w:rPr>
              <w:t>消毒剂</w:t>
            </w:r>
          </w:p>
        </w:tc>
        <w:tc>
          <w:tcPr>
            <w:tcW w:w="1275" w:type="dxa"/>
            <w:tcBorders>
              <w:tl2br w:val="nil"/>
              <w:tr2bl w:val="nil"/>
            </w:tcBorders>
            <w:vAlign w:val="center"/>
          </w:tcPr>
          <w:p>
            <w:pPr>
              <w:pStyle w:val="22"/>
              <w:bidi w:val="0"/>
              <w:jc w:val="center"/>
              <w:rPr>
                <w:color w:val="auto"/>
              </w:rPr>
            </w:pPr>
            <w:r>
              <w:rPr>
                <w:color w:val="auto"/>
              </w:rPr>
              <w:t>支</w:t>
            </w:r>
          </w:p>
        </w:tc>
        <w:tc>
          <w:tcPr>
            <w:tcW w:w="1238"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10</w:t>
            </w:r>
          </w:p>
        </w:tc>
        <w:tc>
          <w:tcPr>
            <w:tcW w:w="1450" w:type="dxa"/>
            <w:tcBorders>
              <w:tl2br w:val="nil"/>
              <w:tr2bl w:val="nil"/>
            </w:tcBorders>
            <w:vAlign w:val="center"/>
          </w:tcPr>
          <w:p>
            <w:pPr>
              <w:pStyle w:val="22"/>
              <w:bidi w:val="0"/>
              <w:jc w:val="center"/>
              <w:rPr>
                <w:color w:val="auto"/>
              </w:rPr>
            </w:pPr>
          </w:p>
        </w:tc>
        <w:tc>
          <w:tcPr>
            <w:tcW w:w="1160" w:type="dxa"/>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1" w:hRule="atLeast"/>
          <w:jc w:val="center"/>
        </w:trPr>
        <w:tc>
          <w:tcPr>
            <w:tcW w:w="946" w:type="dxa"/>
            <w:vMerge w:val="continue"/>
            <w:tcBorders>
              <w:tl2br w:val="nil"/>
              <w:tr2bl w:val="nil"/>
            </w:tcBorders>
            <w:vAlign w:val="center"/>
          </w:tcPr>
          <w:p>
            <w:pPr>
              <w:pStyle w:val="22"/>
              <w:bidi w:val="0"/>
              <w:jc w:val="center"/>
              <w:rPr>
                <w:color w:val="auto"/>
              </w:rPr>
            </w:pPr>
          </w:p>
        </w:tc>
        <w:tc>
          <w:tcPr>
            <w:tcW w:w="1154"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22</w:t>
            </w:r>
          </w:p>
        </w:tc>
        <w:tc>
          <w:tcPr>
            <w:tcW w:w="1312" w:type="dxa"/>
            <w:tcBorders>
              <w:tl2br w:val="nil"/>
              <w:tr2bl w:val="nil"/>
            </w:tcBorders>
            <w:vAlign w:val="center"/>
          </w:tcPr>
          <w:p>
            <w:pPr>
              <w:pStyle w:val="22"/>
              <w:bidi w:val="0"/>
              <w:jc w:val="center"/>
              <w:rPr>
                <w:color w:val="auto"/>
              </w:rPr>
            </w:pPr>
            <w:r>
              <w:rPr>
                <w:color w:val="auto"/>
              </w:rPr>
              <w:t>手消毒液</w:t>
            </w:r>
          </w:p>
        </w:tc>
        <w:tc>
          <w:tcPr>
            <w:tcW w:w="1275" w:type="dxa"/>
            <w:tcBorders>
              <w:tl2br w:val="nil"/>
              <w:tr2bl w:val="nil"/>
            </w:tcBorders>
            <w:vAlign w:val="center"/>
          </w:tcPr>
          <w:p>
            <w:pPr>
              <w:pStyle w:val="22"/>
              <w:bidi w:val="0"/>
              <w:jc w:val="center"/>
              <w:rPr>
                <w:color w:val="auto"/>
              </w:rPr>
            </w:pPr>
            <w:r>
              <w:rPr>
                <w:color w:val="auto"/>
              </w:rPr>
              <w:t>瓶</w:t>
            </w:r>
          </w:p>
        </w:tc>
        <w:tc>
          <w:tcPr>
            <w:tcW w:w="1238"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20</w:t>
            </w:r>
          </w:p>
        </w:tc>
        <w:tc>
          <w:tcPr>
            <w:tcW w:w="1450" w:type="dxa"/>
            <w:tcBorders>
              <w:tl2br w:val="nil"/>
              <w:tr2bl w:val="nil"/>
            </w:tcBorders>
            <w:vAlign w:val="center"/>
          </w:tcPr>
          <w:p>
            <w:pPr>
              <w:pStyle w:val="22"/>
              <w:bidi w:val="0"/>
              <w:jc w:val="center"/>
              <w:rPr>
                <w:color w:val="auto"/>
              </w:rPr>
            </w:pPr>
            <w:r>
              <w:rPr>
                <w:color w:val="auto"/>
              </w:rPr>
              <w:t>500mL/瓶，液体</w:t>
            </w:r>
          </w:p>
        </w:tc>
        <w:tc>
          <w:tcPr>
            <w:tcW w:w="1160" w:type="dxa"/>
            <w:tcBorders>
              <w:tl2br w:val="nil"/>
              <w:tr2bl w:val="nil"/>
            </w:tcBorders>
            <w:vAlign w:val="center"/>
          </w:tcPr>
          <w:p>
            <w:pPr>
              <w:pStyle w:val="22"/>
              <w:bidi w:val="0"/>
              <w:jc w:val="center"/>
              <w:rPr>
                <w:color w:val="auto"/>
              </w:rPr>
            </w:pPr>
            <w:r>
              <w:rPr>
                <w:rFonts w:hint="eastAsia"/>
                <w:color w:val="auto"/>
                <w:lang w:val="en-US" w:eastAsia="zh-CN"/>
              </w:rPr>
              <w:t>20</w:t>
            </w:r>
            <w:r>
              <w:rPr>
                <w:color w:val="auto"/>
              </w:rPr>
              <w:t>瓶</w:t>
            </w:r>
          </w:p>
        </w:tc>
      </w:tr>
    </w:tbl>
    <w:p>
      <w:pPr>
        <w:pStyle w:val="6"/>
        <w:bidi w:val="0"/>
        <w:outlineLvl w:val="1"/>
        <w:rPr>
          <w:rFonts w:hint="eastAsia"/>
          <w:color w:val="auto"/>
          <w:lang w:val="en-US" w:eastAsia="zh-CN"/>
        </w:rPr>
      </w:pPr>
      <w:bookmarkStart w:id="56" w:name="_Toc29841"/>
      <w:r>
        <w:rPr>
          <w:rFonts w:hint="eastAsia"/>
          <w:color w:val="auto"/>
          <w:lang w:val="en-US" w:eastAsia="zh-CN"/>
        </w:rPr>
        <w:t>3.2.4公用配套工程</w:t>
      </w:r>
      <w:bookmarkEnd w:id="56"/>
    </w:p>
    <w:p>
      <w:pPr>
        <w:pStyle w:val="7"/>
        <w:bidi w:val="0"/>
        <w:rPr>
          <w:rFonts w:hint="eastAsia"/>
          <w:color w:val="auto"/>
          <w:lang w:val="en-US" w:eastAsia="zh-CN"/>
        </w:rPr>
      </w:pPr>
      <w:r>
        <w:rPr>
          <w:rFonts w:hint="eastAsia"/>
          <w:color w:val="auto"/>
          <w:lang w:val="en-US" w:eastAsia="zh-CN"/>
        </w:rPr>
        <w:t>3.2.4.1给排水</w:t>
      </w:r>
    </w:p>
    <w:p>
      <w:pPr>
        <w:rPr>
          <w:rFonts w:hint="eastAsia"/>
          <w:color w:val="auto"/>
          <w:lang w:val="en-US" w:eastAsia="zh-CN"/>
        </w:rPr>
      </w:pPr>
      <w:r>
        <w:rPr>
          <w:rFonts w:hint="eastAsia"/>
          <w:color w:val="auto"/>
          <w:lang w:val="en-US" w:eastAsia="zh-CN"/>
        </w:rPr>
        <w:t>（1）供水</w:t>
      </w:r>
    </w:p>
    <w:p>
      <w:pPr>
        <w:bidi w:val="0"/>
        <w:rPr>
          <w:color w:val="auto"/>
        </w:rPr>
      </w:pPr>
      <w:r>
        <w:rPr>
          <w:color w:val="auto"/>
        </w:rPr>
        <w:t>本项目供水水源由</w:t>
      </w:r>
      <w:r>
        <w:rPr>
          <w:rFonts w:hint="eastAsia"/>
          <w:color w:val="auto"/>
          <w:lang w:val="en-US" w:eastAsia="zh-CN"/>
        </w:rPr>
        <w:t>皮山</w:t>
      </w:r>
      <w:r>
        <w:rPr>
          <w:color w:val="auto"/>
        </w:rPr>
        <w:t>县自来水公司提供，即可满足项目用水需求。</w:t>
      </w:r>
    </w:p>
    <w:p>
      <w:pPr>
        <w:bidi w:val="0"/>
        <w:rPr>
          <w:color w:val="auto"/>
        </w:rPr>
      </w:pPr>
      <w:r>
        <w:rPr>
          <w:color w:val="auto"/>
        </w:rPr>
        <w:t>本项目用水包括生活用水（包括办公生活用水、培训人员用水）、实验用水（包括实验室清洗用水、生物实验室用水）及纯水制备用水等；具体明细详见表3.1-9。</w:t>
      </w:r>
    </w:p>
    <w:p>
      <w:pPr>
        <w:bidi w:val="0"/>
        <w:rPr>
          <w:color w:val="auto"/>
        </w:rPr>
      </w:pPr>
      <w:r>
        <w:rPr>
          <w:color w:val="auto"/>
        </w:rPr>
        <w:t>（1）办公生活用水：本项目劳动定员</w:t>
      </w:r>
      <w:r>
        <w:rPr>
          <w:rFonts w:hint="eastAsia"/>
          <w:color w:val="auto"/>
          <w:lang w:val="en-US" w:eastAsia="zh-CN"/>
        </w:rPr>
        <w:t>50</w:t>
      </w:r>
      <w:r>
        <w:rPr>
          <w:color w:val="auto"/>
        </w:rPr>
        <w:t>人，用水量按100L人•d，用水量合计为</w:t>
      </w:r>
      <w:r>
        <w:rPr>
          <w:rFonts w:hint="eastAsia"/>
          <w:color w:val="auto"/>
          <w:lang w:val="en-US" w:eastAsia="zh-CN"/>
        </w:rPr>
        <w:t>5</w:t>
      </w:r>
      <w:r>
        <w:rPr>
          <w:color w:val="auto"/>
        </w:rPr>
        <w:t>m</w:t>
      </w:r>
      <w:r>
        <w:rPr>
          <w:color w:val="auto"/>
          <w:vertAlign w:val="superscript"/>
        </w:rPr>
        <w:t>3</w:t>
      </w:r>
      <w:r>
        <w:rPr>
          <w:color w:val="auto"/>
        </w:rPr>
        <w:t>/d、</w:t>
      </w:r>
      <w:r>
        <w:rPr>
          <w:rFonts w:hint="eastAsia"/>
          <w:color w:val="auto"/>
          <w:lang w:val="en-US" w:eastAsia="zh-CN"/>
        </w:rPr>
        <w:t>1500</w:t>
      </w:r>
      <w:r>
        <w:rPr>
          <w:color w:val="auto"/>
        </w:rPr>
        <w:t>m</w:t>
      </w:r>
      <w:r>
        <w:rPr>
          <w:rFonts w:hint="eastAsia"/>
          <w:color w:val="auto"/>
          <w:vertAlign w:val="superscript"/>
          <w:lang w:eastAsia="zh-CN"/>
        </w:rPr>
        <w:t>3</w:t>
      </w:r>
      <w:r>
        <w:rPr>
          <w:color w:val="auto"/>
        </w:rPr>
        <w:t>/a。</w:t>
      </w:r>
    </w:p>
    <w:p>
      <w:pPr>
        <w:bidi w:val="0"/>
        <w:rPr>
          <w:color w:val="auto"/>
        </w:rPr>
      </w:pPr>
      <w:r>
        <w:rPr>
          <w:color w:val="auto"/>
        </w:rPr>
        <w:t>（2）培训人员用水：培训人员</w:t>
      </w:r>
      <w:r>
        <w:rPr>
          <w:rFonts w:hint="eastAsia"/>
          <w:color w:val="auto"/>
          <w:lang w:val="en-US" w:eastAsia="zh-CN"/>
        </w:rPr>
        <w:t>共20人</w:t>
      </w:r>
      <w:r>
        <w:rPr>
          <w:color w:val="auto"/>
        </w:rPr>
        <w:t>用水量按10L人•d，用水量合计为</w:t>
      </w:r>
      <w:r>
        <w:rPr>
          <w:rFonts w:hint="eastAsia"/>
          <w:color w:val="auto"/>
          <w:lang w:val="en-US" w:eastAsia="zh-CN"/>
        </w:rPr>
        <w:t>0.2</w:t>
      </w:r>
      <w:r>
        <w:rPr>
          <w:color w:val="auto"/>
        </w:rPr>
        <w:t>m</w:t>
      </w:r>
      <w:r>
        <w:rPr>
          <w:color w:val="auto"/>
          <w:vertAlign w:val="superscript"/>
        </w:rPr>
        <w:t>3</w:t>
      </w:r>
      <w:r>
        <w:rPr>
          <w:color w:val="auto"/>
        </w:rPr>
        <w:t>/d、</w:t>
      </w:r>
      <w:r>
        <w:rPr>
          <w:rFonts w:hint="eastAsia"/>
          <w:color w:val="auto"/>
          <w:lang w:val="en-US" w:eastAsia="zh-CN"/>
        </w:rPr>
        <w:t>60</w:t>
      </w:r>
      <w:r>
        <w:rPr>
          <w:color w:val="auto"/>
        </w:rPr>
        <w:t>m</w:t>
      </w:r>
      <w:r>
        <w:rPr>
          <w:color w:val="auto"/>
          <w:vertAlign w:val="superscript"/>
        </w:rPr>
        <w:t>3</w:t>
      </w:r>
      <w:r>
        <w:rPr>
          <w:color w:val="auto"/>
        </w:rPr>
        <w:t>/a。</w:t>
      </w:r>
    </w:p>
    <w:p>
      <w:pPr>
        <w:bidi w:val="0"/>
        <w:rPr>
          <w:color w:val="auto"/>
        </w:rPr>
      </w:pPr>
      <w:r>
        <w:rPr>
          <w:color w:val="auto"/>
        </w:rPr>
        <w:t>（3）实验室清洗用水：实验室清洗用水包括实验人员洗手废水和实验仪器清洗废水。根据疾控中心提供资料，实验室用水量约为108m</w:t>
      </w:r>
      <w:r>
        <w:rPr>
          <w:color w:val="auto"/>
          <w:vertAlign w:val="superscript"/>
        </w:rPr>
        <w:t>3</w:t>
      </w:r>
      <w:r>
        <w:rPr>
          <w:color w:val="auto"/>
        </w:rPr>
        <w:t>/a。其中：实验室实验人员为20人，洗手用水按10L/人•d</w:t>
      </w:r>
      <w:r>
        <w:rPr>
          <w:rFonts w:hint="eastAsia"/>
          <w:color w:val="auto"/>
          <w:lang w:eastAsia="zh-CN"/>
        </w:rPr>
        <w:t>，</w:t>
      </w:r>
      <w:r>
        <w:rPr>
          <w:color w:val="auto"/>
        </w:rPr>
        <w:t>则实验室实验人员洗手用水量为60m</w:t>
      </w:r>
      <w:r>
        <w:rPr>
          <w:color w:val="auto"/>
          <w:vertAlign w:val="superscript"/>
        </w:rPr>
        <w:t>3</w:t>
      </w:r>
      <w:r>
        <w:rPr>
          <w:color w:val="auto"/>
        </w:rPr>
        <w:t>/a（0.2m</w:t>
      </w:r>
      <w:r>
        <w:rPr>
          <w:color w:val="auto"/>
          <w:vertAlign w:val="superscript"/>
        </w:rPr>
        <w:t>3</w:t>
      </w:r>
      <w:r>
        <w:rPr>
          <w:color w:val="auto"/>
        </w:rPr>
        <w:t>/d）；实验室仪器清洗水，用水量按0.16m</w:t>
      </w:r>
      <w:r>
        <w:rPr>
          <w:color w:val="auto"/>
          <w:vertAlign w:val="superscript"/>
        </w:rPr>
        <w:t>3</w:t>
      </w:r>
      <w:r>
        <w:rPr>
          <w:color w:val="auto"/>
        </w:rPr>
        <w:t>/d，用水量合计为48m</w:t>
      </w:r>
      <w:r>
        <w:rPr>
          <w:color w:val="auto"/>
          <w:vertAlign w:val="superscript"/>
        </w:rPr>
        <w:t>3</w:t>
      </w:r>
      <w:r>
        <w:rPr>
          <w:color w:val="auto"/>
        </w:rPr>
        <w:t>/a。</w:t>
      </w:r>
    </w:p>
    <w:p>
      <w:pPr>
        <w:bidi w:val="0"/>
        <w:rPr>
          <w:color w:val="auto"/>
        </w:rPr>
      </w:pPr>
      <w:r>
        <w:rPr>
          <w:color w:val="auto"/>
        </w:rPr>
        <w:t>（4）生物实验室用水：生物实验室产生的废水必须经过灭菌环节后才能排出，根据疾控中心提供的数据，生物实验室用水量为30m</w:t>
      </w:r>
      <w:r>
        <w:rPr>
          <w:color w:val="auto"/>
          <w:vertAlign w:val="superscript"/>
        </w:rPr>
        <w:t>3</w:t>
      </w:r>
      <w:r>
        <w:rPr>
          <w:color w:val="auto"/>
        </w:rPr>
        <w:t>/a（0.1m</w:t>
      </w:r>
      <w:r>
        <w:rPr>
          <w:color w:val="auto"/>
          <w:vertAlign w:val="superscript"/>
        </w:rPr>
        <w:t>3</w:t>
      </w:r>
      <w:r>
        <w:rPr>
          <w:color w:val="auto"/>
        </w:rPr>
        <w:t>/d）。</w:t>
      </w:r>
    </w:p>
    <w:p>
      <w:pPr>
        <w:bidi w:val="0"/>
        <w:rPr>
          <w:color w:val="auto"/>
        </w:rPr>
      </w:pPr>
      <w:r>
        <w:rPr>
          <w:color w:val="auto"/>
        </w:rPr>
        <w:t>（5）纯水制备：检验室实验仪器设备清洗时需要用纯水，项目生产用的纯水采用过滤+两级反渗透工艺制备，制备纯水所需新鲜水总量约1.0m</w:t>
      </w:r>
      <w:r>
        <w:rPr>
          <w:rFonts w:hint="eastAsia"/>
          <w:color w:val="auto"/>
          <w:vertAlign w:val="superscript"/>
          <w:lang w:val="en-US" w:eastAsia="zh-CN"/>
        </w:rPr>
        <w:t>3</w:t>
      </w:r>
      <w:r>
        <w:rPr>
          <w:color w:val="auto"/>
        </w:rPr>
        <w:t>/d，300m</w:t>
      </w:r>
      <w:r>
        <w:rPr>
          <w:rFonts w:hint="eastAsia"/>
          <w:color w:val="auto"/>
          <w:vertAlign w:val="superscript"/>
          <w:lang w:val="en-US" w:eastAsia="zh-CN"/>
        </w:rPr>
        <w:t>3</w:t>
      </w:r>
      <w:r>
        <w:rPr>
          <w:color w:val="auto"/>
        </w:rPr>
        <w:t>/a。</w:t>
      </w:r>
    </w:p>
    <w:p>
      <w:pPr>
        <w:pStyle w:val="22"/>
        <w:bidi w:val="0"/>
        <w:rPr>
          <w:b/>
          <w:bCs/>
          <w:color w:val="auto"/>
        </w:rPr>
      </w:pPr>
      <w:r>
        <w:rPr>
          <w:b/>
          <w:bCs/>
          <w:color w:val="auto"/>
        </w:rPr>
        <w:t>表3.</w:t>
      </w:r>
      <w:r>
        <w:rPr>
          <w:rFonts w:hint="eastAsia"/>
          <w:b/>
          <w:bCs/>
          <w:color w:val="auto"/>
          <w:lang w:val="en-US" w:eastAsia="zh-CN"/>
        </w:rPr>
        <w:t>2</w:t>
      </w:r>
      <w:r>
        <w:rPr>
          <w:b/>
          <w:bCs/>
          <w:color w:val="auto"/>
        </w:rPr>
        <w:t>-</w:t>
      </w:r>
      <w:r>
        <w:rPr>
          <w:rFonts w:hint="eastAsia"/>
          <w:b/>
          <w:bCs/>
          <w:color w:val="auto"/>
          <w:lang w:val="en-US" w:eastAsia="zh-CN"/>
        </w:rPr>
        <w:t>8</w:t>
      </w:r>
      <w:r>
        <w:rPr>
          <w:b/>
          <w:bCs/>
          <w:color w:val="auto"/>
        </w:rPr>
        <w:t>本项目主要用水明细一览表</w:t>
      </w:r>
    </w:p>
    <w:tbl>
      <w:tblPr>
        <w:tblStyle w:val="23"/>
        <w:tblW w:w="851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8"/>
        <w:gridCol w:w="1443"/>
        <w:gridCol w:w="1904"/>
        <w:gridCol w:w="1628"/>
        <w:gridCol w:w="1418"/>
        <w:gridCol w:w="147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648" w:type="dxa"/>
            <w:vMerge w:val="restart"/>
            <w:tcBorders>
              <w:tl2br w:val="nil"/>
              <w:tr2bl w:val="nil"/>
            </w:tcBorders>
            <w:vAlign w:val="center"/>
          </w:tcPr>
          <w:p>
            <w:pPr>
              <w:pStyle w:val="22"/>
              <w:bidi w:val="0"/>
              <w:jc w:val="center"/>
              <w:rPr>
                <w:b/>
                <w:bCs/>
                <w:color w:val="auto"/>
              </w:rPr>
            </w:pPr>
            <w:r>
              <w:rPr>
                <w:b/>
                <w:bCs/>
                <w:color w:val="auto"/>
              </w:rPr>
              <w:t>序号</w:t>
            </w:r>
          </w:p>
        </w:tc>
        <w:tc>
          <w:tcPr>
            <w:tcW w:w="3347" w:type="dxa"/>
            <w:gridSpan w:val="2"/>
            <w:tcBorders>
              <w:tl2br w:val="nil"/>
              <w:tr2bl w:val="nil"/>
            </w:tcBorders>
            <w:vAlign w:val="center"/>
          </w:tcPr>
          <w:p>
            <w:pPr>
              <w:pStyle w:val="22"/>
              <w:bidi w:val="0"/>
              <w:jc w:val="center"/>
              <w:rPr>
                <w:b/>
                <w:bCs/>
                <w:color w:val="auto"/>
              </w:rPr>
            </w:pPr>
            <w:r>
              <w:rPr>
                <w:b/>
                <w:bCs/>
                <w:color w:val="auto"/>
              </w:rPr>
              <w:t>用水项目</w:t>
            </w:r>
          </w:p>
        </w:tc>
        <w:tc>
          <w:tcPr>
            <w:tcW w:w="1628" w:type="dxa"/>
            <w:vMerge w:val="restart"/>
            <w:tcBorders>
              <w:tl2br w:val="nil"/>
              <w:tr2bl w:val="nil"/>
            </w:tcBorders>
            <w:vAlign w:val="center"/>
          </w:tcPr>
          <w:p>
            <w:pPr>
              <w:pStyle w:val="22"/>
              <w:bidi w:val="0"/>
              <w:jc w:val="center"/>
              <w:rPr>
                <w:b/>
                <w:bCs/>
                <w:color w:val="auto"/>
              </w:rPr>
            </w:pPr>
            <w:r>
              <w:rPr>
                <w:b/>
                <w:bCs/>
                <w:color w:val="auto"/>
              </w:rPr>
              <w:t>用水量</w:t>
            </w:r>
          </w:p>
          <w:p>
            <w:pPr>
              <w:pStyle w:val="22"/>
              <w:bidi w:val="0"/>
              <w:jc w:val="center"/>
              <w:rPr>
                <w:b/>
                <w:bCs/>
                <w:color w:val="auto"/>
              </w:rPr>
            </w:pPr>
            <w:r>
              <w:rPr>
                <w:b/>
                <w:bCs/>
                <w:color w:val="auto"/>
              </w:rPr>
              <w:t>（m</w:t>
            </w:r>
            <w:r>
              <w:rPr>
                <w:b/>
                <w:bCs/>
                <w:color w:val="auto"/>
                <w:vertAlign w:val="superscript"/>
              </w:rPr>
              <w:t>3</w:t>
            </w:r>
            <w:r>
              <w:rPr>
                <w:b/>
                <w:bCs/>
                <w:color w:val="auto"/>
              </w:rPr>
              <w:t>/a）</w:t>
            </w:r>
          </w:p>
        </w:tc>
        <w:tc>
          <w:tcPr>
            <w:tcW w:w="1418" w:type="dxa"/>
            <w:vMerge w:val="restart"/>
            <w:tcBorders>
              <w:tl2br w:val="nil"/>
              <w:tr2bl w:val="nil"/>
            </w:tcBorders>
            <w:vAlign w:val="center"/>
          </w:tcPr>
          <w:p>
            <w:pPr>
              <w:pStyle w:val="22"/>
              <w:bidi w:val="0"/>
              <w:jc w:val="center"/>
              <w:rPr>
                <w:b/>
                <w:bCs/>
                <w:color w:val="auto"/>
              </w:rPr>
            </w:pPr>
            <w:r>
              <w:rPr>
                <w:b/>
                <w:bCs/>
                <w:color w:val="auto"/>
              </w:rPr>
              <w:t>污水排放量</w:t>
            </w:r>
          </w:p>
          <w:p>
            <w:pPr>
              <w:pStyle w:val="22"/>
              <w:bidi w:val="0"/>
              <w:jc w:val="center"/>
              <w:rPr>
                <w:b/>
                <w:bCs/>
                <w:color w:val="auto"/>
              </w:rPr>
            </w:pPr>
            <w:r>
              <w:rPr>
                <w:b/>
                <w:bCs/>
                <w:color w:val="auto"/>
              </w:rPr>
              <w:t>（m</w:t>
            </w:r>
            <w:r>
              <w:rPr>
                <w:b/>
                <w:bCs/>
                <w:color w:val="auto"/>
                <w:vertAlign w:val="superscript"/>
              </w:rPr>
              <w:t>3</w:t>
            </w:r>
            <w:r>
              <w:rPr>
                <w:b/>
                <w:bCs/>
                <w:color w:val="auto"/>
              </w:rPr>
              <w:t>/a）</w:t>
            </w:r>
          </w:p>
        </w:tc>
        <w:tc>
          <w:tcPr>
            <w:tcW w:w="1478" w:type="dxa"/>
            <w:vMerge w:val="restart"/>
            <w:tcBorders>
              <w:tl2br w:val="nil"/>
              <w:tr2bl w:val="nil"/>
            </w:tcBorders>
            <w:vAlign w:val="center"/>
          </w:tcPr>
          <w:p>
            <w:pPr>
              <w:pStyle w:val="22"/>
              <w:bidi w:val="0"/>
              <w:jc w:val="center"/>
              <w:rPr>
                <w:b/>
                <w:bCs/>
                <w:color w:val="auto"/>
              </w:rPr>
            </w:pPr>
            <w:r>
              <w:rPr>
                <w:b/>
                <w:bCs/>
                <w:color w:val="auto"/>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648" w:type="dxa"/>
            <w:vMerge w:val="continue"/>
            <w:tcBorders>
              <w:tl2br w:val="nil"/>
              <w:tr2bl w:val="nil"/>
            </w:tcBorders>
            <w:vAlign w:val="center"/>
          </w:tcPr>
          <w:p>
            <w:pPr>
              <w:pStyle w:val="22"/>
              <w:bidi w:val="0"/>
              <w:jc w:val="center"/>
              <w:rPr>
                <w:color w:val="auto"/>
              </w:rPr>
            </w:pPr>
          </w:p>
        </w:tc>
        <w:tc>
          <w:tcPr>
            <w:tcW w:w="1443" w:type="dxa"/>
            <w:tcBorders>
              <w:tl2br w:val="nil"/>
              <w:tr2bl w:val="nil"/>
            </w:tcBorders>
            <w:vAlign w:val="center"/>
          </w:tcPr>
          <w:p>
            <w:pPr>
              <w:pStyle w:val="22"/>
              <w:bidi w:val="0"/>
              <w:jc w:val="center"/>
              <w:rPr>
                <w:b/>
                <w:bCs/>
                <w:color w:val="auto"/>
              </w:rPr>
            </w:pPr>
            <w:r>
              <w:rPr>
                <w:b/>
                <w:bCs/>
                <w:color w:val="auto"/>
              </w:rPr>
              <w:t>用水类别</w:t>
            </w:r>
          </w:p>
        </w:tc>
        <w:tc>
          <w:tcPr>
            <w:tcW w:w="1904" w:type="dxa"/>
            <w:tcBorders>
              <w:tl2br w:val="nil"/>
              <w:tr2bl w:val="nil"/>
            </w:tcBorders>
            <w:vAlign w:val="center"/>
          </w:tcPr>
          <w:p>
            <w:pPr>
              <w:pStyle w:val="22"/>
              <w:bidi w:val="0"/>
              <w:jc w:val="center"/>
              <w:rPr>
                <w:b/>
                <w:bCs/>
                <w:color w:val="auto"/>
              </w:rPr>
            </w:pPr>
            <w:r>
              <w:rPr>
                <w:b/>
                <w:bCs/>
                <w:color w:val="auto"/>
              </w:rPr>
              <w:t>具体明细</w:t>
            </w:r>
          </w:p>
        </w:tc>
        <w:tc>
          <w:tcPr>
            <w:tcW w:w="1628" w:type="dxa"/>
            <w:vMerge w:val="continue"/>
            <w:tcBorders>
              <w:tl2br w:val="nil"/>
              <w:tr2bl w:val="nil"/>
            </w:tcBorders>
            <w:vAlign w:val="center"/>
          </w:tcPr>
          <w:p>
            <w:pPr>
              <w:pStyle w:val="22"/>
              <w:bidi w:val="0"/>
              <w:jc w:val="center"/>
              <w:rPr>
                <w:color w:val="auto"/>
              </w:rPr>
            </w:pPr>
          </w:p>
        </w:tc>
        <w:tc>
          <w:tcPr>
            <w:tcW w:w="1418" w:type="dxa"/>
            <w:vMerge w:val="continue"/>
            <w:tcBorders>
              <w:tl2br w:val="nil"/>
              <w:tr2bl w:val="nil"/>
            </w:tcBorders>
            <w:vAlign w:val="center"/>
          </w:tcPr>
          <w:p>
            <w:pPr>
              <w:pStyle w:val="22"/>
              <w:bidi w:val="0"/>
              <w:jc w:val="center"/>
              <w:rPr>
                <w:color w:val="auto"/>
              </w:rPr>
            </w:pPr>
          </w:p>
        </w:tc>
        <w:tc>
          <w:tcPr>
            <w:tcW w:w="1478" w:type="dxa"/>
            <w:vMerge w:val="continue"/>
            <w:tcBorders>
              <w:tl2br w:val="nil"/>
              <w:tr2bl w:val="nil"/>
            </w:tcBorders>
            <w:vAlign w:val="center"/>
          </w:tcPr>
          <w:p>
            <w:pPr>
              <w:pStyle w:val="22"/>
              <w:bidi w:val="0"/>
              <w:jc w:val="cente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jc w:val="center"/>
        </w:trPr>
        <w:tc>
          <w:tcPr>
            <w:tcW w:w="648" w:type="dxa"/>
            <w:tcBorders>
              <w:tl2br w:val="nil"/>
              <w:tr2bl w:val="nil"/>
            </w:tcBorders>
            <w:vAlign w:val="center"/>
          </w:tcPr>
          <w:p>
            <w:pPr>
              <w:pStyle w:val="22"/>
              <w:bidi w:val="0"/>
              <w:jc w:val="center"/>
              <w:rPr>
                <w:color w:val="auto"/>
              </w:rPr>
            </w:pPr>
            <w:r>
              <w:rPr>
                <w:color w:val="auto"/>
              </w:rPr>
              <w:t>1</w:t>
            </w:r>
          </w:p>
        </w:tc>
        <w:tc>
          <w:tcPr>
            <w:tcW w:w="1443" w:type="dxa"/>
            <w:tcBorders>
              <w:tl2br w:val="nil"/>
              <w:tr2bl w:val="nil"/>
            </w:tcBorders>
            <w:vAlign w:val="center"/>
          </w:tcPr>
          <w:p>
            <w:pPr>
              <w:pStyle w:val="22"/>
              <w:bidi w:val="0"/>
              <w:jc w:val="center"/>
              <w:rPr>
                <w:color w:val="auto"/>
              </w:rPr>
            </w:pPr>
            <w:r>
              <w:rPr>
                <w:color w:val="auto"/>
              </w:rPr>
              <w:t>生活用水</w:t>
            </w:r>
          </w:p>
        </w:tc>
        <w:tc>
          <w:tcPr>
            <w:tcW w:w="1904" w:type="dxa"/>
            <w:tcBorders>
              <w:tl2br w:val="nil"/>
              <w:tr2bl w:val="nil"/>
            </w:tcBorders>
            <w:vAlign w:val="center"/>
          </w:tcPr>
          <w:p>
            <w:pPr>
              <w:pStyle w:val="22"/>
              <w:bidi w:val="0"/>
              <w:jc w:val="center"/>
              <w:rPr>
                <w:color w:val="auto"/>
              </w:rPr>
            </w:pPr>
            <w:r>
              <w:rPr>
                <w:color w:val="auto"/>
              </w:rPr>
              <w:t>办公生活水</w:t>
            </w:r>
          </w:p>
        </w:tc>
        <w:tc>
          <w:tcPr>
            <w:tcW w:w="1628"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1500</w:t>
            </w:r>
          </w:p>
        </w:tc>
        <w:tc>
          <w:tcPr>
            <w:tcW w:w="1418"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1200</w:t>
            </w:r>
          </w:p>
        </w:tc>
        <w:tc>
          <w:tcPr>
            <w:tcW w:w="1478" w:type="dxa"/>
            <w:tcBorders>
              <w:tl2br w:val="nil"/>
              <w:tr2bl w:val="nil"/>
            </w:tcBorders>
            <w:vAlign w:val="center"/>
          </w:tcPr>
          <w:p>
            <w:pPr>
              <w:pStyle w:val="22"/>
              <w:bidi w:val="0"/>
              <w:jc w:val="center"/>
              <w:rPr>
                <w:color w:val="auto"/>
              </w:rPr>
            </w:pPr>
            <w:r>
              <w:rPr>
                <w:color w:val="auto"/>
              </w:rPr>
              <w:t>排入市政管网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jc w:val="center"/>
        </w:trPr>
        <w:tc>
          <w:tcPr>
            <w:tcW w:w="648" w:type="dxa"/>
            <w:tcBorders>
              <w:tl2br w:val="nil"/>
              <w:tr2bl w:val="nil"/>
            </w:tcBorders>
            <w:vAlign w:val="center"/>
          </w:tcPr>
          <w:p>
            <w:pPr>
              <w:pStyle w:val="22"/>
              <w:bidi w:val="0"/>
              <w:jc w:val="center"/>
              <w:rPr>
                <w:color w:val="auto"/>
              </w:rPr>
            </w:pPr>
            <w:r>
              <w:rPr>
                <w:color w:val="auto"/>
              </w:rPr>
              <w:t>2</w:t>
            </w:r>
          </w:p>
        </w:tc>
        <w:tc>
          <w:tcPr>
            <w:tcW w:w="1443" w:type="dxa"/>
            <w:tcBorders>
              <w:tl2br w:val="nil"/>
              <w:tr2bl w:val="nil"/>
            </w:tcBorders>
            <w:vAlign w:val="center"/>
          </w:tcPr>
          <w:p>
            <w:pPr>
              <w:pStyle w:val="22"/>
              <w:bidi w:val="0"/>
              <w:jc w:val="center"/>
              <w:rPr>
                <w:color w:val="auto"/>
              </w:rPr>
            </w:pPr>
            <w:r>
              <w:rPr>
                <w:color w:val="auto"/>
              </w:rPr>
              <w:t>生活用水</w:t>
            </w:r>
          </w:p>
        </w:tc>
        <w:tc>
          <w:tcPr>
            <w:tcW w:w="1904" w:type="dxa"/>
            <w:tcBorders>
              <w:tl2br w:val="nil"/>
              <w:tr2bl w:val="nil"/>
            </w:tcBorders>
            <w:vAlign w:val="center"/>
          </w:tcPr>
          <w:p>
            <w:pPr>
              <w:pStyle w:val="22"/>
              <w:bidi w:val="0"/>
              <w:jc w:val="center"/>
              <w:rPr>
                <w:color w:val="auto"/>
              </w:rPr>
            </w:pPr>
            <w:r>
              <w:rPr>
                <w:color w:val="auto"/>
              </w:rPr>
              <w:t>培训人员水</w:t>
            </w:r>
          </w:p>
        </w:tc>
        <w:tc>
          <w:tcPr>
            <w:tcW w:w="1628"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60</w:t>
            </w:r>
          </w:p>
        </w:tc>
        <w:tc>
          <w:tcPr>
            <w:tcW w:w="1418"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48</w:t>
            </w:r>
          </w:p>
        </w:tc>
        <w:tc>
          <w:tcPr>
            <w:tcW w:w="1478" w:type="dxa"/>
            <w:tcBorders>
              <w:tl2br w:val="nil"/>
              <w:tr2bl w:val="nil"/>
            </w:tcBorders>
            <w:vAlign w:val="center"/>
          </w:tcPr>
          <w:p>
            <w:pPr>
              <w:pStyle w:val="22"/>
              <w:bidi w:val="0"/>
              <w:jc w:val="center"/>
              <w:rPr>
                <w:color w:val="auto"/>
              </w:rPr>
            </w:pPr>
            <w:r>
              <w:rPr>
                <w:color w:val="auto"/>
              </w:rPr>
              <w:t>排入市政管网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648" w:type="dxa"/>
            <w:tcBorders>
              <w:tl2br w:val="nil"/>
              <w:tr2bl w:val="nil"/>
            </w:tcBorders>
            <w:vAlign w:val="center"/>
          </w:tcPr>
          <w:p>
            <w:pPr>
              <w:pStyle w:val="22"/>
              <w:bidi w:val="0"/>
              <w:jc w:val="center"/>
              <w:rPr>
                <w:color w:val="auto"/>
              </w:rPr>
            </w:pPr>
            <w:r>
              <w:rPr>
                <w:color w:val="auto"/>
              </w:rPr>
              <w:t>3</w:t>
            </w:r>
          </w:p>
        </w:tc>
        <w:tc>
          <w:tcPr>
            <w:tcW w:w="1443" w:type="dxa"/>
            <w:tcBorders>
              <w:tl2br w:val="nil"/>
              <w:tr2bl w:val="nil"/>
            </w:tcBorders>
            <w:vAlign w:val="center"/>
          </w:tcPr>
          <w:p>
            <w:pPr>
              <w:pStyle w:val="22"/>
              <w:bidi w:val="0"/>
              <w:jc w:val="center"/>
              <w:rPr>
                <w:color w:val="auto"/>
              </w:rPr>
            </w:pPr>
            <w:r>
              <w:rPr>
                <w:color w:val="auto"/>
              </w:rPr>
              <w:t>实验清洗用水</w:t>
            </w:r>
          </w:p>
        </w:tc>
        <w:tc>
          <w:tcPr>
            <w:tcW w:w="1904" w:type="dxa"/>
            <w:tcBorders>
              <w:tl2br w:val="nil"/>
              <w:tr2bl w:val="nil"/>
            </w:tcBorders>
            <w:vAlign w:val="center"/>
          </w:tcPr>
          <w:p>
            <w:pPr>
              <w:pStyle w:val="22"/>
              <w:bidi w:val="0"/>
              <w:jc w:val="center"/>
              <w:rPr>
                <w:color w:val="auto"/>
              </w:rPr>
            </w:pPr>
            <w:r>
              <w:rPr>
                <w:color w:val="auto"/>
              </w:rPr>
              <w:t>实验室清洗水</w:t>
            </w:r>
          </w:p>
        </w:tc>
        <w:tc>
          <w:tcPr>
            <w:tcW w:w="1628"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108</w:t>
            </w:r>
          </w:p>
        </w:tc>
        <w:tc>
          <w:tcPr>
            <w:tcW w:w="1418" w:type="dxa"/>
            <w:tcBorders>
              <w:tl2br w:val="nil"/>
              <w:tr2bl w:val="nil"/>
            </w:tcBorders>
            <w:vAlign w:val="center"/>
          </w:tcPr>
          <w:p>
            <w:pPr>
              <w:pStyle w:val="22"/>
              <w:bidi w:val="0"/>
              <w:jc w:val="center"/>
              <w:rPr>
                <w:color w:val="auto"/>
              </w:rPr>
            </w:pPr>
            <w:r>
              <w:rPr>
                <w:color w:val="auto"/>
              </w:rPr>
              <w:t>86.4</w:t>
            </w:r>
          </w:p>
        </w:tc>
        <w:tc>
          <w:tcPr>
            <w:tcW w:w="1478" w:type="dxa"/>
            <w:tcBorders>
              <w:tl2br w:val="nil"/>
              <w:tr2bl w:val="nil"/>
            </w:tcBorders>
            <w:vAlign w:val="center"/>
          </w:tcPr>
          <w:p>
            <w:pPr>
              <w:pStyle w:val="22"/>
              <w:bidi w:val="0"/>
              <w:jc w:val="center"/>
              <w:rPr>
                <w:color w:val="auto"/>
              </w:rPr>
            </w:pPr>
            <w:r>
              <w:rPr>
                <w:color w:val="auto"/>
              </w:rPr>
              <w:t>经处理后方可外排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648" w:type="dxa"/>
            <w:tcBorders>
              <w:tl2br w:val="nil"/>
              <w:tr2bl w:val="nil"/>
            </w:tcBorders>
            <w:vAlign w:val="center"/>
          </w:tcPr>
          <w:p>
            <w:pPr>
              <w:pStyle w:val="22"/>
              <w:bidi w:val="0"/>
              <w:jc w:val="center"/>
              <w:rPr>
                <w:color w:val="auto"/>
              </w:rPr>
            </w:pPr>
            <w:r>
              <w:rPr>
                <w:color w:val="auto"/>
              </w:rPr>
              <w:t>4</w:t>
            </w:r>
          </w:p>
        </w:tc>
        <w:tc>
          <w:tcPr>
            <w:tcW w:w="1443" w:type="dxa"/>
            <w:tcBorders>
              <w:tl2br w:val="nil"/>
              <w:tr2bl w:val="nil"/>
            </w:tcBorders>
            <w:vAlign w:val="center"/>
          </w:tcPr>
          <w:p>
            <w:pPr>
              <w:pStyle w:val="22"/>
              <w:bidi w:val="0"/>
              <w:jc w:val="center"/>
              <w:rPr>
                <w:color w:val="auto"/>
              </w:rPr>
            </w:pPr>
            <w:r>
              <w:rPr>
                <w:color w:val="auto"/>
              </w:rPr>
              <w:t>生物实验室高压灭菌柜</w:t>
            </w:r>
          </w:p>
        </w:tc>
        <w:tc>
          <w:tcPr>
            <w:tcW w:w="1904" w:type="dxa"/>
            <w:tcBorders>
              <w:tl2br w:val="nil"/>
              <w:tr2bl w:val="nil"/>
            </w:tcBorders>
            <w:vAlign w:val="center"/>
          </w:tcPr>
          <w:p>
            <w:pPr>
              <w:pStyle w:val="22"/>
              <w:bidi w:val="0"/>
              <w:jc w:val="center"/>
              <w:rPr>
                <w:color w:val="auto"/>
              </w:rPr>
            </w:pPr>
            <w:r>
              <w:rPr>
                <w:color w:val="auto"/>
              </w:rPr>
              <w:t>定期外排水</w:t>
            </w:r>
          </w:p>
        </w:tc>
        <w:tc>
          <w:tcPr>
            <w:tcW w:w="1628" w:type="dxa"/>
            <w:tcBorders>
              <w:tl2br w:val="nil"/>
              <w:tr2bl w:val="nil"/>
            </w:tcBorders>
            <w:vAlign w:val="center"/>
          </w:tcPr>
          <w:p>
            <w:pPr>
              <w:pStyle w:val="22"/>
              <w:bidi w:val="0"/>
              <w:jc w:val="center"/>
              <w:rPr>
                <w:color w:val="auto"/>
              </w:rPr>
            </w:pPr>
            <w:r>
              <w:rPr>
                <w:color w:val="auto"/>
              </w:rPr>
              <w:t>30</w:t>
            </w:r>
          </w:p>
        </w:tc>
        <w:tc>
          <w:tcPr>
            <w:tcW w:w="1418" w:type="dxa"/>
            <w:tcBorders>
              <w:tl2br w:val="nil"/>
              <w:tr2bl w:val="nil"/>
            </w:tcBorders>
            <w:vAlign w:val="center"/>
          </w:tcPr>
          <w:p>
            <w:pPr>
              <w:pStyle w:val="22"/>
              <w:bidi w:val="0"/>
              <w:jc w:val="center"/>
              <w:rPr>
                <w:color w:val="auto"/>
              </w:rPr>
            </w:pPr>
            <w:r>
              <w:rPr>
                <w:color w:val="auto"/>
              </w:rPr>
              <w:t>24</w:t>
            </w:r>
          </w:p>
        </w:tc>
        <w:tc>
          <w:tcPr>
            <w:tcW w:w="1478" w:type="dxa"/>
            <w:tcBorders>
              <w:tl2br w:val="nil"/>
              <w:tr2bl w:val="nil"/>
            </w:tcBorders>
            <w:vAlign w:val="center"/>
          </w:tcPr>
          <w:p>
            <w:pPr>
              <w:pStyle w:val="22"/>
              <w:bidi w:val="0"/>
              <w:jc w:val="center"/>
              <w:rPr>
                <w:color w:val="auto"/>
              </w:rPr>
            </w:pPr>
            <w:r>
              <w:rPr>
                <w:color w:val="auto"/>
              </w:rPr>
              <w:t>灭菌、经处理后方可外排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jc w:val="center"/>
        </w:trPr>
        <w:tc>
          <w:tcPr>
            <w:tcW w:w="648" w:type="dxa"/>
            <w:tcBorders>
              <w:tl2br w:val="nil"/>
              <w:tr2bl w:val="nil"/>
            </w:tcBorders>
            <w:vAlign w:val="center"/>
          </w:tcPr>
          <w:p>
            <w:pPr>
              <w:pStyle w:val="22"/>
              <w:bidi w:val="0"/>
              <w:jc w:val="center"/>
              <w:rPr>
                <w:color w:val="auto"/>
              </w:rPr>
            </w:pPr>
            <w:r>
              <w:rPr>
                <w:color w:val="auto"/>
              </w:rPr>
              <w:t>5</w:t>
            </w:r>
          </w:p>
        </w:tc>
        <w:tc>
          <w:tcPr>
            <w:tcW w:w="1443" w:type="dxa"/>
            <w:tcBorders>
              <w:tl2br w:val="nil"/>
              <w:tr2bl w:val="nil"/>
            </w:tcBorders>
            <w:vAlign w:val="center"/>
          </w:tcPr>
          <w:p>
            <w:pPr>
              <w:pStyle w:val="22"/>
              <w:bidi w:val="0"/>
              <w:jc w:val="center"/>
              <w:rPr>
                <w:color w:val="auto"/>
              </w:rPr>
            </w:pPr>
            <w:r>
              <w:rPr>
                <w:color w:val="auto"/>
              </w:rPr>
              <w:t>纯水制备</w:t>
            </w:r>
          </w:p>
        </w:tc>
        <w:tc>
          <w:tcPr>
            <w:tcW w:w="1904" w:type="dxa"/>
            <w:tcBorders>
              <w:tl2br w:val="nil"/>
              <w:tr2bl w:val="nil"/>
            </w:tcBorders>
            <w:vAlign w:val="center"/>
          </w:tcPr>
          <w:p>
            <w:pPr>
              <w:pStyle w:val="22"/>
              <w:bidi w:val="0"/>
              <w:jc w:val="center"/>
              <w:rPr>
                <w:color w:val="auto"/>
              </w:rPr>
            </w:pPr>
            <w:r>
              <w:rPr>
                <w:color w:val="auto"/>
              </w:rPr>
              <w:t>实验设备纯水</w:t>
            </w:r>
          </w:p>
        </w:tc>
        <w:tc>
          <w:tcPr>
            <w:tcW w:w="1628" w:type="dxa"/>
            <w:tcBorders>
              <w:tl2br w:val="nil"/>
              <w:tr2bl w:val="nil"/>
            </w:tcBorders>
            <w:vAlign w:val="center"/>
          </w:tcPr>
          <w:p>
            <w:pPr>
              <w:pStyle w:val="22"/>
              <w:bidi w:val="0"/>
              <w:jc w:val="center"/>
              <w:rPr>
                <w:color w:val="auto"/>
              </w:rPr>
            </w:pPr>
            <w:r>
              <w:rPr>
                <w:color w:val="auto"/>
              </w:rPr>
              <w:t>300</w:t>
            </w:r>
          </w:p>
        </w:tc>
        <w:tc>
          <w:tcPr>
            <w:tcW w:w="1418"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60</w:t>
            </w:r>
          </w:p>
        </w:tc>
        <w:tc>
          <w:tcPr>
            <w:tcW w:w="1478" w:type="dxa"/>
            <w:tcBorders>
              <w:tl2br w:val="nil"/>
              <w:tr2bl w:val="nil"/>
            </w:tcBorders>
            <w:vAlign w:val="center"/>
          </w:tcPr>
          <w:p>
            <w:pPr>
              <w:pStyle w:val="22"/>
              <w:bidi w:val="0"/>
              <w:jc w:val="center"/>
              <w:rPr>
                <w:color w:val="auto"/>
              </w:rPr>
            </w:pPr>
            <w:r>
              <w:rPr>
                <w:color w:val="auto"/>
              </w:rPr>
              <w:t>排入市政管网</w:t>
            </w:r>
          </w:p>
        </w:tc>
      </w:tr>
    </w:tbl>
    <w:p>
      <w:pPr>
        <w:pStyle w:val="2"/>
        <w:rPr>
          <w:rFonts w:hint="eastAsia"/>
          <w:color w:val="auto"/>
          <w:lang w:val="en-US" w:eastAsia="zh-CN"/>
        </w:rPr>
      </w:pPr>
      <w:r>
        <w:rPr>
          <w:rFonts w:hint="eastAsia"/>
          <w:color w:val="auto"/>
          <w:lang w:val="en-US" w:eastAsia="zh-CN"/>
        </w:rPr>
        <w:t>（2）排水</w:t>
      </w:r>
    </w:p>
    <w:p>
      <w:pPr>
        <w:bidi w:val="0"/>
        <w:rPr>
          <w:color w:val="auto"/>
        </w:rPr>
      </w:pPr>
      <w:r>
        <w:rPr>
          <w:color w:val="auto"/>
        </w:rPr>
        <w:t>项目区生活污水和实验废水分流排放。</w:t>
      </w:r>
    </w:p>
    <w:p>
      <w:pPr>
        <w:bidi w:val="0"/>
        <w:rPr>
          <w:color w:val="auto"/>
        </w:rPr>
      </w:pPr>
      <w:r>
        <w:rPr>
          <w:color w:val="auto"/>
        </w:rPr>
        <w:t>本项目废水主要有：生活废水（包括办公生活废水、培训人员废水）、实验废水（包括实验室清洗废水、生物实验室废水）及纯水制备高盐废水等</w:t>
      </w:r>
    </w:p>
    <w:p>
      <w:pPr>
        <w:bidi w:val="0"/>
        <w:rPr>
          <w:color w:val="auto"/>
        </w:rPr>
      </w:pPr>
      <w:r>
        <w:rPr>
          <w:color w:val="auto"/>
        </w:rPr>
        <w:t>（1）办公生活废水：项目生活污水按用水量的80%计算，则排放量为</w:t>
      </w:r>
      <w:r>
        <w:rPr>
          <w:rFonts w:hint="eastAsia"/>
          <w:color w:val="auto"/>
          <w:lang w:val="en-US" w:eastAsia="zh-CN"/>
        </w:rPr>
        <w:t>4</w:t>
      </w:r>
      <w:r>
        <w:rPr>
          <w:color w:val="auto"/>
        </w:rPr>
        <w:t>m</w:t>
      </w:r>
      <w:r>
        <w:rPr>
          <w:color w:val="auto"/>
          <w:vertAlign w:val="superscript"/>
        </w:rPr>
        <w:t>3</w:t>
      </w:r>
      <w:r>
        <w:rPr>
          <w:color w:val="auto"/>
        </w:rPr>
        <w:t>/d、</w:t>
      </w:r>
      <w:r>
        <w:rPr>
          <w:rFonts w:hint="eastAsia"/>
          <w:color w:val="auto"/>
          <w:lang w:val="en-US" w:eastAsia="zh-CN"/>
        </w:rPr>
        <w:t>1200</w:t>
      </w:r>
      <w:r>
        <w:rPr>
          <w:color w:val="auto"/>
        </w:rPr>
        <w:t>m</w:t>
      </w:r>
      <w:r>
        <w:rPr>
          <w:color w:val="auto"/>
          <w:vertAlign w:val="superscript"/>
        </w:rPr>
        <w:t>3</w:t>
      </w:r>
      <w:r>
        <w:rPr>
          <w:color w:val="auto"/>
        </w:rPr>
        <w:t>/a，废水排入市政管网。</w:t>
      </w:r>
    </w:p>
    <w:p>
      <w:pPr>
        <w:bidi w:val="0"/>
        <w:rPr>
          <w:color w:val="auto"/>
        </w:rPr>
      </w:pPr>
      <w:r>
        <w:rPr>
          <w:color w:val="auto"/>
        </w:rPr>
        <w:t>（2）培训人员废水：培训人员废水量按用水量的80%计算，则排放量为</w:t>
      </w:r>
      <w:r>
        <w:rPr>
          <w:rFonts w:hint="eastAsia"/>
          <w:color w:val="auto"/>
          <w:lang w:val="en-US" w:eastAsia="zh-CN"/>
        </w:rPr>
        <w:t>0.16</w:t>
      </w:r>
      <w:r>
        <w:rPr>
          <w:color w:val="auto"/>
        </w:rPr>
        <w:t>m</w:t>
      </w:r>
      <w:r>
        <w:rPr>
          <w:color w:val="auto"/>
          <w:vertAlign w:val="superscript"/>
        </w:rPr>
        <w:t>3</w:t>
      </w:r>
      <w:r>
        <w:rPr>
          <w:color w:val="auto"/>
        </w:rPr>
        <w:t>/d、</w:t>
      </w:r>
      <w:r>
        <w:rPr>
          <w:rFonts w:hint="eastAsia"/>
          <w:color w:val="auto"/>
          <w:lang w:val="en-US" w:eastAsia="zh-CN"/>
        </w:rPr>
        <w:t>48</w:t>
      </w:r>
      <w:r>
        <w:rPr>
          <w:color w:val="auto"/>
        </w:rPr>
        <w:t>m</w:t>
      </w:r>
      <w:r>
        <w:rPr>
          <w:color w:val="auto"/>
          <w:vertAlign w:val="superscript"/>
        </w:rPr>
        <w:t>3</w:t>
      </w:r>
      <w:r>
        <w:rPr>
          <w:color w:val="auto"/>
        </w:rPr>
        <w:t>/a，废水排入市政管网。</w:t>
      </w:r>
    </w:p>
    <w:p>
      <w:pPr>
        <w:bidi w:val="0"/>
        <w:rPr>
          <w:color w:val="auto"/>
        </w:rPr>
      </w:pPr>
      <w:r>
        <w:rPr>
          <w:color w:val="auto"/>
        </w:rPr>
        <w:t>（3）实验室清洗废水：实验室清洗用水包括实验人员洗手废水和实验仪器清洗废水，实验清洗废水按用水量的80%计算，排放量为0.288m</w:t>
      </w:r>
      <w:r>
        <w:rPr>
          <w:color w:val="auto"/>
          <w:vertAlign w:val="superscript"/>
        </w:rPr>
        <w:t>3</w:t>
      </w:r>
      <w:r>
        <w:rPr>
          <w:color w:val="auto"/>
        </w:rPr>
        <w:t>/d、86.4m</w:t>
      </w:r>
      <w:r>
        <w:rPr>
          <w:color w:val="auto"/>
          <w:vertAlign w:val="superscript"/>
        </w:rPr>
        <w:t>3</w:t>
      </w:r>
      <w:r>
        <w:rPr>
          <w:color w:val="auto"/>
        </w:rPr>
        <w:t>/a，废水经疾控中心污水站处理后排入市政管网。</w:t>
      </w:r>
    </w:p>
    <w:p>
      <w:pPr>
        <w:bidi w:val="0"/>
        <w:rPr>
          <w:color w:val="auto"/>
        </w:rPr>
      </w:pPr>
      <w:r>
        <w:rPr>
          <w:color w:val="auto"/>
        </w:rPr>
        <w:t>（4）生物实验室废水：生物实验室产生的废水必须经过灭菌环节后才能排出，按用水量的80%计算，则高压灭菌器整个灭菌周期中的排水（如真空用水、蒸汽冷凝水）量为24m</w:t>
      </w:r>
      <w:r>
        <w:rPr>
          <w:color w:val="auto"/>
          <w:vertAlign w:val="superscript"/>
        </w:rPr>
        <w:t>3</w:t>
      </w:r>
      <w:r>
        <w:rPr>
          <w:color w:val="auto"/>
        </w:rPr>
        <w:t>/a（0.08m</w:t>
      </w:r>
      <w:r>
        <w:rPr>
          <w:color w:val="auto"/>
          <w:vertAlign w:val="superscript"/>
        </w:rPr>
        <w:t>3</w:t>
      </w:r>
      <w:r>
        <w:rPr>
          <w:color w:val="auto"/>
        </w:rPr>
        <w:t>/d），经高压灭菌后废水经疾控中心污水站处理后排入市政管网。</w:t>
      </w:r>
    </w:p>
    <w:p>
      <w:pPr>
        <w:bidi w:val="0"/>
        <w:rPr>
          <w:color w:val="auto"/>
        </w:rPr>
      </w:pPr>
      <w:r>
        <w:rPr>
          <w:color w:val="auto"/>
        </w:rPr>
        <w:t>（5）纯水制备废水：纯水制备产生的高盐废水约为用水量的20%，为0.2m</w:t>
      </w:r>
      <w:r>
        <w:rPr>
          <w:rFonts w:hint="eastAsia"/>
          <w:color w:val="auto"/>
          <w:vertAlign w:val="superscript"/>
          <w:lang w:val="en-US" w:eastAsia="zh-CN"/>
        </w:rPr>
        <w:t>3</w:t>
      </w:r>
      <w:r>
        <w:rPr>
          <w:color w:val="auto"/>
        </w:rPr>
        <w:t>/d，60m</w:t>
      </w:r>
      <w:r>
        <w:rPr>
          <w:rFonts w:hint="eastAsia"/>
          <w:color w:val="auto"/>
          <w:vertAlign w:val="superscript"/>
          <w:lang w:val="en-US" w:eastAsia="zh-CN"/>
        </w:rPr>
        <w:t>3</w:t>
      </w:r>
      <w:r>
        <w:rPr>
          <w:color w:val="auto"/>
        </w:rPr>
        <w:t>/a，废水排入市政管网。</w:t>
      </w:r>
    </w:p>
    <w:p>
      <w:pPr>
        <w:pStyle w:val="7"/>
        <w:bidi w:val="0"/>
        <w:rPr>
          <w:color w:val="auto"/>
        </w:rPr>
      </w:pPr>
      <w:r>
        <w:rPr>
          <w:rFonts w:hint="eastAsia"/>
          <w:color w:val="auto"/>
          <w:lang w:val="en-US" w:eastAsia="zh-CN"/>
        </w:rPr>
        <w:t>3.2.4.2供暖、消毒、通风</w:t>
      </w:r>
    </w:p>
    <w:p>
      <w:pPr>
        <w:bidi w:val="0"/>
        <w:rPr>
          <w:rFonts w:hint="eastAsia"/>
          <w:color w:val="auto"/>
          <w:lang w:val="en-US" w:eastAsia="zh-CN"/>
        </w:rPr>
      </w:pPr>
      <w:r>
        <w:rPr>
          <w:rFonts w:hint="eastAsia"/>
          <w:color w:val="auto"/>
          <w:lang w:val="en-US" w:eastAsia="zh-CN"/>
        </w:rPr>
        <w:t>（1）供暖</w:t>
      </w:r>
    </w:p>
    <w:p>
      <w:pPr>
        <w:bidi w:val="0"/>
        <w:rPr>
          <w:color w:val="auto"/>
        </w:rPr>
      </w:pPr>
      <w:r>
        <w:rPr>
          <w:color w:val="auto"/>
          <w:lang w:val="en-US" w:eastAsia="zh-CN"/>
        </w:rPr>
        <w:t>供热管线与医院供热干管对接，供热干管位于拟建疾控中心西南面，管径</w:t>
      </w:r>
      <w:r>
        <w:rPr>
          <w:rFonts w:hint="default"/>
          <w:color w:val="auto"/>
          <w:lang w:val="en-US" w:eastAsia="zh-CN"/>
        </w:rPr>
        <w:t>DN80</w:t>
      </w:r>
      <w:r>
        <w:rPr>
          <w:color w:val="auto"/>
          <w:lang w:val="en-US" w:eastAsia="zh-CN"/>
        </w:rPr>
        <w:t>；采用焊接钢管管道连接</w:t>
      </w:r>
      <w:r>
        <w:rPr>
          <w:rFonts w:hint="default"/>
          <w:color w:val="auto"/>
          <w:lang w:val="en-US" w:eastAsia="zh-CN"/>
        </w:rPr>
        <w:t>DN≤32</w:t>
      </w:r>
      <w:r>
        <w:rPr>
          <w:color w:val="auto"/>
          <w:lang w:val="en-US" w:eastAsia="zh-CN"/>
        </w:rPr>
        <w:t>螺纹接，</w:t>
      </w:r>
      <w:r>
        <w:rPr>
          <w:rFonts w:hint="default"/>
          <w:color w:val="auto"/>
          <w:lang w:val="en-US" w:eastAsia="zh-CN"/>
        </w:rPr>
        <w:t>DN</w:t>
      </w:r>
      <w:r>
        <w:rPr>
          <w:color w:val="auto"/>
          <w:lang w:val="en-US" w:eastAsia="zh-CN"/>
        </w:rPr>
        <w:t>＞</w:t>
      </w:r>
      <w:r>
        <w:rPr>
          <w:rFonts w:hint="default"/>
          <w:color w:val="auto"/>
          <w:lang w:val="en-US" w:eastAsia="zh-CN"/>
        </w:rPr>
        <w:t>32</w:t>
      </w:r>
      <w:r>
        <w:rPr>
          <w:color w:val="auto"/>
          <w:lang w:val="en-US" w:eastAsia="zh-CN"/>
        </w:rPr>
        <w:t>焊接，市政管网可以保证本项目的采暖需要。</w:t>
      </w:r>
      <w:r>
        <w:rPr>
          <w:color w:val="auto"/>
        </w:rPr>
        <w:t>生产过程中微生物实验室设置高压蒸汽灭菌器两台，其热源为电。</w:t>
      </w:r>
    </w:p>
    <w:p>
      <w:pPr>
        <w:bidi w:val="0"/>
        <w:rPr>
          <w:rFonts w:hint="eastAsia"/>
          <w:color w:val="auto"/>
          <w:lang w:val="en-US" w:eastAsia="zh-CN"/>
        </w:rPr>
      </w:pPr>
      <w:r>
        <w:rPr>
          <w:rFonts w:hint="eastAsia"/>
          <w:color w:val="auto"/>
          <w:lang w:val="en-US" w:eastAsia="zh-CN"/>
        </w:rPr>
        <w:t>（2）消毒方式</w:t>
      </w:r>
    </w:p>
    <w:p>
      <w:pPr>
        <w:bidi w:val="0"/>
        <w:rPr>
          <w:color w:val="auto"/>
        </w:rPr>
      </w:pPr>
      <w:r>
        <w:rPr>
          <w:color w:val="auto"/>
        </w:rPr>
        <w:t>本项目设消毒设施和设备，主要采用高温消毒、消毒液擦拭和紫外线消毒，消毒设施和设备满足项目对医疗器械和医护服装的消毒需求。</w:t>
      </w:r>
    </w:p>
    <w:p>
      <w:pPr>
        <w:bidi w:val="0"/>
        <w:rPr>
          <w:color w:val="auto"/>
        </w:rPr>
      </w:pPr>
      <w:r>
        <w:rPr>
          <w:color w:val="auto"/>
        </w:rPr>
        <w:t>污水站废水消毒采用二氧化氯消毒，即可满足本项目的消毒需求。</w:t>
      </w:r>
    </w:p>
    <w:p>
      <w:pPr>
        <w:pStyle w:val="2"/>
        <w:rPr>
          <w:rFonts w:hint="eastAsia"/>
          <w:color w:val="auto"/>
          <w:lang w:val="en-US" w:eastAsia="zh-CN"/>
        </w:rPr>
      </w:pPr>
      <w:r>
        <w:rPr>
          <w:rFonts w:hint="eastAsia"/>
          <w:color w:val="auto"/>
          <w:lang w:eastAsia="zh-CN"/>
        </w:rPr>
        <w:t>（</w:t>
      </w:r>
      <w:r>
        <w:rPr>
          <w:rFonts w:hint="eastAsia"/>
          <w:color w:val="auto"/>
          <w:lang w:val="en-US" w:eastAsia="zh-CN"/>
        </w:rPr>
        <w:t>3</w:t>
      </w:r>
      <w:r>
        <w:rPr>
          <w:rFonts w:hint="eastAsia"/>
          <w:color w:val="auto"/>
          <w:lang w:eastAsia="zh-CN"/>
        </w:rPr>
        <w:t>）</w:t>
      </w:r>
      <w:r>
        <w:rPr>
          <w:rFonts w:hint="eastAsia"/>
          <w:color w:val="auto"/>
          <w:lang w:val="en-US" w:eastAsia="zh-CN"/>
        </w:rPr>
        <w:t>通风</w:t>
      </w:r>
    </w:p>
    <w:p>
      <w:pPr>
        <w:bidi w:val="0"/>
        <w:rPr>
          <w:color w:val="auto"/>
        </w:rPr>
      </w:pPr>
      <w:r>
        <w:rPr>
          <w:color w:val="auto"/>
        </w:rPr>
        <w:t>a</w:t>
      </w:r>
      <w:r>
        <w:rPr>
          <w:rFonts w:hint="eastAsia" w:eastAsia="宋体"/>
          <w:color w:val="auto"/>
          <w:lang w:eastAsia="zh-CN"/>
        </w:rPr>
        <w:t>.</w:t>
      </w:r>
      <w:r>
        <w:rPr>
          <w:color w:val="auto"/>
        </w:rPr>
        <w:t>公共卫生间设排气扇强制排风，换气次数大于10次/h。</w:t>
      </w:r>
    </w:p>
    <w:p>
      <w:pPr>
        <w:bidi w:val="0"/>
        <w:rPr>
          <w:color w:val="auto"/>
        </w:rPr>
      </w:pPr>
      <w:r>
        <w:rPr>
          <w:color w:val="auto"/>
        </w:rPr>
        <w:t>b</w:t>
      </w:r>
      <w:r>
        <w:rPr>
          <w:rFonts w:hint="eastAsia" w:eastAsia="宋体"/>
          <w:color w:val="auto"/>
          <w:lang w:eastAsia="zh-CN"/>
        </w:rPr>
        <w:t>.</w:t>
      </w:r>
      <w:r>
        <w:rPr>
          <w:color w:val="auto"/>
        </w:rPr>
        <w:t>实验室设置独立的送排风系统，每层实验室都设有风井，排风机与送风机组联锁，排风先于送风开启、后于送风关闭。</w:t>
      </w:r>
    </w:p>
    <w:p>
      <w:pPr>
        <w:bidi w:val="0"/>
        <w:rPr>
          <w:rFonts w:hint="eastAsia"/>
          <w:color w:val="auto"/>
          <w:lang w:val="en-US" w:eastAsia="zh-CN"/>
        </w:rPr>
      </w:pPr>
      <w:r>
        <w:rPr>
          <w:rFonts w:hint="eastAsia"/>
          <w:color w:val="auto"/>
          <w:lang w:val="en-US" w:eastAsia="zh-CN"/>
        </w:rPr>
        <w:t>（4）用电</w:t>
      </w:r>
    </w:p>
    <w:p>
      <w:pPr>
        <w:bidi w:val="0"/>
        <w:rPr>
          <w:color w:val="auto"/>
        </w:rPr>
      </w:pPr>
      <w:r>
        <w:rPr>
          <w:color w:val="auto"/>
        </w:rPr>
        <w:t>项目电力由</w:t>
      </w:r>
      <w:r>
        <w:rPr>
          <w:rFonts w:hint="eastAsia"/>
          <w:color w:val="auto"/>
          <w:lang w:val="en-US" w:eastAsia="zh-CN"/>
        </w:rPr>
        <w:t>皮山</w:t>
      </w:r>
      <w:r>
        <w:rPr>
          <w:color w:val="auto"/>
        </w:rPr>
        <w:t>县电力公司提供，即可满足项目用电需求。</w:t>
      </w:r>
    </w:p>
    <w:p>
      <w:pPr>
        <w:pStyle w:val="6"/>
        <w:bidi w:val="0"/>
        <w:outlineLvl w:val="1"/>
        <w:rPr>
          <w:color w:val="auto"/>
        </w:rPr>
      </w:pPr>
      <w:bookmarkStart w:id="57" w:name="_Toc3367"/>
      <w:r>
        <w:rPr>
          <w:color w:val="auto"/>
        </w:rPr>
        <w:t>3.</w:t>
      </w:r>
      <w:r>
        <w:rPr>
          <w:rFonts w:hint="eastAsia"/>
          <w:color w:val="auto"/>
          <w:lang w:val="en-US" w:eastAsia="zh-CN"/>
        </w:rPr>
        <w:t>2</w:t>
      </w:r>
      <w:r>
        <w:rPr>
          <w:color w:val="auto"/>
        </w:rPr>
        <w:t>.</w:t>
      </w:r>
      <w:r>
        <w:rPr>
          <w:rFonts w:hint="eastAsia"/>
          <w:color w:val="auto"/>
          <w:lang w:val="en-US" w:eastAsia="zh-CN"/>
        </w:rPr>
        <w:t>5</w:t>
      </w:r>
      <w:r>
        <w:rPr>
          <w:color w:val="auto"/>
        </w:rPr>
        <w:t>总平面布置</w:t>
      </w:r>
      <w:bookmarkEnd w:id="57"/>
    </w:p>
    <w:p>
      <w:pPr>
        <w:bidi w:val="0"/>
        <w:ind w:left="0" w:leftChars="0" w:firstLine="480" w:firstLineChars="200"/>
        <w:rPr>
          <w:color w:val="auto"/>
        </w:rPr>
      </w:pPr>
      <w:r>
        <w:rPr>
          <w:color w:val="auto"/>
          <w:lang w:val="en-US" w:eastAsia="zh-CN"/>
        </w:rPr>
        <w:t>本次新建疾控中心位于医院的东北面，为了做到合理布局，将主入口设在建筑西南面，由于建筑自身体形自然围合成一集散广场，满足疾控中心集中人流疏散的要求。项目建成后与周围的环境</w:t>
      </w:r>
      <w:r>
        <w:rPr>
          <w:rFonts w:hint="eastAsia"/>
          <w:color w:val="auto"/>
          <w:lang w:val="en-US" w:eastAsia="zh-CN"/>
        </w:rPr>
        <w:t>融为一体</w:t>
      </w:r>
      <w:r>
        <w:rPr>
          <w:color w:val="auto"/>
          <w:lang w:val="en-US" w:eastAsia="zh-CN"/>
        </w:rPr>
        <w:t>，和谐统一。</w:t>
      </w:r>
      <w:r>
        <w:rPr>
          <w:color w:val="auto"/>
        </w:rPr>
        <w:t>具体见</w:t>
      </w:r>
      <w:r>
        <w:rPr>
          <w:rFonts w:hint="eastAsia"/>
          <w:color w:val="auto"/>
          <w:lang w:val="en-US" w:eastAsia="zh-CN"/>
        </w:rPr>
        <w:t>附图</w:t>
      </w:r>
      <w:r>
        <w:rPr>
          <w:color w:val="auto"/>
        </w:rPr>
        <w:t>平面布置图。</w:t>
      </w:r>
    </w:p>
    <w:p>
      <w:pPr>
        <w:pStyle w:val="6"/>
        <w:bidi w:val="0"/>
        <w:outlineLvl w:val="1"/>
        <w:rPr>
          <w:color w:val="auto"/>
        </w:rPr>
      </w:pPr>
      <w:bookmarkStart w:id="58" w:name="_Toc1156"/>
      <w:r>
        <w:rPr>
          <w:color w:val="auto"/>
        </w:rPr>
        <w:t>3.</w:t>
      </w:r>
      <w:r>
        <w:rPr>
          <w:rFonts w:hint="eastAsia"/>
          <w:color w:val="auto"/>
          <w:lang w:val="en-US" w:eastAsia="zh-CN"/>
        </w:rPr>
        <w:t>2</w:t>
      </w:r>
      <w:r>
        <w:rPr>
          <w:color w:val="auto"/>
        </w:rPr>
        <w:t>.</w:t>
      </w:r>
      <w:r>
        <w:rPr>
          <w:rFonts w:hint="eastAsia"/>
          <w:color w:val="auto"/>
          <w:lang w:val="en-US" w:eastAsia="zh-CN"/>
        </w:rPr>
        <w:t>6</w:t>
      </w:r>
      <w:r>
        <w:rPr>
          <w:color w:val="auto"/>
        </w:rPr>
        <w:t>劳动定员及工作制度</w:t>
      </w:r>
      <w:bookmarkEnd w:id="58"/>
    </w:p>
    <w:p>
      <w:pPr>
        <w:bidi w:val="0"/>
        <w:rPr>
          <w:color w:val="auto"/>
        </w:rPr>
      </w:pPr>
      <w:r>
        <w:rPr>
          <w:color w:val="auto"/>
        </w:rPr>
        <w:t>人员编制及工作制度：项目人员编制</w:t>
      </w:r>
      <w:r>
        <w:rPr>
          <w:rFonts w:hint="eastAsia"/>
          <w:color w:val="auto"/>
          <w:lang w:val="en-US" w:eastAsia="zh-CN"/>
        </w:rPr>
        <w:t>50</w:t>
      </w:r>
      <w:r>
        <w:rPr>
          <w:color w:val="auto"/>
        </w:rPr>
        <w:t>人，实行8小时制，年工作300d。根据项目特点，项目区内不设置宿舍及食堂，工作员工均回家食宿。</w:t>
      </w:r>
    </w:p>
    <w:p>
      <w:pPr>
        <w:pStyle w:val="5"/>
        <w:bidi w:val="0"/>
        <w:outlineLvl w:val="0"/>
        <w:rPr>
          <w:rFonts w:hint="eastAsia"/>
          <w:color w:val="auto"/>
          <w:lang w:val="en-US" w:eastAsia="zh-CN"/>
        </w:rPr>
      </w:pPr>
      <w:bookmarkStart w:id="59" w:name="_Toc3904"/>
      <w:r>
        <w:rPr>
          <w:rFonts w:hint="eastAsia"/>
          <w:color w:val="auto"/>
          <w:lang w:val="en-US" w:eastAsia="zh-CN"/>
        </w:rPr>
        <w:t>3.3工程分析</w:t>
      </w:r>
      <w:bookmarkEnd w:id="59"/>
    </w:p>
    <w:p>
      <w:pPr>
        <w:pStyle w:val="6"/>
        <w:bidi w:val="0"/>
        <w:outlineLvl w:val="1"/>
        <w:rPr>
          <w:color w:val="auto"/>
        </w:rPr>
      </w:pPr>
      <w:bookmarkStart w:id="60" w:name="_Toc16388"/>
      <w:r>
        <w:rPr>
          <w:color w:val="auto"/>
        </w:rPr>
        <w:t>3.</w:t>
      </w:r>
      <w:r>
        <w:rPr>
          <w:rFonts w:hint="eastAsia"/>
          <w:color w:val="auto"/>
          <w:lang w:val="en-US" w:eastAsia="zh-CN"/>
        </w:rPr>
        <w:t>3</w:t>
      </w:r>
      <w:r>
        <w:rPr>
          <w:color w:val="auto"/>
        </w:rPr>
        <w:t>.1施工期工艺流程及产物环节</w:t>
      </w:r>
      <w:bookmarkEnd w:id="60"/>
    </w:p>
    <w:p>
      <w:pPr>
        <w:bidi w:val="0"/>
        <w:rPr>
          <w:color w:val="auto"/>
        </w:rPr>
      </w:pPr>
      <w:r>
        <w:rPr>
          <w:color w:val="auto"/>
        </w:rPr>
        <w:t>项目工程施工期涉及基础工程、主体工程、装饰工程、安装工程、工程验收等工序，建设过程中将产生噪声、扬尘、废气、固体废弃物、施工废水和生活污水，其排放量随工期和施工强度不同而有所变化。其施工期间主要施工流程及污染物产生环节如图3.2-1。</w:t>
      </w:r>
    </w:p>
    <w:p>
      <w:pPr>
        <w:pStyle w:val="2"/>
        <w:rPr>
          <w:color w:val="auto"/>
        </w:rPr>
      </w:pPr>
      <w:r>
        <w:rPr>
          <w:color w:val="auto"/>
        </w:rPr>
        <w:drawing>
          <wp:inline distT="0" distB="0" distL="114300" distR="114300">
            <wp:extent cx="4839335" cy="2461260"/>
            <wp:effectExtent l="0" t="0" r="18415" b="1524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2"/>
                    <a:stretch>
                      <a:fillRect/>
                    </a:stretch>
                  </pic:blipFill>
                  <pic:spPr>
                    <a:xfrm>
                      <a:off x="0" y="0"/>
                      <a:ext cx="4839335" cy="2461260"/>
                    </a:xfrm>
                    <a:prstGeom prst="rect">
                      <a:avLst/>
                    </a:prstGeom>
                    <a:noFill/>
                    <a:ln>
                      <a:noFill/>
                    </a:ln>
                  </pic:spPr>
                </pic:pic>
              </a:graphicData>
            </a:graphic>
          </wp:inline>
        </w:drawing>
      </w:r>
    </w:p>
    <w:p>
      <w:pPr>
        <w:pStyle w:val="22"/>
        <w:bidi w:val="0"/>
        <w:rPr>
          <w:b/>
          <w:bCs/>
          <w:color w:val="auto"/>
        </w:rPr>
      </w:pPr>
      <w:r>
        <w:rPr>
          <w:b/>
          <w:bCs/>
          <w:color w:val="auto"/>
        </w:rPr>
        <w:t>图3.2-1项目施工期工艺流程及产污节点图</w:t>
      </w:r>
    </w:p>
    <w:p>
      <w:pPr>
        <w:pStyle w:val="6"/>
        <w:bidi w:val="0"/>
        <w:outlineLvl w:val="1"/>
        <w:rPr>
          <w:color w:val="auto"/>
        </w:rPr>
      </w:pPr>
      <w:bookmarkStart w:id="61" w:name="_Toc4220"/>
      <w:r>
        <w:rPr>
          <w:color w:val="auto"/>
        </w:rPr>
        <w:t>3.</w:t>
      </w:r>
      <w:r>
        <w:rPr>
          <w:rFonts w:hint="eastAsia"/>
          <w:color w:val="auto"/>
          <w:lang w:val="en-US" w:eastAsia="zh-CN"/>
        </w:rPr>
        <w:t>3</w:t>
      </w:r>
      <w:r>
        <w:rPr>
          <w:color w:val="auto"/>
        </w:rPr>
        <w:t>.2运营期工艺流程及产物环节</w:t>
      </w:r>
      <w:bookmarkEnd w:id="61"/>
    </w:p>
    <w:p>
      <w:pPr>
        <w:bidi w:val="0"/>
        <w:rPr>
          <w:rFonts w:hint="default"/>
          <w:color w:val="auto"/>
          <w:lang w:val="en-US" w:eastAsia="zh-CN"/>
        </w:rPr>
      </w:pPr>
      <w:r>
        <w:rPr>
          <w:color w:val="auto"/>
        </w:rPr>
        <w:drawing>
          <wp:anchor distT="0" distB="0" distL="114300" distR="114300" simplePos="0" relativeHeight="251660288" behindDoc="0" locked="0" layoutInCell="1" allowOverlap="1">
            <wp:simplePos x="0" y="0"/>
            <wp:positionH relativeFrom="column">
              <wp:posOffset>34290</wp:posOffset>
            </wp:positionH>
            <wp:positionV relativeFrom="paragraph">
              <wp:posOffset>387985</wp:posOffset>
            </wp:positionV>
            <wp:extent cx="4691380" cy="3186430"/>
            <wp:effectExtent l="0" t="0" r="13970" b="13970"/>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3"/>
                    <a:stretch>
                      <a:fillRect/>
                    </a:stretch>
                  </pic:blipFill>
                  <pic:spPr>
                    <a:xfrm>
                      <a:off x="0" y="0"/>
                      <a:ext cx="4691380" cy="3186430"/>
                    </a:xfrm>
                    <a:prstGeom prst="rect">
                      <a:avLst/>
                    </a:prstGeom>
                    <a:noFill/>
                    <a:ln>
                      <a:noFill/>
                    </a:ln>
                  </pic:spPr>
                </pic:pic>
              </a:graphicData>
            </a:graphic>
          </wp:anchor>
        </w:drawing>
      </w:r>
      <w:r>
        <w:rPr>
          <w:color w:val="auto"/>
        </w:rPr>
        <w:t>本项目为疾控中心建设项目，项目运营后主要工艺流程图见图3.2-2。</w:t>
      </w:r>
    </w:p>
    <w:p>
      <w:pPr>
        <w:pStyle w:val="22"/>
        <w:bidi w:val="0"/>
        <w:rPr>
          <w:color w:val="auto"/>
        </w:rPr>
      </w:pPr>
      <w:r>
        <w:rPr>
          <w:b/>
          <w:bCs/>
          <w:color w:val="auto"/>
        </w:rPr>
        <w:t>图3.2-2主要工作流程及产污环节图</w:t>
      </w:r>
    </w:p>
    <w:p>
      <w:pPr>
        <w:pStyle w:val="5"/>
        <w:bidi w:val="0"/>
        <w:outlineLvl w:val="0"/>
        <w:rPr>
          <w:color w:val="auto"/>
        </w:rPr>
      </w:pPr>
      <w:bookmarkStart w:id="62" w:name="_Toc13754"/>
      <w:r>
        <w:rPr>
          <w:color w:val="auto"/>
        </w:rPr>
        <w:t>3.</w:t>
      </w:r>
      <w:r>
        <w:rPr>
          <w:rFonts w:hint="eastAsia"/>
          <w:color w:val="auto"/>
          <w:lang w:val="en-US" w:eastAsia="zh-CN"/>
        </w:rPr>
        <w:t>4</w:t>
      </w:r>
      <w:r>
        <w:rPr>
          <w:color w:val="auto"/>
        </w:rPr>
        <w:t>施工期污染源分析</w:t>
      </w:r>
      <w:bookmarkEnd w:id="62"/>
    </w:p>
    <w:p>
      <w:pPr>
        <w:bidi w:val="0"/>
        <w:rPr>
          <w:color w:val="auto"/>
        </w:rPr>
      </w:pPr>
      <w:r>
        <w:rPr>
          <w:color w:val="auto"/>
        </w:rPr>
        <w:t>因为本项目性质特殊，疫情政府紧急选址建设，故本项目20</w:t>
      </w:r>
      <w:r>
        <w:rPr>
          <w:rFonts w:hint="eastAsia"/>
          <w:color w:val="auto"/>
          <w:lang w:val="en-US" w:eastAsia="zh-CN"/>
        </w:rPr>
        <w:t>19</w:t>
      </w:r>
      <w:r>
        <w:rPr>
          <w:color w:val="auto"/>
        </w:rPr>
        <w:t>年</w:t>
      </w:r>
      <w:r>
        <w:rPr>
          <w:rFonts w:hint="eastAsia"/>
          <w:color w:val="auto"/>
          <w:lang w:val="en-US" w:eastAsia="zh-CN"/>
        </w:rPr>
        <w:t>3</w:t>
      </w:r>
      <w:r>
        <w:rPr>
          <w:color w:val="auto"/>
        </w:rPr>
        <w:t>月开始建设，20</w:t>
      </w:r>
      <w:r>
        <w:rPr>
          <w:rFonts w:hint="eastAsia"/>
          <w:color w:val="auto"/>
          <w:lang w:val="en-US" w:eastAsia="zh-CN"/>
        </w:rPr>
        <w:t>19</w:t>
      </w:r>
      <w:r>
        <w:rPr>
          <w:color w:val="auto"/>
        </w:rPr>
        <w:t>年</w:t>
      </w:r>
      <w:r>
        <w:rPr>
          <w:rFonts w:hint="eastAsia"/>
          <w:color w:val="auto"/>
          <w:lang w:val="en-US" w:eastAsia="zh-CN"/>
        </w:rPr>
        <w:t>10</w:t>
      </w:r>
      <w:r>
        <w:rPr>
          <w:color w:val="auto"/>
        </w:rPr>
        <w:t>月建设完成，</w:t>
      </w:r>
      <w:r>
        <w:rPr>
          <w:rFonts w:hint="eastAsia"/>
          <w:color w:val="auto"/>
          <w:lang w:val="en-US" w:eastAsia="zh-CN"/>
        </w:rPr>
        <w:t>但未投入运行</w:t>
      </w:r>
      <w:r>
        <w:rPr>
          <w:color w:val="auto"/>
        </w:rPr>
        <w:t>。本环评回顾性分析该项目施工期。</w:t>
      </w:r>
    </w:p>
    <w:p>
      <w:pPr>
        <w:pStyle w:val="6"/>
        <w:bidi w:val="0"/>
        <w:outlineLvl w:val="1"/>
        <w:rPr>
          <w:color w:val="auto"/>
        </w:rPr>
      </w:pPr>
      <w:bookmarkStart w:id="63" w:name="_Toc1340"/>
      <w:r>
        <w:rPr>
          <w:color w:val="auto"/>
        </w:rPr>
        <w:t>3.</w:t>
      </w:r>
      <w:r>
        <w:rPr>
          <w:rFonts w:hint="eastAsia"/>
          <w:color w:val="auto"/>
          <w:lang w:val="en-US" w:eastAsia="zh-CN"/>
        </w:rPr>
        <w:t>4</w:t>
      </w:r>
      <w:r>
        <w:rPr>
          <w:color w:val="auto"/>
        </w:rPr>
        <w:t>.1大气污染源分析</w:t>
      </w:r>
      <w:bookmarkEnd w:id="63"/>
    </w:p>
    <w:p>
      <w:pPr>
        <w:bidi w:val="0"/>
        <w:rPr>
          <w:color w:val="auto"/>
        </w:rPr>
      </w:pPr>
      <w:r>
        <w:rPr>
          <w:color w:val="auto"/>
        </w:rPr>
        <w:t>大气污染物主要是扬尘，施工过程扰动地表，原有天然植被被破坏，运输车辆行驶或大风都可导致扬尘产生。据有关资料显示，施工扬尘的主要来源是运输车辆行驶而形成，约占扬尘总量的60%，扬尘量的大小与天气干燥程度、道路路况、车辆行驶速度、风速大小有关；施工车辆运输行驶于泥土路面而扬起的灰土，其灰尘的浓度可达到1~3g/m</w:t>
      </w:r>
      <w:r>
        <w:rPr>
          <w:color w:val="auto"/>
          <w:vertAlign w:val="superscript"/>
        </w:rPr>
        <w:t>3</w:t>
      </w:r>
      <w:r>
        <w:rPr>
          <w:color w:val="auto"/>
        </w:rPr>
        <w:t>。另外由于在挖方过程中破坏了地表结构，造成地面扬尘污染环境，扬尘的大小因施工现场工作条件、施工季节、施工阶段、管理水平、机械化程度及土质、天气条件的不同而差异较大。一般情况下，在自然风作用下，扬尘受重力、浮力和气流运动的作用，可以发生沉降、上升和扩散，扬尘影响范围在80m以内。在大风天气，扬尘量及影响范围将有所扩大。施工中的弃土、砂料、石灰等，若堆放时被覆不当或装卸运输时散落，也会造成施工扬尘，影响范围在50m左右。施工过程中还有涂料、油漆废气，主要来自于房屋装修阶段，该废气的排放属无组织排放，其主要污染因子为甲醛、二甲苯和甲苯。</w:t>
      </w:r>
    </w:p>
    <w:p>
      <w:pPr>
        <w:pStyle w:val="6"/>
        <w:bidi w:val="0"/>
        <w:outlineLvl w:val="1"/>
        <w:rPr>
          <w:color w:val="auto"/>
        </w:rPr>
      </w:pPr>
      <w:bookmarkStart w:id="64" w:name="_Toc3956"/>
      <w:r>
        <w:rPr>
          <w:color w:val="auto"/>
        </w:rPr>
        <w:t>3.</w:t>
      </w:r>
      <w:r>
        <w:rPr>
          <w:rFonts w:hint="eastAsia"/>
          <w:color w:val="auto"/>
          <w:lang w:val="en-US" w:eastAsia="zh-CN"/>
        </w:rPr>
        <w:t>4</w:t>
      </w:r>
      <w:r>
        <w:rPr>
          <w:color w:val="auto"/>
        </w:rPr>
        <w:t>.2水污染源分析</w:t>
      </w:r>
      <w:bookmarkEnd w:id="64"/>
    </w:p>
    <w:p>
      <w:pPr>
        <w:bidi w:val="0"/>
        <w:rPr>
          <w:color w:val="auto"/>
        </w:rPr>
      </w:pPr>
      <w:r>
        <w:rPr>
          <w:color w:val="auto"/>
        </w:rPr>
        <w:t>工程施工将产生一定量的施工废水及生活污水，并随着项目建设期间不同时段其废水产生量有较大的变化。</w:t>
      </w:r>
    </w:p>
    <w:p>
      <w:pPr>
        <w:bidi w:val="0"/>
        <w:rPr>
          <w:color w:val="auto"/>
        </w:rPr>
      </w:pPr>
      <w:r>
        <w:rPr>
          <w:color w:val="auto"/>
        </w:rPr>
        <w:t>（1）施工废水：项目主体建筑物施工过程中的废水主要产生于建筑物砼浇筑、冲洗与养护过程中，施工废水中主要污染物为SS，其产生时段主要集中于建筑物砼浇筑高峰期。施工废水中含SS浓度较高，约500~1000mg/L，施工废水经沉淀池处理后回用。</w:t>
      </w:r>
    </w:p>
    <w:p>
      <w:pPr>
        <w:bidi w:val="0"/>
        <w:rPr>
          <w:color w:val="auto"/>
        </w:rPr>
      </w:pPr>
      <w:r>
        <w:rPr>
          <w:color w:val="auto"/>
        </w:rPr>
        <w:t>（2）施工生活废水：生活污水主要为施工人员临时生活区产生，主要包括生活洗涤污水与粪便污水等，其主要来自施工人员临时浴室、厕所等。预计本项目施工期作业高峰人数为20人/d</w:t>
      </w:r>
      <w:r>
        <w:rPr>
          <w:rFonts w:hint="eastAsia"/>
          <w:color w:val="auto"/>
          <w:lang w:eastAsia="zh-CN"/>
        </w:rPr>
        <w:t>，</w:t>
      </w:r>
      <w:r>
        <w:rPr>
          <w:color w:val="auto"/>
        </w:rPr>
        <w:t>人均用水指标按100L/人•d计，生活污水日均产生量约2m</w:t>
      </w:r>
      <w:r>
        <w:rPr>
          <w:color w:val="auto"/>
          <w:vertAlign w:val="superscript"/>
        </w:rPr>
        <w:t>3</w:t>
      </w:r>
      <w:r>
        <w:rPr>
          <w:color w:val="auto"/>
        </w:rPr>
        <w:t>/d</w:t>
      </w:r>
      <w:r>
        <w:rPr>
          <w:rFonts w:hint="eastAsia"/>
          <w:color w:val="auto"/>
          <w:lang w:eastAsia="zh-CN"/>
        </w:rPr>
        <w:t>，</w:t>
      </w:r>
      <w:r>
        <w:rPr>
          <w:color w:val="auto"/>
        </w:rPr>
        <w:t>主要污染物为SS、COD及粪大肠菌群等，施工生活废水排入市政下水管网。</w:t>
      </w:r>
    </w:p>
    <w:p>
      <w:pPr>
        <w:pStyle w:val="6"/>
        <w:bidi w:val="0"/>
        <w:outlineLvl w:val="1"/>
        <w:rPr>
          <w:color w:val="auto"/>
        </w:rPr>
      </w:pPr>
      <w:bookmarkStart w:id="65" w:name="_Toc9022"/>
      <w:r>
        <w:rPr>
          <w:color w:val="auto"/>
        </w:rPr>
        <w:t>3.</w:t>
      </w:r>
      <w:r>
        <w:rPr>
          <w:rFonts w:hint="eastAsia"/>
          <w:color w:val="auto"/>
          <w:lang w:val="en-US" w:eastAsia="zh-CN"/>
        </w:rPr>
        <w:t>4</w:t>
      </w:r>
      <w:r>
        <w:rPr>
          <w:color w:val="auto"/>
        </w:rPr>
        <w:t>.3噪声污染源分析</w:t>
      </w:r>
      <w:bookmarkEnd w:id="65"/>
    </w:p>
    <w:p>
      <w:pPr>
        <w:bidi w:val="0"/>
        <w:rPr>
          <w:color w:val="auto"/>
        </w:rPr>
      </w:pPr>
      <w:r>
        <w:rPr>
          <w:color w:val="auto"/>
        </w:rPr>
        <w:t>施工期间的噪声主要来自施工机械和运输车辆的噪声，施工期噪声具有阶段性、临时性和不固定性的特征，不同的施工设备产生的机械噪声声级各不相同。类比同类房地产工程施工经验，本项目施工过程中对周边影响较大的噪声源主要为混凝土振捣器施工噪声，其噪声值最高可达95dB（A）左右。</w:t>
      </w:r>
    </w:p>
    <w:p>
      <w:pPr>
        <w:pStyle w:val="6"/>
        <w:bidi w:val="0"/>
        <w:outlineLvl w:val="1"/>
        <w:rPr>
          <w:color w:val="auto"/>
        </w:rPr>
      </w:pPr>
      <w:bookmarkStart w:id="66" w:name="_Toc14972"/>
      <w:r>
        <w:rPr>
          <w:color w:val="auto"/>
        </w:rPr>
        <w:t>3.</w:t>
      </w:r>
      <w:r>
        <w:rPr>
          <w:rFonts w:hint="eastAsia"/>
          <w:color w:val="auto"/>
          <w:lang w:val="en-US" w:eastAsia="zh-CN"/>
        </w:rPr>
        <w:t>4</w:t>
      </w:r>
      <w:r>
        <w:rPr>
          <w:color w:val="auto"/>
        </w:rPr>
        <w:t>.4固体废物污染源分析</w:t>
      </w:r>
      <w:bookmarkEnd w:id="66"/>
    </w:p>
    <w:p>
      <w:pPr>
        <w:bidi w:val="0"/>
        <w:rPr>
          <w:rFonts w:hint="eastAsia" w:eastAsia="宋体"/>
          <w:color w:val="auto"/>
          <w:lang w:eastAsia="zh-CN"/>
        </w:rPr>
      </w:pPr>
      <w:r>
        <w:rPr>
          <w:color w:val="auto"/>
        </w:rPr>
        <w:t>施工期固体废物主要为参与土方，以及施工人员的生活垃圾。建筑垃圾成分较复杂，主要有：废弃的沙石砖瓦、木块、废瓷砖、塑料、废混凝土、废金属、油漆涂料包装物、碎玻璃等。生活垃圾则包括残剩食物、塑料、废纸、各种玻璃瓶、动物骨刺皮壳等。这些固废处置不当将会影响景观，污染土壤和水体，生活垃圾还会散发恶臭</w:t>
      </w:r>
      <w:r>
        <w:rPr>
          <w:rFonts w:hint="eastAsia"/>
          <w:color w:val="auto"/>
          <w:lang w:eastAsia="zh-CN"/>
        </w:rPr>
        <w:t>。</w:t>
      </w:r>
    </w:p>
    <w:p>
      <w:pPr>
        <w:bidi w:val="0"/>
        <w:rPr>
          <w:color w:val="auto"/>
        </w:rPr>
      </w:pPr>
      <w:r>
        <w:rPr>
          <w:color w:val="auto"/>
        </w:rPr>
        <w:t>项目主体工程施工建筑垃圾及土方应及时清运至当地建筑垃圾填埋场处置。本工程施工人员约为20人，按每人0.5kg/d计算，生活垃圾产生量约为</w:t>
      </w:r>
      <w:r>
        <w:rPr>
          <w:rFonts w:hint="eastAsia"/>
          <w:color w:val="auto"/>
          <w:lang w:val="en-US" w:eastAsia="zh-CN"/>
        </w:rPr>
        <w:t>2.1</w:t>
      </w:r>
      <w:r>
        <w:rPr>
          <w:color w:val="auto"/>
        </w:rPr>
        <w:t>t/a</w:t>
      </w:r>
      <w:r>
        <w:rPr>
          <w:rFonts w:hint="eastAsia"/>
          <w:color w:val="auto"/>
          <w:lang w:eastAsia="zh-CN"/>
        </w:rPr>
        <w:t>（</w:t>
      </w:r>
      <w:r>
        <w:rPr>
          <w:rFonts w:hint="eastAsia"/>
          <w:color w:val="auto"/>
          <w:lang w:val="en-US" w:eastAsia="zh-CN"/>
        </w:rPr>
        <w:t>210d</w:t>
      </w:r>
      <w:r>
        <w:rPr>
          <w:rFonts w:hint="eastAsia"/>
          <w:color w:val="auto"/>
          <w:lang w:eastAsia="zh-CN"/>
        </w:rPr>
        <w:t>）</w:t>
      </w:r>
      <w:r>
        <w:rPr>
          <w:color w:val="auto"/>
        </w:rPr>
        <w:t>，由市政环卫部门及时清运至当地垃圾中转站统一集中处置。</w:t>
      </w:r>
    </w:p>
    <w:p>
      <w:pPr>
        <w:pStyle w:val="6"/>
        <w:bidi w:val="0"/>
        <w:outlineLvl w:val="1"/>
        <w:rPr>
          <w:color w:val="auto"/>
        </w:rPr>
      </w:pPr>
      <w:bookmarkStart w:id="67" w:name="_Toc32545"/>
      <w:r>
        <w:rPr>
          <w:color w:val="auto"/>
        </w:rPr>
        <w:t>3.</w:t>
      </w:r>
      <w:r>
        <w:rPr>
          <w:rFonts w:hint="eastAsia"/>
          <w:color w:val="auto"/>
          <w:lang w:val="en-US" w:eastAsia="zh-CN"/>
        </w:rPr>
        <w:t>4</w:t>
      </w:r>
      <w:r>
        <w:rPr>
          <w:color w:val="auto"/>
        </w:rPr>
        <w:t>.5对生态环境的影响</w:t>
      </w:r>
      <w:bookmarkEnd w:id="67"/>
    </w:p>
    <w:p>
      <w:pPr>
        <w:bidi w:val="0"/>
        <w:rPr>
          <w:color w:val="auto"/>
        </w:rPr>
      </w:pPr>
      <w:r>
        <w:rPr>
          <w:color w:val="auto"/>
        </w:rPr>
        <w:t>目前土地利用现状为裸地，项目建设过程中，因施工开挖导致大面积地表裸露，对区域生态环境有一定的不利影响。但项目建设用地规划的功能为公共设施用地，因此项目建设不改变土地利用功能，满足规划要求。</w:t>
      </w:r>
    </w:p>
    <w:p>
      <w:pPr>
        <w:pStyle w:val="5"/>
        <w:bidi w:val="0"/>
        <w:outlineLvl w:val="0"/>
        <w:rPr>
          <w:color w:val="auto"/>
        </w:rPr>
      </w:pPr>
      <w:bookmarkStart w:id="68" w:name="_Toc19333"/>
      <w:r>
        <w:rPr>
          <w:color w:val="auto"/>
        </w:rPr>
        <w:t>3.</w:t>
      </w:r>
      <w:r>
        <w:rPr>
          <w:rFonts w:hint="eastAsia"/>
          <w:color w:val="auto"/>
          <w:lang w:val="en-US" w:eastAsia="zh-CN"/>
        </w:rPr>
        <w:t>5</w:t>
      </w:r>
      <w:r>
        <w:rPr>
          <w:color w:val="auto"/>
        </w:rPr>
        <w:t>运营期污染源分析</w:t>
      </w:r>
      <w:bookmarkEnd w:id="68"/>
    </w:p>
    <w:p>
      <w:pPr>
        <w:pStyle w:val="6"/>
        <w:bidi w:val="0"/>
        <w:outlineLvl w:val="1"/>
        <w:rPr>
          <w:color w:val="auto"/>
        </w:rPr>
      </w:pPr>
      <w:bookmarkStart w:id="69" w:name="_Toc11028"/>
      <w:r>
        <w:rPr>
          <w:color w:val="auto"/>
        </w:rPr>
        <w:t>3.</w:t>
      </w:r>
      <w:r>
        <w:rPr>
          <w:rFonts w:hint="eastAsia"/>
          <w:color w:val="auto"/>
          <w:lang w:val="en-US" w:eastAsia="zh-CN"/>
        </w:rPr>
        <w:t>5</w:t>
      </w:r>
      <w:r>
        <w:rPr>
          <w:color w:val="auto"/>
        </w:rPr>
        <w:t>.1大气污染源分析</w:t>
      </w:r>
      <w:bookmarkEnd w:id="69"/>
    </w:p>
    <w:p>
      <w:pPr>
        <w:bidi w:val="0"/>
        <w:rPr>
          <w:color w:val="auto"/>
        </w:rPr>
      </w:pPr>
      <w:r>
        <w:rPr>
          <w:color w:val="auto"/>
        </w:rPr>
        <w:t>本项目营运期产生的废气主要为消毒异味和污水站恶臭、实验室废气。</w:t>
      </w:r>
    </w:p>
    <w:p>
      <w:pPr>
        <w:bidi w:val="0"/>
        <w:rPr>
          <w:color w:val="auto"/>
        </w:rPr>
      </w:pPr>
      <w:r>
        <w:rPr>
          <w:color w:val="auto"/>
        </w:rPr>
        <w:t>（1）消毒异味</w:t>
      </w:r>
    </w:p>
    <w:p>
      <w:pPr>
        <w:bidi w:val="0"/>
        <w:rPr>
          <w:color w:val="auto"/>
        </w:rPr>
      </w:pPr>
      <w:r>
        <w:rPr>
          <w:color w:val="auto"/>
        </w:rPr>
        <w:t>为降低空气中的含菌量，疾控中心经常使用</w:t>
      </w:r>
      <w:r>
        <w:rPr>
          <w:rFonts w:hint="eastAsia"/>
          <w:color w:val="auto"/>
          <w:lang w:val="en-US" w:eastAsia="zh-CN"/>
        </w:rPr>
        <w:t>二氧化氯</w:t>
      </w:r>
      <w:r>
        <w:rPr>
          <w:color w:val="auto"/>
        </w:rPr>
        <w:t>等消毒剂对楼道、卫生间等进行消毒处理，在此过程中会有少量异味产生。项目的消毒异味主要为消毒剂挥发物，产生量不大，且主要产生在室内，为无组织排放。实验室检验设施消毒所用蒸汽为微生物实验室有专用电热高压蒸汽灭菌器进行消毒，</w:t>
      </w:r>
      <w:r>
        <w:rPr>
          <w:rFonts w:hint="eastAsia"/>
          <w:color w:val="auto"/>
          <w:lang w:val="en-US" w:eastAsia="zh-CN"/>
        </w:rPr>
        <w:t xml:space="preserve">灭菌时采用高压蒸汽 </w:t>
      </w:r>
      <w:r>
        <w:rPr>
          <w:rFonts w:hint="default"/>
          <w:color w:val="auto"/>
          <w:lang w:val="en-US" w:eastAsia="zh-CN"/>
        </w:rPr>
        <w:t>121</w:t>
      </w:r>
      <w:r>
        <w:rPr>
          <w:rFonts w:hint="eastAsia"/>
          <w:color w:val="auto"/>
          <w:lang w:val="en-US" w:eastAsia="zh-CN"/>
        </w:rPr>
        <w:t>℃，</w:t>
      </w:r>
      <w:r>
        <w:rPr>
          <w:rFonts w:hint="default"/>
          <w:color w:val="auto"/>
          <w:lang w:val="en-US" w:eastAsia="zh-CN"/>
        </w:rPr>
        <w:t>102.9kPa</w:t>
      </w:r>
      <w:r>
        <w:rPr>
          <w:rFonts w:hint="eastAsia"/>
          <w:color w:val="auto"/>
          <w:lang w:val="en-US" w:eastAsia="zh-CN"/>
        </w:rPr>
        <w:t>，</w:t>
      </w:r>
      <w:r>
        <w:rPr>
          <w:rFonts w:hint="default"/>
          <w:color w:val="auto"/>
          <w:lang w:val="en-US" w:eastAsia="zh-CN"/>
        </w:rPr>
        <w:t xml:space="preserve">30min </w:t>
      </w:r>
      <w:r>
        <w:rPr>
          <w:rFonts w:hint="eastAsia"/>
          <w:color w:val="auto"/>
          <w:lang w:val="en-US" w:eastAsia="zh-CN"/>
        </w:rPr>
        <w:t>灭菌处理，有效灭活病原微生物，高压蒸汽灭菌，不仅可杀死一般的细菌、真菌等微生物，对芽胞、孢子也有杀灭 效果，是最可靠、应用最普遍的物理灭菌法</w:t>
      </w:r>
      <w:r>
        <w:rPr>
          <w:color w:val="auto"/>
        </w:rPr>
        <w:t>热源为电。</w:t>
      </w:r>
    </w:p>
    <w:p>
      <w:pPr>
        <w:bidi w:val="0"/>
        <w:rPr>
          <w:color w:val="auto"/>
        </w:rPr>
      </w:pPr>
      <w:r>
        <w:rPr>
          <w:color w:val="auto"/>
        </w:rPr>
        <w:t>（2）污水站恶臭</w:t>
      </w:r>
    </w:p>
    <w:p>
      <w:pPr>
        <w:bidi w:val="0"/>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项目污水站运用过程中都不可避免的产生臭气，其主要成分是硫化氢、氨气等，污水处理厂的恶臭物质排放量与水质、处理规模、当地气候、相对湿度、季节和处理工艺等有关，排放形式为低空无组织排放。</w:t>
      </w:r>
    </w:p>
    <w:p>
      <w:pPr>
        <w:bidi w:val="0"/>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项目污水站置于密闭空间内，产生的异味通过活性炭吸附，项目产生的恶臭量较小，主要在密闭空间内，为无组织排放。臭气污染源源强根据美国EPA</w:t>
      </w:r>
      <w:r>
        <w:rPr>
          <w:rFonts w:hint="default" w:ascii="Times New Roman" w:hAnsi="Times New Roman" w:eastAsia="宋体" w:cs="Times New Roman"/>
          <w:b w:val="0"/>
          <w:bCs w:val="0"/>
          <w:color w:val="auto"/>
          <w:highlight w:val="none"/>
          <w:lang w:eastAsia="zh-CN"/>
        </w:rPr>
        <w:t>（</w:t>
      </w:r>
      <w:r>
        <w:rPr>
          <w:rFonts w:hint="default" w:ascii="Times New Roman" w:hAnsi="Times New Roman" w:cs="Times New Roman"/>
          <w:b w:val="0"/>
          <w:bCs w:val="0"/>
          <w:color w:val="auto"/>
          <w:highlight w:val="none"/>
        </w:rPr>
        <w:t>环境保护署</w:t>
      </w:r>
      <w:r>
        <w:rPr>
          <w:rFonts w:hint="default" w:ascii="Times New Roman" w:hAnsi="Times New Roman" w:eastAsia="宋体" w:cs="Times New Roman"/>
          <w:b w:val="0"/>
          <w:bCs w:val="0"/>
          <w:color w:val="auto"/>
          <w:highlight w:val="none"/>
          <w:lang w:eastAsia="zh-CN"/>
        </w:rPr>
        <w:t>）</w:t>
      </w:r>
      <w:r>
        <w:rPr>
          <w:rFonts w:hint="default" w:ascii="Times New Roman" w:hAnsi="Times New Roman" w:cs="Times New Roman"/>
          <w:b w:val="0"/>
          <w:bCs w:val="0"/>
          <w:color w:val="auto"/>
          <w:highlight w:val="none"/>
        </w:rPr>
        <w:t>对污水处理厂恶臭污染物产生情况的研究，每处理1gBOD5会产生0.0031g的NH</w:t>
      </w:r>
      <w:r>
        <w:rPr>
          <w:rFonts w:hint="default" w:ascii="Times New Roman" w:hAnsi="Times New Roman" w:cs="Times New Roman"/>
          <w:b w:val="0"/>
          <w:bCs w:val="0"/>
          <w:color w:val="auto"/>
          <w:highlight w:val="none"/>
          <w:vertAlign w:val="subscript"/>
        </w:rPr>
        <w:t>3</w:t>
      </w:r>
      <w:r>
        <w:rPr>
          <w:rFonts w:hint="default" w:ascii="Times New Roman" w:hAnsi="Times New Roman" w:cs="Times New Roman"/>
          <w:b w:val="0"/>
          <w:bCs w:val="0"/>
          <w:color w:val="auto"/>
          <w:highlight w:val="none"/>
        </w:rPr>
        <w:t>和0.00012g的H</w:t>
      </w:r>
      <w:r>
        <w:rPr>
          <w:rFonts w:hint="default" w:ascii="Times New Roman" w:hAnsi="Times New Roman" w:cs="Times New Roman"/>
          <w:b w:val="0"/>
          <w:bCs w:val="0"/>
          <w:color w:val="auto"/>
          <w:highlight w:val="none"/>
          <w:vertAlign w:val="subscript"/>
        </w:rPr>
        <w:t>2</w:t>
      </w:r>
      <w:r>
        <w:rPr>
          <w:rFonts w:hint="default" w:ascii="Times New Roman" w:hAnsi="Times New Roman" w:cs="Times New Roman"/>
          <w:b w:val="0"/>
          <w:bCs w:val="0"/>
          <w:color w:val="auto"/>
          <w:highlight w:val="none"/>
        </w:rPr>
        <w:t>S，根据污水处理设计指标，本项目BOD</w:t>
      </w:r>
      <w:r>
        <w:rPr>
          <w:rFonts w:hint="default" w:ascii="Times New Roman" w:hAnsi="Times New Roman" w:cs="Times New Roman"/>
          <w:b w:val="0"/>
          <w:bCs w:val="0"/>
          <w:color w:val="auto"/>
          <w:highlight w:val="none"/>
          <w:vertAlign w:val="subscript"/>
        </w:rPr>
        <w:t>5</w:t>
      </w:r>
      <w:r>
        <w:rPr>
          <w:rFonts w:hint="default" w:ascii="Times New Roman" w:hAnsi="Times New Roman" w:cs="Times New Roman"/>
          <w:b w:val="0"/>
          <w:bCs w:val="0"/>
          <w:color w:val="auto"/>
          <w:highlight w:val="none"/>
        </w:rPr>
        <w:t>消减浓度</w:t>
      </w:r>
      <w:r>
        <w:rPr>
          <w:rFonts w:hint="default" w:ascii="Times New Roman" w:hAnsi="Times New Roman" w:eastAsia="宋体" w:cs="Times New Roman"/>
          <w:b w:val="0"/>
          <w:bCs w:val="0"/>
          <w:color w:val="auto"/>
          <w:highlight w:val="none"/>
          <w:lang w:val="en-US" w:eastAsia="zh-CN"/>
        </w:rPr>
        <w:t>180</w:t>
      </w:r>
      <w:r>
        <w:rPr>
          <w:rFonts w:hint="default" w:ascii="Times New Roman" w:hAnsi="Times New Roman" w:cs="Times New Roman"/>
          <w:b w:val="0"/>
          <w:bCs w:val="0"/>
          <w:color w:val="auto"/>
          <w:highlight w:val="none"/>
        </w:rPr>
        <w:t>mg/L，按实验室排水量</w:t>
      </w:r>
      <w:r>
        <w:rPr>
          <w:rFonts w:hint="default" w:ascii="Times New Roman" w:hAnsi="Times New Roman" w:eastAsia="宋体" w:cs="Times New Roman"/>
          <w:b w:val="0"/>
          <w:bCs w:val="0"/>
          <w:color w:val="auto"/>
          <w:highlight w:val="none"/>
          <w:lang w:val="en-US" w:eastAsia="zh-CN"/>
        </w:rPr>
        <w:t>444</w:t>
      </w:r>
      <w:r>
        <w:rPr>
          <w:rFonts w:hint="default" w:ascii="Times New Roman" w:hAnsi="Times New Roman" w:cs="Times New Roman"/>
          <w:b w:val="0"/>
          <w:bCs w:val="0"/>
          <w:color w:val="auto"/>
          <w:highlight w:val="none"/>
        </w:rPr>
        <w:t>t/a，估算BOD</w:t>
      </w:r>
      <w:r>
        <w:rPr>
          <w:rFonts w:hint="default" w:ascii="Times New Roman" w:hAnsi="Times New Roman" w:cs="Times New Roman"/>
          <w:b w:val="0"/>
          <w:bCs w:val="0"/>
          <w:color w:val="auto"/>
          <w:highlight w:val="none"/>
          <w:vertAlign w:val="subscript"/>
        </w:rPr>
        <w:t>5</w:t>
      </w:r>
      <w:r>
        <w:rPr>
          <w:rFonts w:hint="default" w:ascii="Times New Roman" w:hAnsi="Times New Roman" w:cs="Times New Roman"/>
          <w:b w:val="0"/>
          <w:bCs w:val="0"/>
          <w:color w:val="auto"/>
          <w:highlight w:val="none"/>
        </w:rPr>
        <w:t>削减量为</w:t>
      </w:r>
      <w:r>
        <w:rPr>
          <w:rFonts w:hint="default" w:ascii="Times New Roman" w:hAnsi="Times New Roman" w:eastAsia="宋体" w:cs="Times New Roman"/>
          <w:b w:val="0"/>
          <w:bCs w:val="0"/>
          <w:color w:val="auto"/>
          <w:highlight w:val="none"/>
          <w:lang w:val="en-US" w:eastAsia="zh-CN"/>
        </w:rPr>
        <w:t>79920</w:t>
      </w:r>
      <w:r>
        <w:rPr>
          <w:rFonts w:hint="default" w:ascii="Times New Roman" w:hAnsi="Times New Roman" w:cs="Times New Roman"/>
          <w:b w:val="0"/>
          <w:bCs w:val="0"/>
          <w:color w:val="auto"/>
          <w:highlight w:val="none"/>
        </w:rPr>
        <w:t>g/a，则本项目污水处理站NH</w:t>
      </w:r>
      <w:r>
        <w:rPr>
          <w:rFonts w:hint="default" w:ascii="Times New Roman" w:hAnsi="Times New Roman" w:cs="Times New Roman"/>
          <w:b w:val="0"/>
          <w:bCs w:val="0"/>
          <w:color w:val="auto"/>
          <w:highlight w:val="none"/>
          <w:vertAlign w:val="subscript"/>
        </w:rPr>
        <w:t>3</w:t>
      </w:r>
      <w:r>
        <w:rPr>
          <w:rFonts w:hint="default" w:ascii="Times New Roman" w:hAnsi="Times New Roman" w:cs="Times New Roman"/>
          <w:b w:val="0"/>
          <w:bCs w:val="0"/>
          <w:color w:val="auto"/>
          <w:highlight w:val="none"/>
        </w:rPr>
        <w:t>和H</w:t>
      </w:r>
      <w:r>
        <w:rPr>
          <w:rFonts w:hint="default" w:ascii="Times New Roman" w:hAnsi="Times New Roman" w:cs="Times New Roman"/>
          <w:b w:val="0"/>
          <w:bCs w:val="0"/>
          <w:color w:val="auto"/>
          <w:highlight w:val="none"/>
          <w:vertAlign w:val="subscript"/>
        </w:rPr>
        <w:t>2</w:t>
      </w:r>
      <w:r>
        <w:rPr>
          <w:rFonts w:hint="default" w:ascii="Times New Roman" w:hAnsi="Times New Roman" w:cs="Times New Roman"/>
          <w:b w:val="0"/>
          <w:bCs w:val="0"/>
          <w:color w:val="auto"/>
          <w:highlight w:val="none"/>
        </w:rPr>
        <w:t>S产生量为</w:t>
      </w:r>
      <w:r>
        <w:rPr>
          <w:rFonts w:hint="default" w:ascii="Times New Roman" w:hAnsi="Times New Roman" w:eastAsia="宋体" w:cs="Times New Roman"/>
          <w:b w:val="0"/>
          <w:bCs w:val="0"/>
          <w:color w:val="auto"/>
          <w:highlight w:val="none"/>
          <w:lang w:val="en-US" w:eastAsia="zh-CN"/>
        </w:rPr>
        <w:t>0.248</w:t>
      </w:r>
      <w:r>
        <w:rPr>
          <w:rFonts w:hint="default" w:ascii="Times New Roman" w:hAnsi="Times New Roman" w:cs="Times New Roman"/>
          <w:b w:val="0"/>
          <w:bCs w:val="0"/>
          <w:color w:val="auto"/>
          <w:highlight w:val="none"/>
        </w:rPr>
        <w:t>kg/a和</w:t>
      </w:r>
      <w:r>
        <w:rPr>
          <w:rFonts w:hint="default" w:ascii="Times New Roman" w:hAnsi="Times New Roman" w:eastAsia="宋体" w:cs="Times New Roman"/>
          <w:b w:val="0"/>
          <w:bCs w:val="0"/>
          <w:color w:val="auto"/>
          <w:highlight w:val="none"/>
          <w:lang w:val="en-US" w:eastAsia="zh-CN"/>
        </w:rPr>
        <w:t>0.0096</w:t>
      </w:r>
      <w:r>
        <w:rPr>
          <w:rFonts w:hint="default" w:ascii="Times New Roman" w:hAnsi="Times New Roman" w:cs="Times New Roman"/>
          <w:b w:val="0"/>
          <w:bCs w:val="0"/>
          <w:color w:val="auto"/>
          <w:highlight w:val="none"/>
        </w:rPr>
        <w:t>kg/a。</w:t>
      </w:r>
    </w:p>
    <w:p>
      <w:pPr>
        <w:spacing w:before="42" w:line="355" w:lineRule="auto"/>
        <w:ind w:left="109" w:right="186" w:firstLine="477"/>
        <w:rPr>
          <w:rFonts w:hint="default" w:ascii="Times New Roman" w:hAnsi="Times New Roman" w:cs="Times New Roman"/>
          <w:b w:val="0"/>
          <w:bCs w:val="0"/>
          <w:color w:val="auto"/>
          <w:spacing w:val="0"/>
          <w:position w:val="0"/>
          <w:highlight w:val="none"/>
        </w:rPr>
      </w:pPr>
      <w:r>
        <w:rPr>
          <w:rFonts w:hint="default" w:ascii="Times New Roman" w:hAnsi="Times New Roman" w:eastAsia="宋体" w:cs="Times New Roman"/>
          <w:b w:val="0"/>
          <w:bCs w:val="0"/>
          <w:color w:val="auto"/>
          <w:spacing w:val="0"/>
          <w:position w:val="0"/>
          <w:sz w:val="24"/>
          <w:szCs w:val="24"/>
          <w:highlight w:val="none"/>
        </w:rPr>
        <w:t>根据《医疗机构水污染物排放标准》（</w:t>
      </w:r>
      <w:r>
        <w:rPr>
          <w:rFonts w:hint="default" w:ascii="Times New Roman" w:hAnsi="Times New Roman" w:eastAsia="Times New Roman" w:cs="Times New Roman"/>
          <w:b w:val="0"/>
          <w:bCs w:val="0"/>
          <w:color w:val="auto"/>
          <w:spacing w:val="0"/>
          <w:position w:val="0"/>
          <w:sz w:val="24"/>
          <w:szCs w:val="24"/>
          <w:highlight w:val="none"/>
        </w:rPr>
        <w:t>GB18466-2005</w:t>
      </w:r>
      <w:r>
        <w:rPr>
          <w:rFonts w:hint="default" w:ascii="Times New Roman" w:hAnsi="Times New Roman" w:eastAsia="宋体" w:cs="Times New Roman"/>
          <w:b w:val="0"/>
          <w:bCs w:val="0"/>
          <w:color w:val="auto"/>
          <w:spacing w:val="0"/>
          <w:position w:val="0"/>
          <w:sz w:val="24"/>
          <w:szCs w:val="24"/>
          <w:highlight w:val="none"/>
        </w:rPr>
        <w:t>）要求，医疗机构污水处理站排出的废气应进行除臭除味处理，本项目污水处理站采用“</w:t>
      </w:r>
      <w:r>
        <w:rPr>
          <w:rFonts w:hint="default" w:ascii="Times New Roman" w:hAnsi="Times New Roman" w:eastAsia="宋体" w:cs="Times New Roman"/>
          <w:b w:val="0"/>
          <w:bCs w:val="0"/>
          <w:color w:val="auto"/>
          <w:spacing w:val="-2"/>
          <w:sz w:val="24"/>
          <w:szCs w:val="24"/>
          <w:highlight w:val="none"/>
        </w:rPr>
        <w:t>调节池</w:t>
      </w:r>
      <w:r>
        <w:rPr>
          <w:rFonts w:hint="default" w:ascii="Times New Roman" w:hAnsi="Times New Roman" w:eastAsia="Times New Roman" w:cs="Times New Roman"/>
          <w:b w:val="0"/>
          <w:bCs w:val="0"/>
          <w:color w:val="auto"/>
          <w:spacing w:val="-2"/>
          <w:sz w:val="24"/>
          <w:szCs w:val="24"/>
          <w:highlight w:val="none"/>
        </w:rPr>
        <w:t>+</w:t>
      </w:r>
      <w:r>
        <w:rPr>
          <w:rFonts w:hint="default" w:ascii="Times New Roman" w:hAnsi="Times New Roman" w:eastAsia="宋体" w:cs="Times New Roman"/>
          <w:b w:val="0"/>
          <w:bCs w:val="0"/>
          <w:color w:val="auto"/>
          <w:spacing w:val="-2"/>
          <w:sz w:val="24"/>
          <w:szCs w:val="24"/>
          <w:highlight w:val="none"/>
        </w:rPr>
        <w:t>水解酸化</w:t>
      </w:r>
      <w:r>
        <w:rPr>
          <w:rFonts w:hint="default" w:ascii="Times New Roman" w:hAnsi="Times New Roman" w:eastAsia="Times New Roman" w:cs="Times New Roman"/>
          <w:b w:val="0"/>
          <w:bCs w:val="0"/>
          <w:color w:val="auto"/>
          <w:spacing w:val="-3"/>
          <w:sz w:val="24"/>
          <w:szCs w:val="24"/>
          <w:highlight w:val="none"/>
        </w:rPr>
        <w:t>+</w:t>
      </w:r>
      <w:r>
        <w:rPr>
          <w:rFonts w:hint="default" w:ascii="Times New Roman" w:hAnsi="Times New Roman" w:eastAsia="宋体" w:cs="Times New Roman"/>
          <w:b w:val="0"/>
          <w:bCs w:val="0"/>
          <w:color w:val="auto"/>
          <w:spacing w:val="-3"/>
          <w:sz w:val="24"/>
          <w:szCs w:val="24"/>
          <w:highlight w:val="none"/>
        </w:rPr>
        <w:t>接触氧化</w:t>
      </w:r>
      <w:r>
        <w:rPr>
          <w:rFonts w:hint="default" w:ascii="Times New Roman" w:hAnsi="Times New Roman" w:eastAsia="Times New Roman" w:cs="Times New Roman"/>
          <w:b w:val="0"/>
          <w:bCs w:val="0"/>
          <w:color w:val="auto"/>
          <w:spacing w:val="-3"/>
          <w:sz w:val="24"/>
          <w:szCs w:val="24"/>
          <w:highlight w:val="none"/>
        </w:rPr>
        <w:t>+</w:t>
      </w:r>
      <w:r>
        <w:rPr>
          <w:rFonts w:hint="default" w:ascii="Times New Roman" w:hAnsi="Times New Roman" w:eastAsia="宋体" w:cs="Times New Roman"/>
          <w:b w:val="0"/>
          <w:bCs w:val="0"/>
          <w:color w:val="auto"/>
          <w:spacing w:val="-3"/>
          <w:sz w:val="24"/>
          <w:szCs w:val="24"/>
          <w:highlight w:val="none"/>
        </w:rPr>
        <w:t>沉淀</w:t>
      </w:r>
      <w:r>
        <w:rPr>
          <w:rFonts w:hint="default" w:ascii="Times New Roman" w:hAnsi="Times New Roman" w:eastAsia="Times New Roman" w:cs="Times New Roman"/>
          <w:b w:val="0"/>
          <w:bCs w:val="0"/>
          <w:color w:val="auto"/>
          <w:spacing w:val="-3"/>
          <w:sz w:val="24"/>
          <w:szCs w:val="24"/>
          <w:highlight w:val="none"/>
        </w:rPr>
        <w:t>+</w:t>
      </w:r>
      <w:r>
        <w:rPr>
          <w:rFonts w:hint="default" w:ascii="Times New Roman" w:hAnsi="Times New Roman" w:eastAsia="宋体" w:cs="Times New Roman"/>
          <w:b w:val="0"/>
          <w:bCs w:val="0"/>
          <w:color w:val="auto"/>
          <w:spacing w:val="-3"/>
          <w:sz w:val="24"/>
          <w:szCs w:val="24"/>
          <w:highlight w:val="none"/>
        </w:rPr>
        <w:t>消毒</w:t>
      </w:r>
      <w:r>
        <w:rPr>
          <w:rFonts w:hint="default" w:ascii="Times New Roman" w:hAnsi="Times New Roman" w:eastAsia="宋体" w:cs="Times New Roman"/>
          <w:b w:val="0"/>
          <w:bCs w:val="0"/>
          <w:color w:val="auto"/>
          <w:spacing w:val="0"/>
          <w:position w:val="0"/>
          <w:sz w:val="24"/>
          <w:szCs w:val="24"/>
          <w:highlight w:val="none"/>
        </w:rPr>
        <w:t>”工艺，各处理设施及构筑物均进行密闭，各部分产生的废气经集中收集后通过活性炭吸附后排放，吸附效率按</w:t>
      </w:r>
      <w:r>
        <w:rPr>
          <w:rFonts w:hint="default" w:ascii="Times New Roman" w:hAnsi="Times New Roman" w:eastAsia="Times New Roman" w:cs="Times New Roman"/>
          <w:b w:val="0"/>
          <w:bCs w:val="0"/>
          <w:color w:val="auto"/>
          <w:spacing w:val="0"/>
          <w:position w:val="0"/>
          <w:sz w:val="24"/>
          <w:szCs w:val="24"/>
          <w:highlight w:val="none"/>
        </w:rPr>
        <w:t>80%</w:t>
      </w:r>
      <w:r>
        <w:rPr>
          <w:rFonts w:hint="default" w:ascii="Times New Roman" w:hAnsi="Times New Roman" w:eastAsia="宋体" w:cs="Times New Roman"/>
          <w:b w:val="0"/>
          <w:bCs w:val="0"/>
          <w:color w:val="auto"/>
          <w:spacing w:val="0"/>
          <w:position w:val="0"/>
          <w:sz w:val="24"/>
          <w:szCs w:val="24"/>
          <w:highlight w:val="none"/>
        </w:rPr>
        <w:t>计，则处理后</w:t>
      </w:r>
      <w:r>
        <w:rPr>
          <w:rFonts w:hint="default" w:ascii="Times New Roman" w:hAnsi="Times New Roman" w:eastAsia="Times New Roman" w:cs="Times New Roman"/>
          <w:b w:val="0"/>
          <w:bCs w:val="0"/>
          <w:color w:val="auto"/>
          <w:spacing w:val="0"/>
          <w:position w:val="0"/>
          <w:sz w:val="24"/>
          <w:szCs w:val="24"/>
          <w:highlight w:val="none"/>
        </w:rPr>
        <w:t>NH</w:t>
      </w:r>
      <w:r>
        <w:rPr>
          <w:rFonts w:hint="default" w:ascii="Times New Roman" w:hAnsi="Times New Roman" w:eastAsia="Times New Roman" w:cs="Times New Roman"/>
          <w:b w:val="0"/>
          <w:bCs w:val="0"/>
          <w:color w:val="auto"/>
          <w:spacing w:val="0"/>
          <w:position w:val="0"/>
          <w:sz w:val="16"/>
          <w:szCs w:val="16"/>
          <w:highlight w:val="none"/>
        </w:rPr>
        <w:t>3</w:t>
      </w:r>
      <w:r>
        <w:rPr>
          <w:rFonts w:hint="default" w:ascii="Times New Roman" w:hAnsi="Times New Roman" w:eastAsia="宋体" w:cs="Times New Roman"/>
          <w:b w:val="0"/>
          <w:bCs w:val="0"/>
          <w:color w:val="auto"/>
          <w:spacing w:val="0"/>
          <w:position w:val="0"/>
          <w:sz w:val="24"/>
          <w:szCs w:val="24"/>
          <w:highlight w:val="none"/>
        </w:rPr>
        <w:t>的排放量为</w:t>
      </w:r>
      <w:r>
        <w:rPr>
          <w:rFonts w:hint="default" w:ascii="Times New Roman" w:hAnsi="Times New Roman" w:eastAsia="Times New Roman" w:cs="Times New Roman"/>
          <w:b w:val="0"/>
          <w:bCs w:val="0"/>
          <w:color w:val="auto"/>
          <w:spacing w:val="0"/>
          <w:position w:val="0"/>
          <w:sz w:val="24"/>
          <w:szCs w:val="24"/>
          <w:highlight w:val="none"/>
        </w:rPr>
        <w:t>0.</w:t>
      </w:r>
      <w:r>
        <w:rPr>
          <w:rFonts w:hint="default" w:ascii="Times New Roman" w:hAnsi="Times New Roman" w:eastAsia="宋体" w:cs="Times New Roman"/>
          <w:b w:val="0"/>
          <w:bCs w:val="0"/>
          <w:color w:val="auto"/>
          <w:spacing w:val="0"/>
          <w:position w:val="0"/>
          <w:sz w:val="24"/>
          <w:szCs w:val="24"/>
          <w:highlight w:val="none"/>
          <w:lang w:val="en-US" w:eastAsia="zh-CN"/>
        </w:rPr>
        <w:t>02g</w:t>
      </w:r>
      <w:r>
        <w:rPr>
          <w:rFonts w:hint="default" w:ascii="Times New Roman" w:hAnsi="Times New Roman" w:eastAsia="Times New Roman" w:cs="Times New Roman"/>
          <w:b w:val="0"/>
          <w:bCs w:val="0"/>
          <w:color w:val="auto"/>
          <w:spacing w:val="0"/>
          <w:position w:val="0"/>
          <w:sz w:val="24"/>
          <w:szCs w:val="24"/>
          <w:highlight w:val="none"/>
        </w:rPr>
        <w:t>/h</w:t>
      </w:r>
      <w:r>
        <w:rPr>
          <w:rFonts w:hint="default" w:ascii="Times New Roman" w:hAnsi="Times New Roman" w:eastAsia="宋体" w:cs="Times New Roman"/>
          <w:b w:val="0"/>
          <w:bCs w:val="0"/>
          <w:color w:val="auto"/>
          <w:spacing w:val="0"/>
          <w:position w:val="0"/>
          <w:sz w:val="24"/>
          <w:szCs w:val="24"/>
          <w:highlight w:val="none"/>
        </w:rPr>
        <w:t>（</w:t>
      </w:r>
      <w:r>
        <w:rPr>
          <w:rFonts w:hint="default" w:ascii="Times New Roman" w:hAnsi="Times New Roman" w:cs="Times New Roman"/>
          <w:b w:val="0"/>
          <w:bCs w:val="0"/>
          <w:color w:val="auto"/>
          <w:spacing w:val="0"/>
          <w:position w:val="0"/>
          <w:sz w:val="24"/>
          <w:szCs w:val="24"/>
          <w:highlight w:val="none"/>
          <w:lang w:val="en-US" w:eastAsia="zh-CN"/>
        </w:rPr>
        <w:t>0.05</w:t>
      </w:r>
      <w:r>
        <w:rPr>
          <w:rFonts w:hint="default" w:ascii="Times New Roman" w:hAnsi="Times New Roman" w:eastAsia="Times New Roman" w:cs="Times New Roman"/>
          <w:b w:val="0"/>
          <w:bCs w:val="0"/>
          <w:color w:val="auto"/>
          <w:spacing w:val="0"/>
          <w:position w:val="0"/>
          <w:sz w:val="24"/>
          <w:szCs w:val="24"/>
          <w:highlight w:val="none"/>
        </w:rPr>
        <w:t>kg/a</w:t>
      </w:r>
      <w:r>
        <w:rPr>
          <w:rFonts w:hint="default" w:ascii="Times New Roman" w:hAnsi="Times New Roman" w:eastAsia="宋体" w:cs="Times New Roman"/>
          <w:b w:val="0"/>
          <w:bCs w:val="0"/>
          <w:color w:val="auto"/>
          <w:spacing w:val="0"/>
          <w:position w:val="0"/>
          <w:sz w:val="24"/>
          <w:szCs w:val="24"/>
          <w:highlight w:val="none"/>
        </w:rPr>
        <w:t>）、</w:t>
      </w:r>
      <w:r>
        <w:rPr>
          <w:rFonts w:hint="default" w:ascii="Times New Roman" w:hAnsi="Times New Roman" w:eastAsia="Times New Roman" w:cs="Times New Roman"/>
          <w:b w:val="0"/>
          <w:bCs w:val="0"/>
          <w:color w:val="auto"/>
          <w:spacing w:val="0"/>
          <w:position w:val="0"/>
          <w:sz w:val="24"/>
          <w:szCs w:val="24"/>
          <w:highlight w:val="none"/>
        </w:rPr>
        <w:t>H</w:t>
      </w:r>
      <w:r>
        <w:rPr>
          <w:rFonts w:hint="default" w:ascii="Times New Roman" w:hAnsi="Times New Roman" w:eastAsia="Times New Roman" w:cs="Times New Roman"/>
          <w:b w:val="0"/>
          <w:bCs w:val="0"/>
          <w:color w:val="auto"/>
          <w:spacing w:val="0"/>
          <w:position w:val="0"/>
          <w:sz w:val="16"/>
          <w:szCs w:val="16"/>
          <w:highlight w:val="none"/>
        </w:rPr>
        <w:t>2</w:t>
      </w:r>
      <w:r>
        <w:rPr>
          <w:rFonts w:hint="default" w:ascii="Times New Roman" w:hAnsi="Times New Roman" w:eastAsia="Times New Roman" w:cs="Times New Roman"/>
          <w:b w:val="0"/>
          <w:bCs w:val="0"/>
          <w:color w:val="auto"/>
          <w:spacing w:val="0"/>
          <w:position w:val="0"/>
          <w:sz w:val="24"/>
          <w:szCs w:val="24"/>
          <w:highlight w:val="none"/>
        </w:rPr>
        <w:t>S</w:t>
      </w:r>
      <w:r>
        <w:rPr>
          <w:rFonts w:hint="default" w:ascii="Times New Roman" w:hAnsi="Times New Roman" w:eastAsia="宋体" w:cs="Times New Roman"/>
          <w:b w:val="0"/>
          <w:bCs w:val="0"/>
          <w:color w:val="auto"/>
          <w:spacing w:val="0"/>
          <w:position w:val="0"/>
          <w:sz w:val="24"/>
          <w:szCs w:val="24"/>
          <w:highlight w:val="none"/>
        </w:rPr>
        <w:t>的排放量为</w:t>
      </w:r>
      <w:r>
        <w:rPr>
          <w:rFonts w:hint="default" w:ascii="Times New Roman" w:hAnsi="Times New Roman" w:eastAsia="Times New Roman" w:cs="Times New Roman"/>
          <w:b w:val="0"/>
          <w:bCs w:val="0"/>
          <w:color w:val="auto"/>
          <w:spacing w:val="0"/>
          <w:position w:val="0"/>
          <w:sz w:val="24"/>
          <w:szCs w:val="24"/>
          <w:highlight w:val="none"/>
        </w:rPr>
        <w:t>0.0</w:t>
      </w:r>
      <w:r>
        <w:rPr>
          <w:rFonts w:hint="default" w:ascii="Times New Roman" w:hAnsi="Times New Roman" w:eastAsia="宋体" w:cs="Times New Roman"/>
          <w:b w:val="0"/>
          <w:bCs w:val="0"/>
          <w:color w:val="auto"/>
          <w:spacing w:val="0"/>
          <w:position w:val="0"/>
          <w:sz w:val="24"/>
          <w:szCs w:val="24"/>
          <w:highlight w:val="none"/>
          <w:lang w:val="en-US" w:eastAsia="zh-CN"/>
        </w:rPr>
        <w:t>008g</w:t>
      </w:r>
      <w:r>
        <w:rPr>
          <w:rFonts w:hint="default" w:ascii="Times New Roman" w:hAnsi="Times New Roman" w:eastAsia="Times New Roman" w:cs="Times New Roman"/>
          <w:b w:val="0"/>
          <w:bCs w:val="0"/>
          <w:color w:val="auto"/>
          <w:spacing w:val="0"/>
          <w:position w:val="0"/>
          <w:sz w:val="24"/>
          <w:szCs w:val="24"/>
          <w:highlight w:val="none"/>
        </w:rPr>
        <w:t>/h</w:t>
      </w:r>
      <w:r>
        <w:rPr>
          <w:rFonts w:hint="default" w:ascii="Times New Roman" w:hAnsi="Times New Roman" w:eastAsia="宋体" w:cs="Times New Roman"/>
          <w:b w:val="0"/>
          <w:bCs w:val="0"/>
          <w:color w:val="auto"/>
          <w:spacing w:val="0"/>
          <w:position w:val="0"/>
          <w:sz w:val="24"/>
          <w:szCs w:val="24"/>
          <w:highlight w:val="none"/>
        </w:rPr>
        <w:t>（</w:t>
      </w:r>
      <w:r>
        <w:rPr>
          <w:rFonts w:hint="default" w:ascii="Times New Roman" w:hAnsi="Times New Roman" w:eastAsia="Times New Roman" w:cs="Times New Roman"/>
          <w:b w:val="0"/>
          <w:bCs w:val="0"/>
          <w:color w:val="auto"/>
          <w:spacing w:val="0"/>
          <w:position w:val="0"/>
          <w:sz w:val="24"/>
          <w:szCs w:val="24"/>
          <w:highlight w:val="none"/>
        </w:rPr>
        <w:t>0.</w:t>
      </w:r>
      <w:r>
        <w:rPr>
          <w:rFonts w:hint="default" w:ascii="Times New Roman" w:hAnsi="Times New Roman" w:eastAsia="宋体" w:cs="Times New Roman"/>
          <w:b w:val="0"/>
          <w:bCs w:val="0"/>
          <w:color w:val="auto"/>
          <w:spacing w:val="0"/>
          <w:position w:val="0"/>
          <w:sz w:val="24"/>
          <w:szCs w:val="24"/>
          <w:highlight w:val="none"/>
          <w:lang w:val="en-US" w:eastAsia="zh-CN"/>
        </w:rPr>
        <w:t>002</w:t>
      </w:r>
      <w:r>
        <w:rPr>
          <w:rFonts w:hint="default" w:ascii="Times New Roman" w:hAnsi="Times New Roman" w:eastAsia="Times New Roman" w:cs="Times New Roman"/>
          <w:b w:val="0"/>
          <w:bCs w:val="0"/>
          <w:color w:val="auto"/>
          <w:spacing w:val="0"/>
          <w:position w:val="0"/>
          <w:sz w:val="24"/>
          <w:szCs w:val="24"/>
          <w:highlight w:val="none"/>
        </w:rPr>
        <w:t>kg/a</w:t>
      </w:r>
      <w:r>
        <w:rPr>
          <w:rFonts w:hint="default" w:ascii="Times New Roman" w:hAnsi="Times New Roman" w:eastAsia="宋体" w:cs="Times New Roman"/>
          <w:b w:val="0"/>
          <w:bCs w:val="0"/>
          <w:color w:val="auto"/>
          <w:spacing w:val="0"/>
          <w:position w:val="0"/>
          <w:sz w:val="24"/>
          <w:szCs w:val="24"/>
          <w:highlight w:val="none"/>
        </w:rPr>
        <w:t>）。</w:t>
      </w:r>
    </w:p>
    <w:p>
      <w:pPr>
        <w:bidi w:val="0"/>
        <w:rPr>
          <w:color w:val="auto"/>
        </w:rPr>
      </w:pPr>
      <w:r>
        <w:rPr>
          <w:color w:val="auto"/>
        </w:rPr>
        <w:t>（3）实验室废气</w:t>
      </w:r>
    </w:p>
    <w:p>
      <w:pPr>
        <w:bidi w:val="0"/>
        <w:rPr>
          <w:color w:val="auto"/>
        </w:rPr>
      </w:pPr>
      <w:r>
        <w:rPr>
          <w:color w:val="auto"/>
        </w:rPr>
        <w:t>实验室投入运营后，在实验过程中会产生实验废气，实验废气特点是分布散、排量小、间歇式排放。实验室产生的废气包括：试剂和样品的挥发物、实验分析过程中间产物、排空的标准气等，主要是酸雾和各种有机溶剂等常见污染物。</w:t>
      </w:r>
    </w:p>
    <w:p>
      <w:pPr>
        <w:bidi w:val="0"/>
        <w:rPr>
          <w:color w:val="auto"/>
        </w:rPr>
      </w:pPr>
      <w:r>
        <w:rPr>
          <w:color w:val="auto"/>
        </w:rPr>
        <w:t>理化实验室废气：理化实验室的日常分析中会使用一些挥发性酸和有机溶剂，在使用过程中会有部分挥发进入空气中，本项目理化实验室</w:t>
      </w:r>
      <w:r>
        <w:rPr>
          <w:rFonts w:ascii="宋体" w:hAnsi="宋体" w:eastAsia="宋体" w:cs="宋体"/>
          <w:color w:val="auto"/>
          <w:spacing w:val="-3"/>
          <w:sz w:val="24"/>
          <w:szCs w:val="24"/>
        </w:rPr>
        <w:t>实验过程废气集气罩收集，经活性炭装置</w:t>
      </w:r>
      <w:r>
        <w:rPr>
          <w:rFonts w:ascii="宋体" w:hAnsi="宋体" w:eastAsia="宋体" w:cs="宋体"/>
          <w:color w:val="auto"/>
          <w:spacing w:val="9"/>
          <w:sz w:val="24"/>
          <w:szCs w:val="24"/>
        </w:rPr>
        <w:t>吸附后，通过专用电控风道</w:t>
      </w:r>
      <w:r>
        <w:rPr>
          <w:color w:val="auto"/>
        </w:rPr>
        <w:t>于楼顶排放。根据建设单位提供的实验用试剂</w:t>
      </w:r>
      <w:r>
        <w:rPr>
          <w:rFonts w:hint="eastAsia"/>
          <w:color w:val="auto"/>
          <w:lang w:val="en-US" w:eastAsia="zh-CN"/>
        </w:rPr>
        <w:t>消耗</w:t>
      </w:r>
      <w:r>
        <w:rPr>
          <w:color w:val="auto"/>
        </w:rPr>
        <w:t>情况，无机酸、碱类试剂、有机溶剂、有机试剂年用量均较小，产生的废气量也较小，废气经处理后对周围大气环境影响较小。</w:t>
      </w:r>
    </w:p>
    <w:p>
      <w:pPr>
        <w:bidi w:val="0"/>
        <w:rPr>
          <w:color w:val="auto"/>
        </w:rPr>
      </w:pPr>
      <w:r>
        <w:rPr>
          <w:color w:val="auto"/>
        </w:rPr>
        <w:t>微生物实验室废气：微生物实验室废气可能含有传染性的细菌和病毒，每个实验室均设置生物安全柜，所有涉及病原微生物的操作均在生物安全柜中进行，可能含有病原微生物的气溶胶只有从其上部的排风口经高效过滤后外排，安全柜排气筒内置的高效过滤器对粒径0.5μm以上的气溶胶去除效率达到99.99%。同时实验室及所有生物安全柜均为负压设计，含病原微生物废气较少外泄。实验室排风系统均设置高效过滤器，实验室内气体经室内高效过滤器处理（粒径0.5μm以上的气溶胶经效过滤器过滤，过滤效率99.99%）后，排气中几乎不含病原微生物气溶胶，排气由风管经净化排风机组处理后，通过专用排气筒送至楼顶排放。</w:t>
      </w:r>
    </w:p>
    <w:p>
      <w:pPr>
        <w:bidi w:val="0"/>
        <w:rPr>
          <w:color w:val="auto"/>
        </w:rPr>
      </w:pPr>
      <w:r>
        <w:rPr>
          <w:color w:val="auto"/>
        </w:rPr>
        <w:t>此外实验室内部还设置辅助消毒装置，通过含氯消毒剂、紫外线、臭氧及熏蒸等方式切断病原微生物的传播途径，确保实验室排出的气体对周围环境影响较小。因此，在正常运行情况下，可能带有病原微生物气溶胶的废气经消毒灭菌、高效过滤后由专用排气筒送至楼顶排放，对周围环境影响较小。</w:t>
      </w:r>
    </w:p>
    <w:p>
      <w:pPr>
        <w:bidi w:val="0"/>
        <w:rPr>
          <w:color w:val="auto"/>
        </w:rPr>
      </w:pPr>
      <w:r>
        <w:rPr>
          <w:color w:val="auto"/>
        </w:rPr>
        <w:t>（</w:t>
      </w:r>
      <w:r>
        <w:rPr>
          <w:rFonts w:hint="eastAsia"/>
          <w:color w:val="auto"/>
          <w:lang w:val="en-US" w:eastAsia="zh-CN"/>
        </w:rPr>
        <w:t>4</w:t>
      </w:r>
      <w:r>
        <w:rPr>
          <w:color w:val="auto"/>
        </w:rPr>
        <w:t>）医疗废物暂存间废气</w:t>
      </w:r>
    </w:p>
    <w:p>
      <w:pPr>
        <w:bidi w:val="0"/>
        <w:rPr>
          <w:color w:val="auto"/>
        </w:rPr>
      </w:pPr>
      <w:r>
        <w:rPr>
          <w:color w:val="auto"/>
        </w:rPr>
        <w:t>医疗废物暂存间废气主要由医疗废物散发而来，废气产生量较小，但可能携带有一定量的病菌。本项目医疗废物暂存间严格按照《医疗卫生机构医疗废物管理办法》（中华人民共和国卫生部令第36号）设置，医疗废物的堆放不超过24小时，采取每天喷洒适量84消毒液对地面和墙体等进行消毒处理，暂存间有严密的封闭措施，消毒处理后通过排气扇将暂存间废气排出，加速废气扩散。</w:t>
      </w:r>
    </w:p>
    <w:p>
      <w:pPr>
        <w:pStyle w:val="6"/>
        <w:bidi w:val="0"/>
        <w:outlineLvl w:val="1"/>
        <w:rPr>
          <w:color w:val="auto"/>
        </w:rPr>
      </w:pPr>
      <w:bookmarkStart w:id="70" w:name="_Toc17187"/>
      <w:r>
        <w:rPr>
          <w:color w:val="auto"/>
        </w:rPr>
        <w:t>3.</w:t>
      </w:r>
      <w:r>
        <w:rPr>
          <w:rFonts w:hint="eastAsia"/>
          <w:color w:val="auto"/>
          <w:lang w:val="en-US" w:eastAsia="zh-CN"/>
        </w:rPr>
        <w:t>5</w:t>
      </w:r>
      <w:r>
        <w:rPr>
          <w:color w:val="auto"/>
        </w:rPr>
        <w:t>.2废水污染源分析</w:t>
      </w:r>
      <w:bookmarkEnd w:id="70"/>
    </w:p>
    <w:p>
      <w:pPr>
        <w:pStyle w:val="7"/>
        <w:bidi w:val="0"/>
        <w:rPr>
          <w:color w:val="auto"/>
        </w:rPr>
      </w:pPr>
      <w:r>
        <w:rPr>
          <w:color w:val="auto"/>
        </w:rPr>
        <w:t>3.</w:t>
      </w:r>
      <w:r>
        <w:rPr>
          <w:rFonts w:hint="eastAsia"/>
          <w:color w:val="auto"/>
          <w:lang w:val="en-US" w:eastAsia="zh-CN"/>
        </w:rPr>
        <w:t>5</w:t>
      </w:r>
      <w:r>
        <w:rPr>
          <w:color w:val="auto"/>
        </w:rPr>
        <w:t>.2.</w:t>
      </w:r>
      <w:r>
        <w:rPr>
          <w:rFonts w:hint="eastAsia"/>
          <w:color w:val="auto"/>
          <w:lang w:val="en-US" w:eastAsia="zh-CN"/>
        </w:rPr>
        <w:t>1</w:t>
      </w:r>
      <w:r>
        <w:rPr>
          <w:color w:val="auto"/>
        </w:rPr>
        <w:t>废水排放源强分析</w:t>
      </w:r>
    </w:p>
    <w:p>
      <w:pPr>
        <w:bidi w:val="0"/>
        <w:rPr>
          <w:color w:val="auto"/>
        </w:rPr>
      </w:pPr>
      <w:r>
        <w:rPr>
          <w:color w:val="auto"/>
        </w:rPr>
        <w:t>（1）生活污水</w:t>
      </w:r>
    </w:p>
    <w:p>
      <w:pPr>
        <w:bidi w:val="0"/>
        <w:rPr>
          <w:color w:val="auto"/>
        </w:rPr>
      </w:pPr>
      <w:r>
        <w:rPr>
          <w:color w:val="auto"/>
        </w:rPr>
        <w:t>生活污水包括办公生活废水和培训人员废水，其中项目区员工能生活污水排放量约为</w:t>
      </w:r>
      <w:r>
        <w:rPr>
          <w:rFonts w:hint="eastAsia"/>
          <w:color w:val="auto"/>
          <w:lang w:val="en-US" w:eastAsia="zh-CN"/>
        </w:rPr>
        <w:t>4</w:t>
      </w:r>
      <w:r>
        <w:rPr>
          <w:color w:val="auto"/>
        </w:rPr>
        <w:t>m³/d，</w:t>
      </w:r>
      <w:r>
        <w:rPr>
          <w:rFonts w:hint="eastAsia"/>
          <w:color w:val="auto"/>
          <w:lang w:val="en-US" w:eastAsia="zh-CN"/>
        </w:rPr>
        <w:t>1200</w:t>
      </w:r>
      <w:r>
        <w:rPr>
          <w:color w:val="auto"/>
        </w:rPr>
        <w:t>m</w:t>
      </w:r>
      <w:r>
        <w:rPr>
          <w:rFonts w:hint="eastAsia"/>
          <w:color w:val="auto"/>
          <w:vertAlign w:val="superscript"/>
          <w:lang w:val="en-US" w:eastAsia="zh-CN"/>
        </w:rPr>
        <w:t>3</w:t>
      </w:r>
      <w:r>
        <w:rPr>
          <w:color w:val="auto"/>
        </w:rPr>
        <w:t>/a；培训人员排水量约为</w:t>
      </w:r>
      <w:r>
        <w:rPr>
          <w:rFonts w:hint="eastAsia"/>
          <w:color w:val="auto"/>
          <w:lang w:val="en-US" w:eastAsia="zh-CN"/>
        </w:rPr>
        <w:t>0.16</w:t>
      </w:r>
      <w:r>
        <w:rPr>
          <w:color w:val="auto"/>
        </w:rPr>
        <w:t>m</w:t>
      </w:r>
      <w:r>
        <w:rPr>
          <w:rFonts w:hint="eastAsia"/>
          <w:color w:val="auto"/>
          <w:vertAlign w:val="superscript"/>
          <w:lang w:val="en-US" w:eastAsia="zh-CN"/>
        </w:rPr>
        <w:t>3</w:t>
      </w:r>
      <w:r>
        <w:rPr>
          <w:color w:val="auto"/>
        </w:rPr>
        <w:t>/d，</w:t>
      </w:r>
      <w:r>
        <w:rPr>
          <w:rFonts w:hint="eastAsia"/>
          <w:color w:val="auto"/>
          <w:lang w:val="en-US" w:eastAsia="zh-CN"/>
        </w:rPr>
        <w:t>48</w:t>
      </w:r>
      <w:r>
        <w:rPr>
          <w:color w:val="auto"/>
        </w:rPr>
        <w:t>m</w:t>
      </w:r>
      <w:r>
        <w:rPr>
          <w:rFonts w:hint="eastAsia"/>
          <w:color w:val="auto"/>
          <w:vertAlign w:val="superscript"/>
          <w:lang w:val="en-US" w:eastAsia="zh-CN"/>
        </w:rPr>
        <w:t>3</w:t>
      </w:r>
      <w:r>
        <w:rPr>
          <w:color w:val="auto"/>
        </w:rPr>
        <w:t>/a。此部分废水直接排入市政下水管网，最终进入</w:t>
      </w:r>
      <w:r>
        <w:rPr>
          <w:rFonts w:hint="eastAsia"/>
          <w:color w:val="auto"/>
          <w:lang w:val="en-US" w:eastAsia="zh-CN"/>
        </w:rPr>
        <w:t>皮山</w:t>
      </w:r>
      <w:r>
        <w:rPr>
          <w:color w:val="auto"/>
        </w:rPr>
        <w:t>县污水处理厂。</w:t>
      </w:r>
    </w:p>
    <w:p>
      <w:pPr>
        <w:bidi w:val="0"/>
        <w:rPr>
          <w:color w:val="auto"/>
        </w:rPr>
      </w:pPr>
      <w:r>
        <w:rPr>
          <w:color w:val="auto"/>
        </w:rPr>
        <w:t>生活污水属于典型城市生活污水，其中主要污染因子（COD</w:t>
      </w:r>
      <w:r>
        <w:rPr>
          <w:color w:val="auto"/>
          <w:vertAlign w:val="subscript"/>
        </w:rPr>
        <w:t>Cr</w:t>
      </w:r>
      <w:r>
        <w:rPr>
          <w:color w:val="auto"/>
        </w:rPr>
        <w:t>、BOD</w:t>
      </w:r>
      <w:r>
        <w:rPr>
          <w:color w:val="auto"/>
          <w:vertAlign w:val="subscript"/>
        </w:rPr>
        <w:t>5</w:t>
      </w:r>
      <w:r>
        <w:rPr>
          <w:color w:val="auto"/>
        </w:rPr>
        <w:t>、SS、NH</w:t>
      </w:r>
      <w:r>
        <w:rPr>
          <w:color w:val="auto"/>
          <w:vertAlign w:val="subscript"/>
        </w:rPr>
        <w:t>3</w:t>
      </w:r>
      <w:r>
        <w:rPr>
          <w:color w:val="auto"/>
        </w:rPr>
        <w:t>-N）的产生浓度及产生量详见表3.</w:t>
      </w:r>
      <w:r>
        <w:rPr>
          <w:rFonts w:hint="eastAsia"/>
          <w:color w:val="auto"/>
          <w:lang w:val="en-US" w:eastAsia="zh-CN"/>
        </w:rPr>
        <w:t>5</w:t>
      </w:r>
      <w:r>
        <w:rPr>
          <w:color w:val="auto"/>
        </w:rPr>
        <w:t>-</w:t>
      </w:r>
      <w:r>
        <w:rPr>
          <w:rFonts w:hint="eastAsia"/>
          <w:color w:val="auto"/>
          <w:lang w:val="en-US" w:eastAsia="zh-CN"/>
        </w:rPr>
        <w:t>1</w:t>
      </w:r>
      <w:r>
        <w:rPr>
          <w:color w:val="auto"/>
        </w:rPr>
        <w:t>。</w:t>
      </w:r>
    </w:p>
    <w:p>
      <w:pPr>
        <w:pStyle w:val="22"/>
        <w:bidi w:val="0"/>
        <w:rPr>
          <w:rFonts w:hint="eastAsia" w:eastAsia="宋体"/>
          <w:b/>
          <w:bCs/>
          <w:color w:val="auto"/>
          <w:lang w:val="en-US" w:eastAsia="zh-CN"/>
        </w:rPr>
      </w:pPr>
      <w:r>
        <w:rPr>
          <w:b/>
          <w:bCs/>
          <w:color w:val="auto"/>
        </w:rPr>
        <w:t>表3.</w:t>
      </w:r>
      <w:r>
        <w:rPr>
          <w:rFonts w:hint="eastAsia"/>
          <w:b/>
          <w:bCs/>
          <w:color w:val="auto"/>
          <w:lang w:val="en-US" w:eastAsia="zh-CN"/>
        </w:rPr>
        <w:t>5</w:t>
      </w:r>
      <w:r>
        <w:rPr>
          <w:b/>
          <w:bCs/>
          <w:color w:val="auto"/>
        </w:rPr>
        <w:t>-</w:t>
      </w:r>
      <w:r>
        <w:rPr>
          <w:rFonts w:hint="eastAsia"/>
          <w:b/>
          <w:bCs/>
          <w:color w:val="auto"/>
          <w:lang w:val="en-US" w:eastAsia="zh-CN"/>
        </w:rPr>
        <w:t>1</w:t>
      </w:r>
      <w:r>
        <w:rPr>
          <w:b/>
          <w:bCs/>
          <w:color w:val="auto"/>
        </w:rPr>
        <w:t>营运期生活污水产生排放情况一览表</w:t>
      </w:r>
      <w:r>
        <w:rPr>
          <w:rFonts w:hint="eastAsia"/>
          <w:b/>
          <w:bCs/>
          <w:color w:val="auto"/>
          <w:lang w:val="en-US" w:eastAsia="zh-CN"/>
        </w:rPr>
        <w:t>单位：</w:t>
      </w:r>
      <w:r>
        <w:rPr>
          <w:b/>
          <w:bCs/>
          <w:color w:val="auto"/>
        </w:rPr>
        <w:t>t/a</w:t>
      </w:r>
    </w:p>
    <w:tbl>
      <w:tblPr>
        <w:tblStyle w:val="23"/>
        <w:tblW w:w="851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742"/>
        <w:gridCol w:w="4"/>
        <w:gridCol w:w="1689"/>
        <w:gridCol w:w="1694"/>
        <w:gridCol w:w="1694"/>
        <w:gridCol w:w="16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jc w:val="center"/>
        </w:trPr>
        <w:tc>
          <w:tcPr>
            <w:tcW w:w="1742" w:type="dxa"/>
            <w:tcBorders>
              <w:tl2br w:val="nil"/>
              <w:tr2bl w:val="nil"/>
            </w:tcBorders>
            <w:vAlign w:val="center"/>
          </w:tcPr>
          <w:p>
            <w:pPr>
              <w:pStyle w:val="22"/>
              <w:bidi w:val="0"/>
              <w:jc w:val="center"/>
              <w:rPr>
                <w:b/>
                <w:bCs/>
                <w:color w:val="auto"/>
              </w:rPr>
            </w:pPr>
            <w:r>
              <w:rPr>
                <w:b/>
                <w:bCs/>
                <w:color w:val="auto"/>
              </w:rPr>
              <w:t>污染物</w:t>
            </w:r>
          </w:p>
        </w:tc>
        <w:tc>
          <w:tcPr>
            <w:tcW w:w="1693" w:type="dxa"/>
            <w:gridSpan w:val="2"/>
            <w:tcBorders>
              <w:tl2br w:val="nil"/>
              <w:tr2bl w:val="nil"/>
            </w:tcBorders>
            <w:vAlign w:val="center"/>
          </w:tcPr>
          <w:p>
            <w:pPr>
              <w:pStyle w:val="22"/>
              <w:bidi w:val="0"/>
              <w:jc w:val="center"/>
              <w:rPr>
                <w:b/>
                <w:bCs/>
                <w:color w:val="auto"/>
              </w:rPr>
            </w:pPr>
            <w:r>
              <w:rPr>
                <w:b/>
                <w:bCs/>
                <w:color w:val="auto"/>
              </w:rPr>
              <w:t>产生浓度</w:t>
            </w:r>
          </w:p>
        </w:tc>
        <w:tc>
          <w:tcPr>
            <w:tcW w:w="1694" w:type="dxa"/>
            <w:tcBorders>
              <w:tl2br w:val="nil"/>
              <w:tr2bl w:val="nil"/>
            </w:tcBorders>
            <w:vAlign w:val="center"/>
          </w:tcPr>
          <w:p>
            <w:pPr>
              <w:pStyle w:val="22"/>
              <w:bidi w:val="0"/>
              <w:jc w:val="center"/>
              <w:rPr>
                <w:b/>
                <w:bCs/>
                <w:color w:val="auto"/>
              </w:rPr>
            </w:pPr>
            <w:r>
              <w:rPr>
                <w:b/>
                <w:bCs/>
                <w:color w:val="auto"/>
              </w:rPr>
              <w:t>产生量</w:t>
            </w:r>
          </w:p>
        </w:tc>
        <w:tc>
          <w:tcPr>
            <w:tcW w:w="1694" w:type="dxa"/>
            <w:tcBorders>
              <w:tl2br w:val="nil"/>
              <w:tr2bl w:val="nil"/>
            </w:tcBorders>
            <w:vAlign w:val="center"/>
          </w:tcPr>
          <w:p>
            <w:pPr>
              <w:pStyle w:val="22"/>
              <w:bidi w:val="0"/>
              <w:jc w:val="center"/>
              <w:rPr>
                <w:b/>
                <w:bCs/>
                <w:color w:val="auto"/>
              </w:rPr>
            </w:pPr>
            <w:r>
              <w:rPr>
                <w:b/>
                <w:bCs/>
                <w:color w:val="auto"/>
              </w:rPr>
              <w:t>排放浓度</w:t>
            </w:r>
          </w:p>
        </w:tc>
        <w:tc>
          <w:tcPr>
            <w:tcW w:w="1695" w:type="dxa"/>
            <w:tcBorders>
              <w:tl2br w:val="nil"/>
              <w:tr2bl w:val="nil"/>
            </w:tcBorders>
            <w:vAlign w:val="center"/>
          </w:tcPr>
          <w:p>
            <w:pPr>
              <w:pStyle w:val="22"/>
              <w:bidi w:val="0"/>
              <w:jc w:val="center"/>
              <w:rPr>
                <w:b/>
                <w:bCs/>
                <w:color w:val="auto"/>
              </w:rPr>
            </w:pPr>
            <w:r>
              <w:rPr>
                <w:b/>
                <w:bCs/>
                <w:color w:val="auto"/>
              </w:rPr>
              <w:t>排放量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 w:hRule="atLeast"/>
          <w:jc w:val="center"/>
        </w:trPr>
        <w:tc>
          <w:tcPr>
            <w:tcW w:w="1742" w:type="dxa"/>
            <w:tcBorders>
              <w:tl2br w:val="nil"/>
              <w:tr2bl w:val="nil"/>
            </w:tcBorders>
            <w:vAlign w:val="center"/>
          </w:tcPr>
          <w:p>
            <w:pPr>
              <w:pStyle w:val="22"/>
              <w:bidi w:val="0"/>
              <w:jc w:val="center"/>
              <w:rPr>
                <w:color w:val="auto"/>
              </w:rPr>
            </w:pPr>
            <w:r>
              <w:rPr>
                <w:color w:val="auto"/>
              </w:rPr>
              <w:t>废水量</w:t>
            </w:r>
          </w:p>
        </w:tc>
        <w:tc>
          <w:tcPr>
            <w:tcW w:w="1693" w:type="dxa"/>
            <w:gridSpan w:val="2"/>
            <w:tcBorders>
              <w:tl2br w:val="nil"/>
              <w:tr2bl w:val="nil"/>
            </w:tcBorders>
            <w:vAlign w:val="center"/>
          </w:tcPr>
          <w:p>
            <w:pPr>
              <w:pStyle w:val="22"/>
              <w:bidi w:val="0"/>
              <w:jc w:val="center"/>
              <w:rPr>
                <w:color w:val="auto"/>
              </w:rPr>
            </w:pPr>
            <w:r>
              <w:rPr>
                <w:color w:val="auto"/>
              </w:rPr>
              <w:t>—</w:t>
            </w:r>
          </w:p>
        </w:tc>
        <w:tc>
          <w:tcPr>
            <w:tcW w:w="1694" w:type="dxa"/>
            <w:tcBorders>
              <w:tl2br w:val="nil"/>
              <w:tr2bl w:val="nil"/>
            </w:tcBorders>
            <w:vAlign w:val="center"/>
          </w:tcPr>
          <w:p>
            <w:pPr>
              <w:pStyle w:val="22"/>
              <w:bidi w:val="0"/>
              <w:jc w:val="center"/>
              <w:rPr>
                <w:color w:val="auto"/>
              </w:rPr>
            </w:pPr>
            <w:r>
              <w:rPr>
                <w:rFonts w:hint="eastAsia"/>
                <w:color w:val="auto"/>
                <w:lang w:val="en-US" w:eastAsia="zh-CN"/>
              </w:rPr>
              <w:t>1560</w:t>
            </w:r>
            <w:r>
              <w:rPr>
                <w:color w:val="auto"/>
              </w:rPr>
              <w:t>m</w:t>
            </w:r>
            <w:r>
              <w:rPr>
                <w:rFonts w:hint="eastAsia"/>
                <w:color w:val="auto"/>
                <w:vertAlign w:val="superscript"/>
                <w:lang w:val="en-US" w:eastAsia="zh-CN"/>
              </w:rPr>
              <w:t>3</w:t>
            </w:r>
            <w:r>
              <w:rPr>
                <w:color w:val="auto"/>
              </w:rPr>
              <w:t>/a</w:t>
            </w:r>
          </w:p>
        </w:tc>
        <w:tc>
          <w:tcPr>
            <w:tcW w:w="1694" w:type="dxa"/>
            <w:tcBorders>
              <w:tl2br w:val="nil"/>
              <w:tr2bl w:val="nil"/>
            </w:tcBorders>
            <w:vAlign w:val="center"/>
          </w:tcPr>
          <w:p>
            <w:pPr>
              <w:pStyle w:val="22"/>
              <w:bidi w:val="0"/>
              <w:jc w:val="center"/>
              <w:rPr>
                <w:color w:val="auto"/>
              </w:rPr>
            </w:pPr>
            <w:r>
              <w:rPr>
                <w:color w:val="auto"/>
              </w:rPr>
              <w:t>—</w:t>
            </w:r>
          </w:p>
        </w:tc>
        <w:tc>
          <w:tcPr>
            <w:tcW w:w="1695" w:type="dxa"/>
            <w:tcBorders>
              <w:tl2br w:val="nil"/>
              <w:tr2bl w:val="nil"/>
            </w:tcBorders>
            <w:vAlign w:val="center"/>
          </w:tcPr>
          <w:p>
            <w:pPr>
              <w:pStyle w:val="22"/>
              <w:bidi w:val="0"/>
              <w:jc w:val="center"/>
              <w:rPr>
                <w:color w:val="auto"/>
              </w:rPr>
            </w:pPr>
            <w:r>
              <w:rPr>
                <w:rFonts w:hint="eastAsia"/>
                <w:color w:val="auto"/>
                <w:lang w:val="en-US" w:eastAsia="zh-CN"/>
              </w:rPr>
              <w:t>1248</w:t>
            </w:r>
            <w:r>
              <w:rPr>
                <w:color w:val="auto"/>
              </w:rPr>
              <w:t>m</w:t>
            </w:r>
            <w:r>
              <w:rPr>
                <w:rFonts w:hint="eastAsia"/>
                <w:color w:val="auto"/>
                <w:vertAlign w:val="superscript"/>
                <w:lang w:val="en-US" w:eastAsia="zh-CN"/>
              </w:rPr>
              <w:t>3</w:t>
            </w:r>
            <w:r>
              <w:rPr>
                <w:color w:val="auto"/>
              </w:rPr>
              <w: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jc w:val="center"/>
        </w:trPr>
        <w:tc>
          <w:tcPr>
            <w:tcW w:w="1746" w:type="dxa"/>
            <w:gridSpan w:val="2"/>
            <w:tcBorders>
              <w:tl2br w:val="nil"/>
              <w:tr2bl w:val="nil"/>
            </w:tcBorders>
            <w:vAlign w:val="center"/>
          </w:tcPr>
          <w:p>
            <w:pPr>
              <w:pStyle w:val="22"/>
              <w:bidi w:val="0"/>
              <w:jc w:val="center"/>
              <w:rPr>
                <w:color w:val="auto"/>
              </w:rPr>
            </w:pPr>
            <w:r>
              <w:rPr>
                <w:color w:val="auto"/>
              </w:rPr>
              <w:t>COD</w:t>
            </w:r>
            <w:r>
              <w:rPr>
                <w:color w:val="auto"/>
                <w:vertAlign w:val="subscript"/>
              </w:rPr>
              <w:t>Cr</w:t>
            </w:r>
          </w:p>
        </w:tc>
        <w:tc>
          <w:tcPr>
            <w:tcW w:w="1689" w:type="dxa"/>
            <w:tcBorders>
              <w:tl2br w:val="nil"/>
              <w:tr2bl w:val="nil"/>
            </w:tcBorders>
            <w:vAlign w:val="center"/>
          </w:tcPr>
          <w:p>
            <w:pPr>
              <w:pStyle w:val="22"/>
              <w:bidi w:val="0"/>
              <w:jc w:val="center"/>
              <w:rPr>
                <w:color w:val="auto"/>
              </w:rPr>
            </w:pPr>
            <w:r>
              <w:rPr>
                <w:color w:val="auto"/>
              </w:rPr>
              <w:t>300mg/L</w:t>
            </w:r>
          </w:p>
        </w:tc>
        <w:tc>
          <w:tcPr>
            <w:tcW w:w="1694" w:type="dxa"/>
            <w:tcBorders>
              <w:tl2br w:val="nil"/>
              <w:tr2bl w:val="nil"/>
            </w:tcBorders>
            <w:vAlign w:val="center"/>
          </w:tcPr>
          <w:p>
            <w:pPr>
              <w:pStyle w:val="22"/>
              <w:bidi w:val="0"/>
              <w:jc w:val="center"/>
              <w:rPr>
                <w:color w:val="auto"/>
              </w:rPr>
            </w:pPr>
            <w:r>
              <w:rPr>
                <w:rFonts w:hint="eastAsia"/>
                <w:color w:val="auto"/>
                <w:lang w:val="en-US" w:eastAsia="zh-CN"/>
              </w:rPr>
              <w:t>0.468</w:t>
            </w:r>
          </w:p>
        </w:tc>
        <w:tc>
          <w:tcPr>
            <w:tcW w:w="1694" w:type="dxa"/>
            <w:tcBorders>
              <w:tl2br w:val="nil"/>
              <w:tr2bl w:val="nil"/>
            </w:tcBorders>
            <w:vAlign w:val="center"/>
          </w:tcPr>
          <w:p>
            <w:pPr>
              <w:pStyle w:val="22"/>
              <w:bidi w:val="0"/>
              <w:jc w:val="center"/>
              <w:rPr>
                <w:color w:val="auto"/>
              </w:rPr>
            </w:pPr>
            <w:r>
              <w:rPr>
                <w:color w:val="auto"/>
              </w:rPr>
              <w:t>300mg/L</w:t>
            </w:r>
          </w:p>
        </w:tc>
        <w:tc>
          <w:tcPr>
            <w:tcW w:w="1695" w:type="dxa"/>
            <w:tcBorders>
              <w:tl2br w:val="nil"/>
              <w:tr2bl w:val="nil"/>
            </w:tcBorders>
            <w:vAlign w:val="center"/>
          </w:tcPr>
          <w:p>
            <w:pPr>
              <w:pStyle w:val="22"/>
              <w:bidi w:val="0"/>
              <w:jc w:val="center"/>
              <w:rPr>
                <w:color w:val="auto"/>
              </w:rPr>
            </w:pPr>
            <w:r>
              <w:rPr>
                <w:rFonts w:hint="eastAsia"/>
                <w:color w:val="auto"/>
                <w:lang w:val="en-US" w:eastAsia="zh-CN"/>
              </w:rPr>
              <w:t>0.374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 w:hRule="atLeast"/>
          <w:jc w:val="center"/>
        </w:trPr>
        <w:tc>
          <w:tcPr>
            <w:tcW w:w="1746" w:type="dxa"/>
            <w:gridSpan w:val="2"/>
            <w:tcBorders>
              <w:tl2br w:val="nil"/>
              <w:tr2bl w:val="nil"/>
            </w:tcBorders>
            <w:vAlign w:val="center"/>
          </w:tcPr>
          <w:p>
            <w:pPr>
              <w:pStyle w:val="22"/>
              <w:bidi w:val="0"/>
              <w:jc w:val="center"/>
              <w:rPr>
                <w:color w:val="auto"/>
              </w:rPr>
            </w:pPr>
            <w:r>
              <w:rPr>
                <w:color w:val="auto"/>
              </w:rPr>
              <w:t>BOD</w:t>
            </w:r>
            <w:r>
              <w:rPr>
                <w:color w:val="auto"/>
                <w:vertAlign w:val="subscript"/>
              </w:rPr>
              <w:t>5</w:t>
            </w:r>
          </w:p>
        </w:tc>
        <w:tc>
          <w:tcPr>
            <w:tcW w:w="1689" w:type="dxa"/>
            <w:tcBorders>
              <w:tl2br w:val="nil"/>
              <w:tr2bl w:val="nil"/>
            </w:tcBorders>
            <w:vAlign w:val="center"/>
          </w:tcPr>
          <w:p>
            <w:pPr>
              <w:pStyle w:val="22"/>
              <w:bidi w:val="0"/>
              <w:jc w:val="center"/>
              <w:rPr>
                <w:color w:val="auto"/>
              </w:rPr>
            </w:pPr>
            <w:r>
              <w:rPr>
                <w:color w:val="auto"/>
              </w:rPr>
              <w:t>200mg/L</w:t>
            </w:r>
          </w:p>
        </w:tc>
        <w:tc>
          <w:tcPr>
            <w:tcW w:w="1694" w:type="dxa"/>
            <w:tcBorders>
              <w:tl2br w:val="nil"/>
              <w:tr2bl w:val="nil"/>
            </w:tcBorders>
            <w:vAlign w:val="center"/>
          </w:tcPr>
          <w:p>
            <w:pPr>
              <w:pStyle w:val="22"/>
              <w:bidi w:val="0"/>
              <w:jc w:val="center"/>
              <w:rPr>
                <w:color w:val="auto"/>
              </w:rPr>
            </w:pPr>
            <w:r>
              <w:rPr>
                <w:rFonts w:hint="eastAsia"/>
                <w:color w:val="auto"/>
                <w:lang w:val="en-US" w:eastAsia="zh-CN"/>
              </w:rPr>
              <w:t>0.312</w:t>
            </w:r>
          </w:p>
        </w:tc>
        <w:tc>
          <w:tcPr>
            <w:tcW w:w="1694" w:type="dxa"/>
            <w:tcBorders>
              <w:tl2br w:val="nil"/>
              <w:tr2bl w:val="nil"/>
            </w:tcBorders>
            <w:vAlign w:val="center"/>
          </w:tcPr>
          <w:p>
            <w:pPr>
              <w:pStyle w:val="22"/>
              <w:bidi w:val="0"/>
              <w:jc w:val="center"/>
              <w:rPr>
                <w:color w:val="auto"/>
              </w:rPr>
            </w:pPr>
            <w:r>
              <w:rPr>
                <w:color w:val="auto"/>
              </w:rPr>
              <w:t>200mg/L</w:t>
            </w:r>
          </w:p>
        </w:tc>
        <w:tc>
          <w:tcPr>
            <w:tcW w:w="1695" w:type="dxa"/>
            <w:tcBorders>
              <w:tl2br w:val="nil"/>
              <w:tr2bl w:val="nil"/>
            </w:tcBorders>
            <w:vAlign w:val="center"/>
          </w:tcPr>
          <w:p>
            <w:pPr>
              <w:pStyle w:val="22"/>
              <w:bidi w:val="0"/>
              <w:jc w:val="center"/>
              <w:rPr>
                <w:color w:val="auto"/>
              </w:rPr>
            </w:pPr>
            <w:r>
              <w:rPr>
                <w:rFonts w:hint="eastAsia"/>
                <w:color w:val="auto"/>
                <w:lang w:val="en-US" w:eastAsia="zh-CN"/>
              </w:rPr>
              <w:t>0.249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jc w:val="center"/>
        </w:trPr>
        <w:tc>
          <w:tcPr>
            <w:tcW w:w="1746" w:type="dxa"/>
            <w:gridSpan w:val="2"/>
            <w:tcBorders>
              <w:tl2br w:val="nil"/>
              <w:tr2bl w:val="nil"/>
            </w:tcBorders>
            <w:vAlign w:val="center"/>
          </w:tcPr>
          <w:p>
            <w:pPr>
              <w:pStyle w:val="22"/>
              <w:bidi w:val="0"/>
              <w:jc w:val="center"/>
              <w:rPr>
                <w:color w:val="auto"/>
              </w:rPr>
            </w:pPr>
            <w:r>
              <w:rPr>
                <w:color w:val="auto"/>
              </w:rPr>
              <w:t>SS</w:t>
            </w:r>
          </w:p>
        </w:tc>
        <w:tc>
          <w:tcPr>
            <w:tcW w:w="1689" w:type="dxa"/>
            <w:tcBorders>
              <w:tl2br w:val="nil"/>
              <w:tr2bl w:val="nil"/>
            </w:tcBorders>
            <w:vAlign w:val="center"/>
          </w:tcPr>
          <w:p>
            <w:pPr>
              <w:pStyle w:val="22"/>
              <w:bidi w:val="0"/>
              <w:jc w:val="center"/>
              <w:rPr>
                <w:color w:val="auto"/>
              </w:rPr>
            </w:pPr>
            <w:r>
              <w:rPr>
                <w:color w:val="auto"/>
              </w:rPr>
              <w:t>150mg/L</w:t>
            </w:r>
          </w:p>
        </w:tc>
        <w:tc>
          <w:tcPr>
            <w:tcW w:w="1694" w:type="dxa"/>
            <w:tcBorders>
              <w:tl2br w:val="nil"/>
              <w:tr2bl w:val="nil"/>
            </w:tcBorders>
            <w:vAlign w:val="center"/>
          </w:tcPr>
          <w:p>
            <w:pPr>
              <w:pStyle w:val="22"/>
              <w:bidi w:val="0"/>
              <w:jc w:val="center"/>
              <w:rPr>
                <w:color w:val="auto"/>
              </w:rPr>
            </w:pPr>
            <w:r>
              <w:rPr>
                <w:rFonts w:hint="eastAsia"/>
                <w:color w:val="auto"/>
                <w:lang w:val="en-US" w:eastAsia="zh-CN"/>
              </w:rPr>
              <w:t>0.234</w:t>
            </w:r>
          </w:p>
        </w:tc>
        <w:tc>
          <w:tcPr>
            <w:tcW w:w="1694" w:type="dxa"/>
            <w:tcBorders>
              <w:tl2br w:val="nil"/>
              <w:tr2bl w:val="nil"/>
            </w:tcBorders>
            <w:vAlign w:val="center"/>
          </w:tcPr>
          <w:p>
            <w:pPr>
              <w:pStyle w:val="22"/>
              <w:bidi w:val="0"/>
              <w:jc w:val="center"/>
              <w:rPr>
                <w:color w:val="auto"/>
              </w:rPr>
            </w:pPr>
            <w:r>
              <w:rPr>
                <w:color w:val="auto"/>
              </w:rPr>
              <w:t>150mg/L</w:t>
            </w:r>
          </w:p>
        </w:tc>
        <w:tc>
          <w:tcPr>
            <w:tcW w:w="1695" w:type="dxa"/>
            <w:tcBorders>
              <w:tl2br w:val="nil"/>
              <w:tr2bl w:val="nil"/>
            </w:tcBorders>
            <w:vAlign w:val="center"/>
          </w:tcPr>
          <w:p>
            <w:pPr>
              <w:pStyle w:val="22"/>
              <w:bidi w:val="0"/>
              <w:jc w:val="center"/>
              <w:rPr>
                <w:color w:val="auto"/>
              </w:rPr>
            </w:pPr>
            <w:r>
              <w:rPr>
                <w:rFonts w:hint="eastAsia"/>
                <w:color w:val="auto"/>
                <w:lang w:val="en-US" w:eastAsia="zh-CN"/>
              </w:rPr>
              <w:t>0.187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8" w:hRule="atLeast"/>
          <w:jc w:val="center"/>
        </w:trPr>
        <w:tc>
          <w:tcPr>
            <w:tcW w:w="1746" w:type="dxa"/>
            <w:gridSpan w:val="2"/>
            <w:tcBorders>
              <w:tl2br w:val="nil"/>
              <w:tr2bl w:val="nil"/>
            </w:tcBorders>
            <w:vAlign w:val="center"/>
          </w:tcPr>
          <w:p>
            <w:pPr>
              <w:pStyle w:val="22"/>
              <w:bidi w:val="0"/>
              <w:jc w:val="center"/>
              <w:rPr>
                <w:color w:val="auto"/>
              </w:rPr>
            </w:pPr>
            <w:r>
              <w:rPr>
                <w:color w:val="auto"/>
              </w:rPr>
              <w:t>NH</w:t>
            </w:r>
            <w:r>
              <w:rPr>
                <w:color w:val="auto"/>
                <w:vertAlign w:val="subscript"/>
              </w:rPr>
              <w:t>3</w:t>
            </w:r>
            <w:r>
              <w:rPr>
                <w:color w:val="auto"/>
              </w:rPr>
              <w:t>-N</w:t>
            </w:r>
          </w:p>
        </w:tc>
        <w:tc>
          <w:tcPr>
            <w:tcW w:w="1689" w:type="dxa"/>
            <w:tcBorders>
              <w:tl2br w:val="nil"/>
              <w:tr2bl w:val="nil"/>
            </w:tcBorders>
            <w:vAlign w:val="center"/>
          </w:tcPr>
          <w:p>
            <w:pPr>
              <w:pStyle w:val="22"/>
              <w:bidi w:val="0"/>
              <w:jc w:val="center"/>
              <w:rPr>
                <w:color w:val="auto"/>
              </w:rPr>
            </w:pPr>
            <w:r>
              <w:rPr>
                <w:color w:val="auto"/>
              </w:rPr>
              <w:t>20mg/L</w:t>
            </w:r>
          </w:p>
        </w:tc>
        <w:tc>
          <w:tcPr>
            <w:tcW w:w="1694" w:type="dxa"/>
            <w:tcBorders>
              <w:tl2br w:val="nil"/>
              <w:tr2bl w:val="nil"/>
            </w:tcBorders>
            <w:vAlign w:val="center"/>
          </w:tcPr>
          <w:p>
            <w:pPr>
              <w:pStyle w:val="22"/>
              <w:bidi w:val="0"/>
              <w:jc w:val="center"/>
              <w:rPr>
                <w:color w:val="auto"/>
              </w:rPr>
            </w:pPr>
            <w:r>
              <w:rPr>
                <w:rFonts w:hint="eastAsia"/>
                <w:color w:val="auto"/>
                <w:lang w:val="en-US" w:eastAsia="zh-CN"/>
              </w:rPr>
              <w:t>0.031</w:t>
            </w:r>
          </w:p>
        </w:tc>
        <w:tc>
          <w:tcPr>
            <w:tcW w:w="1694" w:type="dxa"/>
            <w:tcBorders>
              <w:tl2br w:val="nil"/>
              <w:tr2bl w:val="nil"/>
            </w:tcBorders>
            <w:vAlign w:val="center"/>
          </w:tcPr>
          <w:p>
            <w:pPr>
              <w:pStyle w:val="22"/>
              <w:bidi w:val="0"/>
              <w:jc w:val="center"/>
              <w:rPr>
                <w:color w:val="auto"/>
              </w:rPr>
            </w:pPr>
            <w:r>
              <w:rPr>
                <w:color w:val="auto"/>
              </w:rPr>
              <w:t>20mg/L</w:t>
            </w:r>
          </w:p>
        </w:tc>
        <w:tc>
          <w:tcPr>
            <w:tcW w:w="1695" w:type="dxa"/>
            <w:tcBorders>
              <w:tl2br w:val="nil"/>
              <w:tr2bl w:val="nil"/>
            </w:tcBorders>
            <w:vAlign w:val="center"/>
          </w:tcPr>
          <w:p>
            <w:pPr>
              <w:pStyle w:val="22"/>
              <w:bidi w:val="0"/>
              <w:jc w:val="center"/>
              <w:rPr>
                <w:color w:val="auto"/>
              </w:rPr>
            </w:pPr>
            <w:r>
              <w:rPr>
                <w:rFonts w:hint="eastAsia"/>
                <w:color w:val="auto"/>
                <w:lang w:val="en-US" w:eastAsia="zh-CN"/>
              </w:rPr>
              <w:t>0.025</w:t>
            </w:r>
          </w:p>
        </w:tc>
      </w:tr>
    </w:tbl>
    <w:p>
      <w:pPr>
        <w:bidi w:val="0"/>
        <w:rPr>
          <w:color w:val="auto"/>
        </w:rPr>
      </w:pPr>
      <w:r>
        <w:rPr>
          <w:color w:val="auto"/>
        </w:rPr>
        <w:t>（2）实验废水</w:t>
      </w:r>
    </w:p>
    <w:p>
      <w:pPr>
        <w:bidi w:val="0"/>
        <w:rPr>
          <w:color w:val="auto"/>
        </w:rPr>
      </w:pPr>
      <w:r>
        <w:rPr>
          <w:color w:val="auto"/>
        </w:rPr>
        <w:t>实验废水包括实验清洗废水和生物实验室高压灭菌柜定期外排废水，其中实验室清洗废水包括实验人员洗手废水和实验仪器清洗废水，按照用水量的80%计算，为</w:t>
      </w:r>
      <w:r>
        <w:rPr>
          <w:rFonts w:hint="eastAsia"/>
          <w:color w:val="auto"/>
          <w:lang w:val="en-US" w:eastAsia="zh-CN"/>
        </w:rPr>
        <w:t>0.2</w:t>
      </w:r>
      <w:r>
        <w:rPr>
          <w:color w:val="auto"/>
        </w:rPr>
        <w:t>m</w:t>
      </w:r>
      <w:r>
        <w:rPr>
          <w:rFonts w:hint="eastAsia"/>
          <w:color w:val="auto"/>
          <w:vertAlign w:val="superscript"/>
          <w:lang w:val="en-US" w:eastAsia="zh-CN"/>
        </w:rPr>
        <w:t>3</w:t>
      </w:r>
      <w:r>
        <w:rPr>
          <w:color w:val="auto"/>
        </w:rPr>
        <w:t>/d，</w:t>
      </w:r>
      <w:r>
        <w:rPr>
          <w:rFonts w:hint="eastAsia"/>
          <w:color w:val="auto"/>
          <w:lang w:val="en-US" w:eastAsia="zh-CN"/>
        </w:rPr>
        <w:t>60</w:t>
      </w:r>
      <w:r>
        <w:rPr>
          <w:color w:val="auto"/>
        </w:rPr>
        <w:t>m</w:t>
      </w:r>
      <w:r>
        <w:rPr>
          <w:rFonts w:hint="eastAsia"/>
          <w:color w:val="auto"/>
          <w:vertAlign w:val="superscript"/>
          <w:lang w:val="en-US" w:eastAsia="zh-CN"/>
        </w:rPr>
        <w:t>3</w:t>
      </w:r>
      <w:r>
        <w:rPr>
          <w:color w:val="auto"/>
        </w:rPr>
        <w:t>/a。清洗废水含有酸、碱、BOD</w:t>
      </w:r>
      <w:r>
        <w:rPr>
          <w:color w:val="auto"/>
          <w:vertAlign w:val="subscript"/>
        </w:rPr>
        <w:t>5</w:t>
      </w:r>
      <w:r>
        <w:rPr>
          <w:color w:val="auto"/>
        </w:rPr>
        <w:t>、CODCr、SS、NH</w:t>
      </w:r>
      <w:r>
        <w:rPr>
          <w:color w:val="auto"/>
          <w:vertAlign w:val="subscript"/>
        </w:rPr>
        <w:t>3</w:t>
      </w:r>
      <w:r>
        <w:rPr>
          <w:color w:val="auto"/>
        </w:rPr>
        <w:t>-N、</w:t>
      </w:r>
      <w:r>
        <w:rPr>
          <w:rFonts w:hint="eastAsia"/>
          <w:color w:val="auto"/>
          <w:lang w:eastAsia="zh-CN"/>
        </w:rPr>
        <w:t>粪大肠菌群</w:t>
      </w:r>
      <w:r>
        <w:rPr>
          <w:color w:val="auto"/>
        </w:rPr>
        <w:t>等污染物；生物实验室高压灭菌柜定期外排废水，这些废水中不含病原微生物（不得检出）：实验室仪器清洗水，用水量按0.16m</w:t>
      </w:r>
      <w:r>
        <w:rPr>
          <w:color w:val="auto"/>
          <w:vertAlign w:val="superscript"/>
        </w:rPr>
        <w:t>3</w:t>
      </w:r>
      <w:r>
        <w:rPr>
          <w:color w:val="auto"/>
        </w:rPr>
        <w:t>/d，用水量合计为48m</w:t>
      </w:r>
      <w:r>
        <w:rPr>
          <w:color w:val="auto"/>
          <w:vertAlign w:val="superscript"/>
        </w:rPr>
        <w:t>3</w:t>
      </w:r>
      <w:r>
        <w:rPr>
          <w:color w:val="auto"/>
        </w:rPr>
        <w:t>/a。</w:t>
      </w:r>
    </w:p>
    <w:p>
      <w:pPr>
        <w:bidi w:val="0"/>
        <w:rPr>
          <w:color w:val="auto"/>
        </w:rPr>
      </w:pPr>
      <w:r>
        <w:rPr>
          <w:color w:val="auto"/>
        </w:rPr>
        <w:t>污染物产生浓度见表3.</w:t>
      </w:r>
      <w:r>
        <w:rPr>
          <w:rFonts w:hint="eastAsia"/>
          <w:color w:val="auto"/>
          <w:lang w:val="en-US" w:eastAsia="zh-CN"/>
        </w:rPr>
        <w:t>5</w:t>
      </w:r>
      <w:r>
        <w:rPr>
          <w:color w:val="auto"/>
        </w:rPr>
        <w:t>-</w:t>
      </w:r>
      <w:r>
        <w:rPr>
          <w:rFonts w:hint="eastAsia"/>
          <w:color w:val="auto"/>
          <w:lang w:val="en-US" w:eastAsia="zh-CN"/>
        </w:rPr>
        <w:t>2</w:t>
      </w:r>
      <w:r>
        <w:rPr>
          <w:color w:val="auto"/>
        </w:rPr>
        <w:t>。</w:t>
      </w:r>
    </w:p>
    <w:p>
      <w:pPr>
        <w:pStyle w:val="22"/>
        <w:bidi w:val="0"/>
        <w:rPr>
          <w:b/>
          <w:bCs/>
          <w:color w:val="auto"/>
        </w:rPr>
      </w:pPr>
      <w:r>
        <w:rPr>
          <w:b/>
          <w:bCs/>
          <w:color w:val="auto"/>
        </w:rPr>
        <w:t>表3.</w:t>
      </w:r>
      <w:r>
        <w:rPr>
          <w:rFonts w:hint="eastAsia"/>
          <w:b/>
          <w:bCs/>
          <w:color w:val="auto"/>
          <w:lang w:val="en-US" w:eastAsia="zh-CN"/>
        </w:rPr>
        <w:t>5</w:t>
      </w:r>
      <w:r>
        <w:rPr>
          <w:b/>
          <w:bCs/>
          <w:color w:val="auto"/>
        </w:rPr>
        <w:t>-</w:t>
      </w:r>
      <w:r>
        <w:rPr>
          <w:rFonts w:hint="eastAsia"/>
          <w:b/>
          <w:bCs/>
          <w:color w:val="auto"/>
          <w:lang w:val="en-US" w:eastAsia="zh-CN"/>
        </w:rPr>
        <w:t>2</w:t>
      </w:r>
      <w:r>
        <w:rPr>
          <w:b/>
          <w:bCs/>
          <w:color w:val="auto"/>
        </w:rPr>
        <w:t>营运期实验清洗废水产、排情况一览表</w:t>
      </w:r>
      <w:r>
        <w:rPr>
          <w:rFonts w:hint="eastAsia"/>
          <w:b/>
          <w:bCs/>
          <w:color w:val="auto"/>
          <w:lang w:val="en-US" w:eastAsia="zh-CN"/>
        </w:rPr>
        <w:t>单位：</w:t>
      </w:r>
      <w:r>
        <w:rPr>
          <w:b/>
          <w:bCs/>
          <w:color w:val="auto"/>
        </w:rPr>
        <w:t>m</w:t>
      </w:r>
      <w:r>
        <w:rPr>
          <w:rFonts w:hint="eastAsia"/>
          <w:b/>
          <w:bCs/>
          <w:color w:val="auto"/>
          <w:vertAlign w:val="superscript"/>
          <w:lang w:val="en-US" w:eastAsia="zh-CN"/>
        </w:rPr>
        <w:t>3</w:t>
      </w:r>
      <w:r>
        <w:rPr>
          <w:b/>
          <w:bCs/>
          <w:color w:val="auto"/>
        </w:rPr>
        <w:t>/a</w:t>
      </w:r>
    </w:p>
    <w:tbl>
      <w:tblPr>
        <w:tblStyle w:val="23"/>
        <w:tblW w:w="853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1"/>
        <w:gridCol w:w="1309"/>
        <w:gridCol w:w="1253"/>
        <w:gridCol w:w="1214"/>
        <w:gridCol w:w="1609"/>
        <w:gridCol w:w="182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9" w:hRule="atLeast"/>
          <w:jc w:val="center"/>
        </w:trPr>
        <w:tc>
          <w:tcPr>
            <w:tcW w:w="1321" w:type="dxa"/>
            <w:tcBorders>
              <w:tl2br w:val="nil"/>
              <w:tr2bl w:val="nil"/>
            </w:tcBorders>
            <w:vAlign w:val="center"/>
          </w:tcPr>
          <w:p>
            <w:pPr>
              <w:pStyle w:val="22"/>
              <w:bidi w:val="0"/>
              <w:jc w:val="center"/>
              <w:rPr>
                <w:b/>
                <w:bCs/>
                <w:color w:val="auto"/>
              </w:rPr>
            </w:pPr>
            <w:r>
              <w:rPr>
                <w:b/>
                <w:bCs/>
                <w:color w:val="auto"/>
              </w:rPr>
              <w:t>污染物</w:t>
            </w:r>
          </w:p>
        </w:tc>
        <w:tc>
          <w:tcPr>
            <w:tcW w:w="1309" w:type="dxa"/>
            <w:tcBorders>
              <w:tl2br w:val="nil"/>
              <w:tr2bl w:val="nil"/>
            </w:tcBorders>
            <w:vAlign w:val="center"/>
          </w:tcPr>
          <w:p>
            <w:pPr>
              <w:pStyle w:val="22"/>
              <w:bidi w:val="0"/>
              <w:jc w:val="center"/>
              <w:rPr>
                <w:b/>
                <w:bCs/>
                <w:color w:val="auto"/>
              </w:rPr>
            </w:pPr>
            <w:r>
              <w:rPr>
                <w:b/>
                <w:bCs/>
                <w:color w:val="auto"/>
              </w:rPr>
              <w:t>产生浓度</w:t>
            </w:r>
          </w:p>
        </w:tc>
        <w:tc>
          <w:tcPr>
            <w:tcW w:w="1253" w:type="dxa"/>
            <w:tcBorders>
              <w:tl2br w:val="nil"/>
              <w:tr2bl w:val="nil"/>
            </w:tcBorders>
            <w:vAlign w:val="center"/>
          </w:tcPr>
          <w:p>
            <w:pPr>
              <w:pStyle w:val="22"/>
              <w:bidi w:val="0"/>
              <w:jc w:val="center"/>
              <w:rPr>
                <w:b/>
                <w:bCs/>
                <w:color w:val="auto"/>
              </w:rPr>
            </w:pPr>
            <w:r>
              <w:rPr>
                <w:b/>
                <w:bCs/>
                <w:color w:val="auto"/>
              </w:rPr>
              <w:t>产生量</w:t>
            </w:r>
          </w:p>
        </w:tc>
        <w:tc>
          <w:tcPr>
            <w:tcW w:w="1214" w:type="dxa"/>
            <w:tcBorders>
              <w:tl2br w:val="nil"/>
              <w:tr2bl w:val="nil"/>
            </w:tcBorders>
            <w:vAlign w:val="center"/>
          </w:tcPr>
          <w:p>
            <w:pPr>
              <w:pStyle w:val="22"/>
              <w:bidi w:val="0"/>
              <w:jc w:val="center"/>
              <w:rPr>
                <w:b/>
                <w:bCs/>
                <w:color w:val="auto"/>
              </w:rPr>
            </w:pPr>
            <w:r>
              <w:rPr>
                <w:b/>
                <w:bCs/>
                <w:color w:val="auto"/>
              </w:rPr>
              <w:t>排放浓度</w:t>
            </w:r>
          </w:p>
        </w:tc>
        <w:tc>
          <w:tcPr>
            <w:tcW w:w="1609" w:type="dxa"/>
            <w:tcBorders>
              <w:tl2br w:val="nil"/>
              <w:tr2bl w:val="nil"/>
            </w:tcBorders>
            <w:vAlign w:val="center"/>
          </w:tcPr>
          <w:p>
            <w:pPr>
              <w:pStyle w:val="22"/>
              <w:bidi w:val="0"/>
              <w:jc w:val="center"/>
              <w:rPr>
                <w:b/>
                <w:bCs/>
                <w:color w:val="auto"/>
              </w:rPr>
            </w:pPr>
            <w:r>
              <w:rPr>
                <w:b/>
                <w:bCs/>
                <w:color w:val="auto"/>
              </w:rPr>
              <w:t>排放量</w:t>
            </w:r>
          </w:p>
        </w:tc>
        <w:tc>
          <w:tcPr>
            <w:tcW w:w="1824" w:type="dxa"/>
            <w:tcBorders>
              <w:tl2br w:val="nil"/>
              <w:tr2bl w:val="nil"/>
            </w:tcBorders>
            <w:vAlign w:val="center"/>
          </w:tcPr>
          <w:p>
            <w:pPr>
              <w:pStyle w:val="22"/>
              <w:bidi w:val="0"/>
              <w:jc w:val="center"/>
              <w:rPr>
                <w:b/>
                <w:bCs/>
                <w:color w:val="auto"/>
              </w:rPr>
            </w:pPr>
            <w:r>
              <w:rPr>
                <w:b/>
                <w:bCs/>
                <w:color w:val="auto"/>
              </w:rPr>
              <w:t>《医疗机构水污染</w:t>
            </w:r>
          </w:p>
          <w:p>
            <w:pPr>
              <w:pStyle w:val="22"/>
              <w:bidi w:val="0"/>
              <w:jc w:val="center"/>
              <w:rPr>
                <w:b/>
                <w:bCs/>
                <w:color w:val="auto"/>
              </w:rPr>
            </w:pPr>
            <w:r>
              <w:rPr>
                <w:b/>
                <w:bCs/>
                <w:color w:val="auto"/>
              </w:rPr>
              <w:t>物排放标准》（GB16297-1996）表2预处理标准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jc w:val="center"/>
        </w:trPr>
        <w:tc>
          <w:tcPr>
            <w:tcW w:w="1321" w:type="dxa"/>
            <w:tcBorders>
              <w:tl2br w:val="nil"/>
              <w:tr2bl w:val="nil"/>
            </w:tcBorders>
            <w:vAlign w:val="center"/>
          </w:tcPr>
          <w:p>
            <w:pPr>
              <w:pStyle w:val="22"/>
              <w:bidi w:val="0"/>
              <w:jc w:val="center"/>
              <w:rPr>
                <w:color w:val="auto"/>
              </w:rPr>
            </w:pPr>
            <w:r>
              <w:rPr>
                <w:color w:val="auto"/>
              </w:rPr>
              <w:t>废水量</w:t>
            </w:r>
          </w:p>
        </w:tc>
        <w:tc>
          <w:tcPr>
            <w:tcW w:w="1309" w:type="dxa"/>
            <w:tcBorders>
              <w:tl2br w:val="nil"/>
              <w:tr2bl w:val="nil"/>
            </w:tcBorders>
            <w:vAlign w:val="center"/>
          </w:tcPr>
          <w:p>
            <w:pPr>
              <w:pStyle w:val="22"/>
              <w:bidi w:val="0"/>
              <w:jc w:val="center"/>
              <w:rPr>
                <w:color w:val="auto"/>
              </w:rPr>
            </w:pPr>
            <w:r>
              <w:rPr>
                <w:color w:val="auto"/>
              </w:rPr>
              <w:t>—</w:t>
            </w:r>
          </w:p>
        </w:tc>
        <w:tc>
          <w:tcPr>
            <w:tcW w:w="1253" w:type="dxa"/>
            <w:tcBorders>
              <w:tl2br w:val="nil"/>
              <w:tr2bl w:val="nil"/>
            </w:tcBorders>
            <w:vAlign w:val="center"/>
          </w:tcPr>
          <w:p>
            <w:pPr>
              <w:pStyle w:val="22"/>
              <w:bidi w:val="0"/>
              <w:jc w:val="center"/>
              <w:rPr>
                <w:color w:val="auto"/>
              </w:rPr>
            </w:pPr>
            <w:r>
              <w:rPr>
                <w:rFonts w:hint="eastAsia"/>
                <w:color w:val="auto"/>
                <w:lang w:val="en-US" w:eastAsia="zh-CN"/>
              </w:rPr>
              <w:t>108</w:t>
            </w:r>
          </w:p>
        </w:tc>
        <w:tc>
          <w:tcPr>
            <w:tcW w:w="1214" w:type="dxa"/>
            <w:tcBorders>
              <w:tl2br w:val="nil"/>
              <w:tr2bl w:val="nil"/>
            </w:tcBorders>
            <w:vAlign w:val="center"/>
          </w:tcPr>
          <w:p>
            <w:pPr>
              <w:pStyle w:val="22"/>
              <w:bidi w:val="0"/>
              <w:jc w:val="center"/>
              <w:rPr>
                <w:color w:val="auto"/>
              </w:rPr>
            </w:pPr>
            <w:r>
              <w:rPr>
                <w:color w:val="auto"/>
              </w:rPr>
              <w:t>—</w:t>
            </w:r>
          </w:p>
        </w:tc>
        <w:tc>
          <w:tcPr>
            <w:tcW w:w="1609" w:type="dxa"/>
            <w:tcBorders>
              <w:tl2br w:val="nil"/>
              <w:tr2bl w:val="nil"/>
            </w:tcBorders>
            <w:vAlign w:val="center"/>
          </w:tcPr>
          <w:p>
            <w:pPr>
              <w:pStyle w:val="22"/>
              <w:bidi w:val="0"/>
              <w:jc w:val="center"/>
              <w:rPr>
                <w:color w:val="auto"/>
              </w:rPr>
            </w:pPr>
            <w:r>
              <w:rPr>
                <w:rFonts w:hint="eastAsia"/>
                <w:color w:val="auto"/>
                <w:lang w:val="en-US" w:eastAsia="zh-CN"/>
              </w:rPr>
              <w:t>86.4</w:t>
            </w:r>
          </w:p>
        </w:tc>
        <w:tc>
          <w:tcPr>
            <w:tcW w:w="1824" w:type="dxa"/>
            <w:tcBorders>
              <w:tl2br w:val="nil"/>
              <w:tr2bl w:val="nil"/>
            </w:tcBorders>
            <w:vAlign w:val="center"/>
          </w:tcPr>
          <w:p>
            <w:pPr>
              <w:pStyle w:val="22"/>
              <w:bidi w:val="0"/>
              <w:jc w:val="cente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jc w:val="center"/>
        </w:trPr>
        <w:tc>
          <w:tcPr>
            <w:tcW w:w="1321" w:type="dxa"/>
            <w:tcBorders>
              <w:tl2br w:val="nil"/>
              <w:tr2bl w:val="nil"/>
            </w:tcBorders>
            <w:vAlign w:val="center"/>
          </w:tcPr>
          <w:p>
            <w:pPr>
              <w:pStyle w:val="22"/>
              <w:bidi w:val="0"/>
              <w:jc w:val="center"/>
              <w:rPr>
                <w:color w:val="auto"/>
              </w:rPr>
            </w:pPr>
            <w:r>
              <w:rPr>
                <w:color w:val="auto"/>
              </w:rPr>
              <w:t>COD</w:t>
            </w:r>
            <w:r>
              <w:rPr>
                <w:color w:val="auto"/>
                <w:vertAlign w:val="subscript"/>
              </w:rPr>
              <w:t>Cr</w:t>
            </w:r>
          </w:p>
        </w:tc>
        <w:tc>
          <w:tcPr>
            <w:tcW w:w="1309" w:type="dxa"/>
            <w:tcBorders>
              <w:tl2br w:val="nil"/>
              <w:tr2bl w:val="nil"/>
            </w:tcBorders>
            <w:vAlign w:val="center"/>
          </w:tcPr>
          <w:p>
            <w:pPr>
              <w:pStyle w:val="22"/>
              <w:bidi w:val="0"/>
              <w:jc w:val="center"/>
              <w:rPr>
                <w:color w:val="auto"/>
              </w:rPr>
            </w:pPr>
            <w:r>
              <w:rPr>
                <w:color w:val="auto"/>
              </w:rPr>
              <w:t>600mg/L</w:t>
            </w:r>
          </w:p>
        </w:tc>
        <w:tc>
          <w:tcPr>
            <w:tcW w:w="1253" w:type="dxa"/>
            <w:tcBorders>
              <w:tl2br w:val="nil"/>
              <w:tr2bl w:val="nil"/>
            </w:tcBorders>
            <w:vAlign w:val="center"/>
          </w:tcPr>
          <w:p>
            <w:pPr>
              <w:pStyle w:val="22"/>
              <w:bidi w:val="0"/>
              <w:jc w:val="center"/>
              <w:rPr>
                <w:color w:val="auto"/>
              </w:rPr>
            </w:pPr>
            <w:r>
              <w:rPr>
                <w:rFonts w:hint="eastAsia"/>
                <w:color w:val="auto"/>
                <w:lang w:val="en-US" w:eastAsia="zh-CN"/>
              </w:rPr>
              <w:t>0.065</w:t>
            </w:r>
          </w:p>
        </w:tc>
        <w:tc>
          <w:tcPr>
            <w:tcW w:w="1214" w:type="dxa"/>
            <w:tcBorders>
              <w:tl2br w:val="nil"/>
              <w:tr2bl w:val="nil"/>
            </w:tcBorders>
            <w:vAlign w:val="center"/>
          </w:tcPr>
          <w:p>
            <w:pPr>
              <w:pStyle w:val="22"/>
              <w:bidi w:val="0"/>
              <w:jc w:val="center"/>
              <w:rPr>
                <w:color w:val="auto"/>
              </w:rPr>
            </w:pPr>
            <w:r>
              <w:rPr>
                <w:color w:val="auto"/>
              </w:rPr>
              <w:t>200mg/L</w:t>
            </w:r>
          </w:p>
        </w:tc>
        <w:tc>
          <w:tcPr>
            <w:tcW w:w="1609" w:type="dxa"/>
            <w:tcBorders>
              <w:tl2br w:val="nil"/>
              <w:tr2bl w:val="nil"/>
            </w:tcBorders>
            <w:vAlign w:val="center"/>
          </w:tcPr>
          <w:p>
            <w:pPr>
              <w:pStyle w:val="22"/>
              <w:bidi w:val="0"/>
              <w:jc w:val="center"/>
              <w:rPr>
                <w:color w:val="auto"/>
              </w:rPr>
            </w:pPr>
            <w:r>
              <w:rPr>
                <w:rFonts w:hint="eastAsia"/>
                <w:color w:val="auto"/>
                <w:lang w:val="en-US" w:eastAsia="zh-CN"/>
              </w:rPr>
              <w:t>0.017</w:t>
            </w:r>
          </w:p>
        </w:tc>
        <w:tc>
          <w:tcPr>
            <w:tcW w:w="1824" w:type="dxa"/>
            <w:tcBorders>
              <w:tl2br w:val="nil"/>
              <w:tr2bl w:val="nil"/>
            </w:tcBorders>
            <w:vAlign w:val="center"/>
          </w:tcPr>
          <w:p>
            <w:pPr>
              <w:pStyle w:val="22"/>
              <w:bidi w:val="0"/>
              <w:jc w:val="center"/>
              <w:rPr>
                <w:color w:val="auto"/>
              </w:rPr>
            </w:pPr>
            <w:r>
              <w:rPr>
                <w:color w:val="auto"/>
              </w:rPr>
              <w:t>250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3" w:hRule="atLeast"/>
          <w:jc w:val="center"/>
        </w:trPr>
        <w:tc>
          <w:tcPr>
            <w:tcW w:w="1321" w:type="dxa"/>
            <w:tcBorders>
              <w:tl2br w:val="nil"/>
              <w:tr2bl w:val="nil"/>
            </w:tcBorders>
            <w:vAlign w:val="center"/>
          </w:tcPr>
          <w:p>
            <w:pPr>
              <w:pStyle w:val="22"/>
              <w:bidi w:val="0"/>
              <w:jc w:val="center"/>
              <w:rPr>
                <w:color w:val="auto"/>
              </w:rPr>
            </w:pPr>
            <w:r>
              <w:rPr>
                <w:color w:val="auto"/>
              </w:rPr>
              <w:t>BOD</w:t>
            </w:r>
            <w:r>
              <w:rPr>
                <w:color w:val="auto"/>
                <w:vertAlign w:val="subscript"/>
              </w:rPr>
              <w:t>5</w:t>
            </w:r>
          </w:p>
        </w:tc>
        <w:tc>
          <w:tcPr>
            <w:tcW w:w="1309" w:type="dxa"/>
            <w:tcBorders>
              <w:tl2br w:val="nil"/>
              <w:tr2bl w:val="nil"/>
            </w:tcBorders>
            <w:vAlign w:val="center"/>
          </w:tcPr>
          <w:p>
            <w:pPr>
              <w:pStyle w:val="22"/>
              <w:bidi w:val="0"/>
              <w:jc w:val="center"/>
              <w:rPr>
                <w:color w:val="auto"/>
              </w:rPr>
            </w:pPr>
            <w:r>
              <w:rPr>
                <w:color w:val="auto"/>
              </w:rPr>
              <w:t>120mg/L</w:t>
            </w:r>
          </w:p>
        </w:tc>
        <w:tc>
          <w:tcPr>
            <w:tcW w:w="1253" w:type="dxa"/>
            <w:tcBorders>
              <w:tl2br w:val="nil"/>
              <w:tr2bl w:val="nil"/>
            </w:tcBorders>
            <w:vAlign w:val="center"/>
          </w:tcPr>
          <w:p>
            <w:pPr>
              <w:pStyle w:val="22"/>
              <w:bidi w:val="0"/>
              <w:jc w:val="center"/>
              <w:rPr>
                <w:color w:val="auto"/>
              </w:rPr>
            </w:pPr>
            <w:r>
              <w:rPr>
                <w:rFonts w:hint="eastAsia"/>
                <w:color w:val="auto"/>
                <w:lang w:val="en-US" w:eastAsia="zh-CN"/>
              </w:rPr>
              <w:t>0.013</w:t>
            </w:r>
          </w:p>
        </w:tc>
        <w:tc>
          <w:tcPr>
            <w:tcW w:w="1214" w:type="dxa"/>
            <w:tcBorders>
              <w:tl2br w:val="nil"/>
              <w:tr2bl w:val="nil"/>
            </w:tcBorders>
            <w:vAlign w:val="center"/>
          </w:tcPr>
          <w:p>
            <w:pPr>
              <w:pStyle w:val="22"/>
              <w:bidi w:val="0"/>
              <w:jc w:val="center"/>
              <w:rPr>
                <w:color w:val="auto"/>
              </w:rPr>
            </w:pPr>
            <w:r>
              <w:rPr>
                <w:color w:val="auto"/>
              </w:rPr>
              <w:t>50mg/L</w:t>
            </w:r>
          </w:p>
        </w:tc>
        <w:tc>
          <w:tcPr>
            <w:tcW w:w="1609" w:type="dxa"/>
            <w:tcBorders>
              <w:tl2br w:val="nil"/>
              <w:tr2bl w:val="nil"/>
            </w:tcBorders>
            <w:vAlign w:val="center"/>
          </w:tcPr>
          <w:p>
            <w:pPr>
              <w:pStyle w:val="22"/>
              <w:bidi w:val="0"/>
              <w:jc w:val="center"/>
              <w:rPr>
                <w:color w:val="auto"/>
              </w:rPr>
            </w:pPr>
            <w:r>
              <w:rPr>
                <w:rFonts w:hint="eastAsia"/>
                <w:color w:val="auto"/>
                <w:lang w:val="en-US" w:eastAsia="zh-CN"/>
              </w:rPr>
              <w:t>0.004</w:t>
            </w:r>
          </w:p>
        </w:tc>
        <w:tc>
          <w:tcPr>
            <w:tcW w:w="1824" w:type="dxa"/>
            <w:tcBorders>
              <w:tl2br w:val="nil"/>
              <w:tr2bl w:val="nil"/>
            </w:tcBorders>
            <w:vAlign w:val="center"/>
          </w:tcPr>
          <w:p>
            <w:pPr>
              <w:pStyle w:val="22"/>
              <w:bidi w:val="0"/>
              <w:jc w:val="center"/>
              <w:rPr>
                <w:color w:val="auto"/>
              </w:rPr>
            </w:pPr>
            <w:r>
              <w:rPr>
                <w:color w:val="auto"/>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jc w:val="center"/>
        </w:trPr>
        <w:tc>
          <w:tcPr>
            <w:tcW w:w="1321" w:type="dxa"/>
            <w:tcBorders>
              <w:tl2br w:val="nil"/>
              <w:tr2bl w:val="nil"/>
            </w:tcBorders>
            <w:vAlign w:val="center"/>
          </w:tcPr>
          <w:p>
            <w:pPr>
              <w:pStyle w:val="22"/>
              <w:bidi w:val="0"/>
              <w:jc w:val="center"/>
              <w:rPr>
                <w:color w:val="auto"/>
              </w:rPr>
            </w:pPr>
            <w:r>
              <w:rPr>
                <w:color w:val="auto"/>
              </w:rPr>
              <w:t>SS</w:t>
            </w:r>
          </w:p>
        </w:tc>
        <w:tc>
          <w:tcPr>
            <w:tcW w:w="1309" w:type="dxa"/>
            <w:tcBorders>
              <w:tl2br w:val="nil"/>
              <w:tr2bl w:val="nil"/>
            </w:tcBorders>
            <w:vAlign w:val="center"/>
          </w:tcPr>
          <w:p>
            <w:pPr>
              <w:pStyle w:val="22"/>
              <w:bidi w:val="0"/>
              <w:jc w:val="center"/>
              <w:rPr>
                <w:color w:val="auto"/>
              </w:rPr>
            </w:pPr>
            <w:r>
              <w:rPr>
                <w:color w:val="auto"/>
              </w:rPr>
              <w:t>220mg/L</w:t>
            </w:r>
          </w:p>
        </w:tc>
        <w:tc>
          <w:tcPr>
            <w:tcW w:w="1253" w:type="dxa"/>
            <w:tcBorders>
              <w:tl2br w:val="nil"/>
              <w:tr2bl w:val="nil"/>
            </w:tcBorders>
            <w:vAlign w:val="center"/>
          </w:tcPr>
          <w:p>
            <w:pPr>
              <w:pStyle w:val="22"/>
              <w:bidi w:val="0"/>
              <w:jc w:val="center"/>
              <w:rPr>
                <w:color w:val="auto"/>
              </w:rPr>
            </w:pPr>
            <w:r>
              <w:rPr>
                <w:rFonts w:hint="eastAsia"/>
                <w:color w:val="auto"/>
                <w:lang w:val="en-US" w:eastAsia="zh-CN"/>
              </w:rPr>
              <w:t>0.024</w:t>
            </w:r>
          </w:p>
        </w:tc>
        <w:tc>
          <w:tcPr>
            <w:tcW w:w="1214" w:type="dxa"/>
            <w:tcBorders>
              <w:tl2br w:val="nil"/>
              <w:tr2bl w:val="nil"/>
            </w:tcBorders>
            <w:vAlign w:val="center"/>
          </w:tcPr>
          <w:p>
            <w:pPr>
              <w:pStyle w:val="22"/>
              <w:bidi w:val="0"/>
              <w:jc w:val="center"/>
              <w:rPr>
                <w:color w:val="auto"/>
              </w:rPr>
            </w:pPr>
            <w:r>
              <w:rPr>
                <w:color w:val="auto"/>
              </w:rPr>
              <w:t>50mg/L</w:t>
            </w:r>
          </w:p>
        </w:tc>
        <w:tc>
          <w:tcPr>
            <w:tcW w:w="1609" w:type="dxa"/>
            <w:tcBorders>
              <w:tl2br w:val="nil"/>
              <w:tr2bl w:val="nil"/>
            </w:tcBorders>
            <w:vAlign w:val="center"/>
          </w:tcPr>
          <w:p>
            <w:pPr>
              <w:pStyle w:val="22"/>
              <w:bidi w:val="0"/>
              <w:jc w:val="center"/>
              <w:rPr>
                <w:color w:val="auto"/>
              </w:rPr>
            </w:pPr>
            <w:r>
              <w:rPr>
                <w:rFonts w:hint="eastAsia"/>
                <w:color w:val="auto"/>
                <w:lang w:val="en-US" w:eastAsia="zh-CN"/>
              </w:rPr>
              <w:t>0.004</w:t>
            </w:r>
          </w:p>
        </w:tc>
        <w:tc>
          <w:tcPr>
            <w:tcW w:w="1824" w:type="dxa"/>
            <w:tcBorders>
              <w:tl2br w:val="nil"/>
              <w:tr2bl w:val="nil"/>
            </w:tcBorders>
            <w:vAlign w:val="center"/>
          </w:tcPr>
          <w:p>
            <w:pPr>
              <w:pStyle w:val="22"/>
              <w:bidi w:val="0"/>
              <w:jc w:val="center"/>
              <w:rPr>
                <w:color w:val="auto"/>
              </w:rPr>
            </w:pPr>
            <w:r>
              <w:rPr>
                <w:color w:val="auto"/>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jc w:val="center"/>
        </w:trPr>
        <w:tc>
          <w:tcPr>
            <w:tcW w:w="1321" w:type="dxa"/>
            <w:tcBorders>
              <w:tl2br w:val="nil"/>
              <w:tr2bl w:val="nil"/>
            </w:tcBorders>
            <w:vAlign w:val="center"/>
          </w:tcPr>
          <w:p>
            <w:pPr>
              <w:pStyle w:val="22"/>
              <w:bidi w:val="0"/>
              <w:jc w:val="center"/>
              <w:rPr>
                <w:color w:val="auto"/>
              </w:rPr>
            </w:pPr>
            <w:r>
              <w:rPr>
                <w:color w:val="auto"/>
              </w:rPr>
              <w:t>NH</w:t>
            </w:r>
            <w:r>
              <w:rPr>
                <w:color w:val="auto"/>
                <w:vertAlign w:val="subscript"/>
              </w:rPr>
              <w:t>3</w:t>
            </w:r>
            <w:r>
              <w:rPr>
                <w:color w:val="auto"/>
              </w:rPr>
              <w:t>-N</w:t>
            </w:r>
          </w:p>
        </w:tc>
        <w:tc>
          <w:tcPr>
            <w:tcW w:w="1309" w:type="dxa"/>
            <w:tcBorders>
              <w:tl2br w:val="nil"/>
              <w:tr2bl w:val="nil"/>
            </w:tcBorders>
            <w:vAlign w:val="center"/>
          </w:tcPr>
          <w:p>
            <w:pPr>
              <w:pStyle w:val="22"/>
              <w:bidi w:val="0"/>
              <w:jc w:val="center"/>
              <w:rPr>
                <w:color w:val="auto"/>
              </w:rPr>
            </w:pPr>
            <w:r>
              <w:rPr>
                <w:color w:val="auto"/>
              </w:rPr>
              <w:t>25mg/L</w:t>
            </w:r>
          </w:p>
        </w:tc>
        <w:tc>
          <w:tcPr>
            <w:tcW w:w="1253" w:type="dxa"/>
            <w:tcBorders>
              <w:tl2br w:val="nil"/>
              <w:tr2bl w:val="nil"/>
            </w:tcBorders>
            <w:vAlign w:val="center"/>
          </w:tcPr>
          <w:p>
            <w:pPr>
              <w:pStyle w:val="22"/>
              <w:bidi w:val="0"/>
              <w:jc w:val="center"/>
              <w:rPr>
                <w:color w:val="auto"/>
              </w:rPr>
            </w:pPr>
            <w:r>
              <w:rPr>
                <w:rFonts w:hint="eastAsia"/>
                <w:color w:val="auto"/>
                <w:lang w:val="en-US" w:eastAsia="zh-CN"/>
              </w:rPr>
              <w:t>0.003</w:t>
            </w:r>
          </w:p>
        </w:tc>
        <w:tc>
          <w:tcPr>
            <w:tcW w:w="1214" w:type="dxa"/>
            <w:tcBorders>
              <w:tl2br w:val="nil"/>
              <w:tr2bl w:val="nil"/>
            </w:tcBorders>
            <w:vAlign w:val="center"/>
          </w:tcPr>
          <w:p>
            <w:pPr>
              <w:pStyle w:val="22"/>
              <w:bidi w:val="0"/>
              <w:jc w:val="center"/>
              <w:rPr>
                <w:color w:val="auto"/>
              </w:rPr>
            </w:pPr>
            <w:r>
              <w:rPr>
                <w:color w:val="auto"/>
              </w:rPr>
              <w:t>14mg/L</w:t>
            </w:r>
          </w:p>
        </w:tc>
        <w:tc>
          <w:tcPr>
            <w:tcW w:w="1609" w:type="dxa"/>
            <w:tcBorders>
              <w:tl2br w:val="nil"/>
              <w:tr2bl w:val="nil"/>
            </w:tcBorders>
            <w:vAlign w:val="center"/>
          </w:tcPr>
          <w:p>
            <w:pPr>
              <w:pStyle w:val="22"/>
              <w:bidi w:val="0"/>
              <w:jc w:val="center"/>
              <w:rPr>
                <w:color w:val="auto"/>
              </w:rPr>
            </w:pPr>
            <w:r>
              <w:rPr>
                <w:rFonts w:hint="eastAsia"/>
                <w:color w:val="auto"/>
                <w:lang w:val="en-US" w:eastAsia="zh-CN"/>
              </w:rPr>
              <w:t>0.001</w:t>
            </w:r>
          </w:p>
        </w:tc>
        <w:tc>
          <w:tcPr>
            <w:tcW w:w="1824" w:type="dxa"/>
            <w:tcBorders>
              <w:tl2br w:val="nil"/>
              <w:tr2bl w:val="nil"/>
            </w:tcBorders>
            <w:vAlign w:val="center"/>
          </w:tcPr>
          <w:p>
            <w:pPr>
              <w:pStyle w:val="22"/>
              <w:bidi w:val="0"/>
              <w:jc w:val="center"/>
              <w:rPr>
                <w:color w:val="auto"/>
              </w:rPr>
            </w:pPr>
            <w:r>
              <w:rPr>
                <w:color w:val="auto"/>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jc w:val="center"/>
        </w:trPr>
        <w:tc>
          <w:tcPr>
            <w:tcW w:w="1321" w:type="dxa"/>
            <w:tcBorders>
              <w:tl2br w:val="nil"/>
              <w:tr2bl w:val="nil"/>
            </w:tcBorders>
            <w:vAlign w:val="center"/>
          </w:tcPr>
          <w:p>
            <w:pPr>
              <w:pStyle w:val="22"/>
              <w:bidi w:val="0"/>
              <w:jc w:val="center"/>
              <w:rPr>
                <w:color w:val="auto"/>
              </w:rPr>
            </w:pPr>
            <w:r>
              <w:rPr>
                <w:rFonts w:hint="eastAsia"/>
                <w:color w:val="auto"/>
                <w:lang w:eastAsia="zh-CN"/>
              </w:rPr>
              <w:t>粪大肠菌群</w:t>
            </w:r>
            <w:r>
              <w:rPr>
                <w:color w:val="auto"/>
              </w:rPr>
              <w:t>（MPN/L）</w:t>
            </w:r>
          </w:p>
        </w:tc>
        <w:tc>
          <w:tcPr>
            <w:tcW w:w="2562" w:type="dxa"/>
            <w:gridSpan w:val="2"/>
            <w:tcBorders>
              <w:tl2br w:val="nil"/>
              <w:tr2bl w:val="nil"/>
            </w:tcBorders>
            <w:vAlign w:val="center"/>
          </w:tcPr>
          <w:p>
            <w:pPr>
              <w:pStyle w:val="22"/>
              <w:bidi w:val="0"/>
              <w:jc w:val="center"/>
              <w:rPr>
                <w:color w:val="auto"/>
              </w:rPr>
            </w:pPr>
            <w:r>
              <w:rPr>
                <w:color w:val="auto"/>
              </w:rPr>
              <w:t>400000</w:t>
            </w:r>
          </w:p>
        </w:tc>
        <w:tc>
          <w:tcPr>
            <w:tcW w:w="2823" w:type="dxa"/>
            <w:gridSpan w:val="2"/>
            <w:tcBorders>
              <w:tl2br w:val="nil"/>
              <w:tr2bl w:val="nil"/>
            </w:tcBorders>
            <w:vAlign w:val="center"/>
          </w:tcPr>
          <w:p>
            <w:pPr>
              <w:pStyle w:val="22"/>
              <w:bidi w:val="0"/>
              <w:jc w:val="center"/>
              <w:rPr>
                <w:color w:val="auto"/>
              </w:rPr>
            </w:pPr>
            <w:r>
              <w:rPr>
                <w:color w:val="auto"/>
              </w:rPr>
              <w:t>5000</w:t>
            </w:r>
          </w:p>
        </w:tc>
        <w:tc>
          <w:tcPr>
            <w:tcW w:w="1824" w:type="dxa"/>
            <w:tcBorders>
              <w:tl2br w:val="nil"/>
              <w:tr2bl w:val="nil"/>
            </w:tcBorders>
            <w:vAlign w:val="center"/>
          </w:tcPr>
          <w:p>
            <w:pPr>
              <w:pStyle w:val="22"/>
              <w:bidi w:val="0"/>
              <w:jc w:val="center"/>
              <w:rPr>
                <w:color w:val="auto"/>
              </w:rPr>
            </w:pPr>
            <w:r>
              <w:rPr>
                <w:color w:val="auto"/>
              </w:rPr>
              <w:t>5000</w:t>
            </w:r>
          </w:p>
        </w:tc>
      </w:tr>
    </w:tbl>
    <w:p>
      <w:pPr>
        <w:bidi w:val="0"/>
        <w:rPr>
          <w:color w:val="auto"/>
        </w:rPr>
      </w:pPr>
      <w:r>
        <w:rPr>
          <w:color w:val="auto"/>
        </w:rPr>
        <w:t>高压灭菌器整个灭菌周期中的废水（如真空用水、蒸汽冷凝水）收集至灭菌器内设的废水灭活罐内并进行二次高温灭活杀菌处理，实验人员退出实验室前，摘下防护眼镜，表面喷雾75%酒精，消毒后放入专用储存箱内。然后脱掉最外层防护服，摘掉外层手套、口罩、胶鞋套及帽子等，连同其他废弃物一并放入高压灭菌器进行高压消毒后再洗手。因此在卫生间产生的洗手废水不含病原微生物，可与经灭活灭菌处理后的废水一并通过疾控中心污水处理设施处理达标后，经实验室废水排水管网进入疾控中心污水处理站处理后排入市政管网，最终进</w:t>
      </w:r>
      <w:r>
        <w:rPr>
          <w:rFonts w:hint="eastAsia"/>
          <w:color w:val="auto"/>
          <w:lang w:val="en-US" w:eastAsia="zh-CN"/>
        </w:rPr>
        <w:t>皮山</w:t>
      </w:r>
      <w:r>
        <w:rPr>
          <w:color w:val="auto"/>
        </w:rPr>
        <w:t>县污水处理厂处理。</w:t>
      </w:r>
    </w:p>
    <w:p>
      <w:pPr>
        <w:bidi w:val="0"/>
        <w:rPr>
          <w:color w:val="auto"/>
        </w:rPr>
      </w:pPr>
      <w:r>
        <w:rPr>
          <w:color w:val="auto"/>
        </w:rPr>
        <w:t>（3）纯水制备产生的高盐废水</w:t>
      </w:r>
    </w:p>
    <w:p>
      <w:pPr>
        <w:bidi w:val="0"/>
        <w:rPr>
          <w:color w:val="auto"/>
        </w:rPr>
      </w:pPr>
      <w:r>
        <w:rPr>
          <w:color w:val="auto"/>
        </w:rPr>
        <w:t>检验室实验仪器设备清洗时需要用纯水，项目生产用的纯水采用过滤+两级反渗透工艺制备，制备纯水所需新鲜水总量约1.0m</w:t>
      </w:r>
      <w:r>
        <w:rPr>
          <w:rFonts w:hint="eastAsia"/>
          <w:color w:val="auto"/>
          <w:vertAlign w:val="superscript"/>
          <w:lang w:val="en-US" w:eastAsia="zh-CN"/>
        </w:rPr>
        <w:t>3</w:t>
      </w:r>
      <w:r>
        <w:rPr>
          <w:color w:val="auto"/>
        </w:rPr>
        <w:t>/d，300m</w:t>
      </w:r>
      <w:r>
        <w:rPr>
          <w:rFonts w:hint="eastAsia"/>
          <w:color w:val="auto"/>
          <w:vertAlign w:val="superscript"/>
          <w:lang w:val="en-US" w:eastAsia="zh-CN"/>
        </w:rPr>
        <w:t>3</w:t>
      </w:r>
      <w:r>
        <w:rPr>
          <w:color w:val="auto"/>
        </w:rPr>
        <w:t>/a，产生的高盐废水为0.2m</w:t>
      </w:r>
      <w:r>
        <w:rPr>
          <w:rFonts w:hint="eastAsia"/>
          <w:color w:val="auto"/>
          <w:vertAlign w:val="superscript"/>
          <w:lang w:val="en-US" w:eastAsia="zh-CN"/>
        </w:rPr>
        <w:t>3</w:t>
      </w:r>
      <w:r>
        <w:rPr>
          <w:color w:val="auto"/>
        </w:rPr>
        <w:t>/d，其污染因子为Ca</w:t>
      </w:r>
      <w:r>
        <w:rPr>
          <w:color w:val="auto"/>
          <w:vertAlign w:val="superscript"/>
        </w:rPr>
        <w:t>2+</w:t>
      </w:r>
      <w:r>
        <w:rPr>
          <w:color w:val="auto"/>
        </w:rPr>
        <w:t>、Mg</w:t>
      </w:r>
      <w:r>
        <w:rPr>
          <w:color w:val="auto"/>
          <w:vertAlign w:val="superscript"/>
        </w:rPr>
        <w:t>2+</w:t>
      </w:r>
      <w:r>
        <w:rPr>
          <w:color w:val="auto"/>
        </w:rPr>
        <w:t>，水质为CODcr40mg/L、SS4mg/L，属清净下水，直接进入市政下水管网。</w:t>
      </w:r>
    </w:p>
    <w:p>
      <w:pPr>
        <w:pStyle w:val="22"/>
        <w:bidi w:val="0"/>
        <w:rPr>
          <w:b/>
          <w:bCs/>
          <w:color w:val="auto"/>
        </w:rPr>
      </w:pPr>
      <w:r>
        <w:rPr>
          <w:b/>
          <w:bCs/>
          <w:color w:val="auto"/>
        </w:rPr>
        <w:t>表3.</w:t>
      </w:r>
      <w:r>
        <w:rPr>
          <w:rFonts w:hint="eastAsia"/>
          <w:b/>
          <w:bCs/>
          <w:color w:val="auto"/>
          <w:lang w:val="en-US" w:eastAsia="zh-CN"/>
        </w:rPr>
        <w:t>5</w:t>
      </w:r>
      <w:r>
        <w:rPr>
          <w:b/>
          <w:bCs/>
          <w:color w:val="auto"/>
        </w:rPr>
        <w:t>-</w:t>
      </w:r>
      <w:r>
        <w:rPr>
          <w:rFonts w:hint="eastAsia"/>
          <w:b/>
          <w:bCs/>
          <w:color w:val="auto"/>
          <w:lang w:val="en-US" w:eastAsia="zh-CN"/>
        </w:rPr>
        <w:t>3</w:t>
      </w:r>
      <w:r>
        <w:rPr>
          <w:b/>
          <w:bCs/>
          <w:color w:val="auto"/>
        </w:rPr>
        <w:t>营运期纯水制备废水产、排情况一览表</w:t>
      </w:r>
      <w:r>
        <w:rPr>
          <w:rFonts w:hint="eastAsia"/>
          <w:b/>
          <w:bCs/>
          <w:color w:val="auto"/>
          <w:lang w:val="en-US" w:eastAsia="zh-CN"/>
        </w:rPr>
        <w:t>单位：</w:t>
      </w:r>
      <w:r>
        <w:rPr>
          <w:b/>
          <w:bCs/>
          <w:color w:val="auto"/>
        </w:rPr>
        <w:t>m³/a</w:t>
      </w:r>
    </w:p>
    <w:tbl>
      <w:tblPr>
        <w:tblStyle w:val="23"/>
        <w:tblW w:w="831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662"/>
        <w:gridCol w:w="1663"/>
        <w:gridCol w:w="1661"/>
        <w:gridCol w:w="1663"/>
        <w:gridCol w:w="166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jc w:val="center"/>
        </w:trPr>
        <w:tc>
          <w:tcPr>
            <w:tcW w:w="1662" w:type="dxa"/>
            <w:tcBorders>
              <w:tl2br w:val="nil"/>
              <w:tr2bl w:val="nil"/>
            </w:tcBorders>
            <w:vAlign w:val="center"/>
          </w:tcPr>
          <w:p>
            <w:pPr>
              <w:pStyle w:val="22"/>
              <w:bidi w:val="0"/>
              <w:jc w:val="center"/>
              <w:rPr>
                <w:b/>
                <w:bCs/>
                <w:color w:val="auto"/>
              </w:rPr>
            </w:pPr>
            <w:r>
              <w:rPr>
                <w:b/>
                <w:bCs/>
                <w:color w:val="auto"/>
              </w:rPr>
              <w:t>污染物</w:t>
            </w:r>
          </w:p>
        </w:tc>
        <w:tc>
          <w:tcPr>
            <w:tcW w:w="1663" w:type="dxa"/>
            <w:tcBorders>
              <w:tl2br w:val="nil"/>
              <w:tr2bl w:val="nil"/>
            </w:tcBorders>
            <w:vAlign w:val="center"/>
          </w:tcPr>
          <w:p>
            <w:pPr>
              <w:pStyle w:val="22"/>
              <w:bidi w:val="0"/>
              <w:jc w:val="center"/>
              <w:rPr>
                <w:b/>
                <w:bCs/>
                <w:color w:val="auto"/>
              </w:rPr>
            </w:pPr>
            <w:r>
              <w:rPr>
                <w:b/>
                <w:bCs/>
                <w:color w:val="auto"/>
              </w:rPr>
              <w:t>产生浓度</w:t>
            </w:r>
          </w:p>
        </w:tc>
        <w:tc>
          <w:tcPr>
            <w:tcW w:w="1661" w:type="dxa"/>
            <w:tcBorders>
              <w:tl2br w:val="nil"/>
              <w:tr2bl w:val="nil"/>
            </w:tcBorders>
            <w:vAlign w:val="center"/>
          </w:tcPr>
          <w:p>
            <w:pPr>
              <w:pStyle w:val="22"/>
              <w:bidi w:val="0"/>
              <w:jc w:val="center"/>
              <w:rPr>
                <w:b/>
                <w:bCs/>
                <w:color w:val="auto"/>
              </w:rPr>
            </w:pPr>
            <w:r>
              <w:rPr>
                <w:b/>
                <w:bCs/>
                <w:color w:val="auto"/>
              </w:rPr>
              <w:t>产生量</w:t>
            </w:r>
          </w:p>
        </w:tc>
        <w:tc>
          <w:tcPr>
            <w:tcW w:w="1663" w:type="dxa"/>
            <w:tcBorders>
              <w:tl2br w:val="nil"/>
              <w:tr2bl w:val="nil"/>
            </w:tcBorders>
            <w:vAlign w:val="center"/>
          </w:tcPr>
          <w:p>
            <w:pPr>
              <w:pStyle w:val="22"/>
              <w:bidi w:val="0"/>
              <w:jc w:val="center"/>
              <w:rPr>
                <w:b/>
                <w:bCs/>
                <w:color w:val="auto"/>
              </w:rPr>
            </w:pPr>
            <w:r>
              <w:rPr>
                <w:b/>
                <w:bCs/>
                <w:color w:val="auto"/>
              </w:rPr>
              <w:t>排放浓度</w:t>
            </w:r>
          </w:p>
        </w:tc>
        <w:tc>
          <w:tcPr>
            <w:tcW w:w="1663" w:type="dxa"/>
            <w:tcBorders>
              <w:tl2br w:val="nil"/>
              <w:tr2bl w:val="nil"/>
            </w:tcBorders>
            <w:vAlign w:val="center"/>
          </w:tcPr>
          <w:p>
            <w:pPr>
              <w:pStyle w:val="22"/>
              <w:bidi w:val="0"/>
              <w:jc w:val="center"/>
              <w:rPr>
                <w:b/>
                <w:bCs/>
                <w:color w:val="auto"/>
              </w:rPr>
            </w:pPr>
            <w:r>
              <w:rPr>
                <w:b/>
                <w:bCs/>
                <w:color w:val="auto"/>
              </w:rPr>
              <w:t>排放量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1662" w:type="dxa"/>
            <w:tcBorders>
              <w:tl2br w:val="nil"/>
              <w:tr2bl w:val="nil"/>
            </w:tcBorders>
            <w:vAlign w:val="center"/>
          </w:tcPr>
          <w:p>
            <w:pPr>
              <w:pStyle w:val="22"/>
              <w:bidi w:val="0"/>
              <w:jc w:val="center"/>
              <w:rPr>
                <w:color w:val="auto"/>
              </w:rPr>
            </w:pPr>
            <w:r>
              <w:rPr>
                <w:color w:val="auto"/>
              </w:rPr>
              <w:t>废水量</w:t>
            </w:r>
          </w:p>
        </w:tc>
        <w:tc>
          <w:tcPr>
            <w:tcW w:w="1663" w:type="dxa"/>
            <w:tcBorders>
              <w:tl2br w:val="nil"/>
              <w:tr2bl w:val="nil"/>
            </w:tcBorders>
            <w:vAlign w:val="center"/>
          </w:tcPr>
          <w:p>
            <w:pPr>
              <w:pStyle w:val="22"/>
              <w:bidi w:val="0"/>
              <w:jc w:val="center"/>
              <w:rPr>
                <w:color w:val="auto"/>
              </w:rPr>
            </w:pPr>
            <w:r>
              <w:rPr>
                <w:color w:val="auto"/>
              </w:rPr>
              <w:t>—</w:t>
            </w:r>
          </w:p>
        </w:tc>
        <w:tc>
          <w:tcPr>
            <w:tcW w:w="1661" w:type="dxa"/>
            <w:tcBorders>
              <w:tl2br w:val="nil"/>
              <w:tr2bl w:val="nil"/>
            </w:tcBorders>
            <w:vAlign w:val="center"/>
          </w:tcPr>
          <w:p>
            <w:pPr>
              <w:pStyle w:val="22"/>
              <w:bidi w:val="0"/>
              <w:jc w:val="center"/>
              <w:rPr>
                <w:color w:val="auto"/>
              </w:rPr>
            </w:pPr>
            <w:r>
              <w:rPr>
                <w:rFonts w:hint="eastAsia"/>
                <w:color w:val="auto"/>
                <w:lang w:val="en-US" w:eastAsia="zh-CN"/>
              </w:rPr>
              <w:t>300</w:t>
            </w:r>
          </w:p>
        </w:tc>
        <w:tc>
          <w:tcPr>
            <w:tcW w:w="1663" w:type="dxa"/>
            <w:tcBorders>
              <w:tl2br w:val="nil"/>
              <w:tr2bl w:val="nil"/>
            </w:tcBorders>
            <w:vAlign w:val="center"/>
          </w:tcPr>
          <w:p>
            <w:pPr>
              <w:pStyle w:val="22"/>
              <w:bidi w:val="0"/>
              <w:jc w:val="center"/>
              <w:rPr>
                <w:color w:val="auto"/>
              </w:rPr>
            </w:pPr>
            <w:r>
              <w:rPr>
                <w:color w:val="auto"/>
              </w:rPr>
              <w:t>—</w:t>
            </w:r>
          </w:p>
        </w:tc>
        <w:tc>
          <w:tcPr>
            <w:tcW w:w="1663" w:type="dxa"/>
            <w:tcBorders>
              <w:tl2br w:val="nil"/>
              <w:tr2bl w:val="nil"/>
            </w:tcBorders>
            <w:vAlign w:val="center"/>
          </w:tcPr>
          <w:p>
            <w:pPr>
              <w:pStyle w:val="22"/>
              <w:bidi w:val="0"/>
              <w:jc w:val="center"/>
              <w:rPr>
                <w:color w:val="auto"/>
              </w:rPr>
            </w:pPr>
            <w:r>
              <w:rPr>
                <w:rFonts w:hint="eastAsia"/>
                <w:color w:val="auto"/>
                <w:lang w:val="en-US" w:eastAsia="zh-CN"/>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jc w:val="center"/>
        </w:trPr>
        <w:tc>
          <w:tcPr>
            <w:tcW w:w="1662" w:type="dxa"/>
            <w:tcBorders>
              <w:tl2br w:val="nil"/>
              <w:tr2bl w:val="nil"/>
            </w:tcBorders>
            <w:vAlign w:val="center"/>
          </w:tcPr>
          <w:p>
            <w:pPr>
              <w:pStyle w:val="22"/>
              <w:bidi w:val="0"/>
              <w:jc w:val="center"/>
              <w:rPr>
                <w:color w:val="auto"/>
              </w:rPr>
            </w:pPr>
            <w:r>
              <w:rPr>
                <w:color w:val="auto"/>
              </w:rPr>
              <w:t>COD</w:t>
            </w:r>
            <w:r>
              <w:rPr>
                <w:color w:val="auto"/>
                <w:vertAlign w:val="subscript"/>
              </w:rPr>
              <w:t>Cr</w:t>
            </w:r>
          </w:p>
        </w:tc>
        <w:tc>
          <w:tcPr>
            <w:tcW w:w="1663" w:type="dxa"/>
            <w:tcBorders>
              <w:tl2br w:val="nil"/>
              <w:tr2bl w:val="nil"/>
            </w:tcBorders>
            <w:vAlign w:val="center"/>
          </w:tcPr>
          <w:p>
            <w:pPr>
              <w:pStyle w:val="22"/>
              <w:bidi w:val="0"/>
              <w:jc w:val="center"/>
              <w:rPr>
                <w:color w:val="auto"/>
              </w:rPr>
            </w:pPr>
            <w:r>
              <w:rPr>
                <w:color w:val="auto"/>
              </w:rPr>
              <w:t>40mg/L</w:t>
            </w:r>
          </w:p>
        </w:tc>
        <w:tc>
          <w:tcPr>
            <w:tcW w:w="1661" w:type="dxa"/>
            <w:tcBorders>
              <w:tl2br w:val="nil"/>
              <w:tr2bl w:val="nil"/>
            </w:tcBorders>
            <w:vAlign w:val="center"/>
          </w:tcPr>
          <w:p>
            <w:pPr>
              <w:pStyle w:val="22"/>
              <w:bidi w:val="0"/>
              <w:jc w:val="center"/>
              <w:rPr>
                <w:color w:val="auto"/>
              </w:rPr>
            </w:pPr>
            <w:r>
              <w:rPr>
                <w:rFonts w:hint="eastAsia"/>
                <w:color w:val="auto"/>
                <w:lang w:val="en-US" w:eastAsia="zh-CN"/>
              </w:rPr>
              <w:t>0.012</w:t>
            </w:r>
          </w:p>
        </w:tc>
        <w:tc>
          <w:tcPr>
            <w:tcW w:w="1663" w:type="dxa"/>
            <w:tcBorders>
              <w:tl2br w:val="nil"/>
              <w:tr2bl w:val="nil"/>
            </w:tcBorders>
            <w:vAlign w:val="center"/>
          </w:tcPr>
          <w:p>
            <w:pPr>
              <w:pStyle w:val="22"/>
              <w:bidi w:val="0"/>
              <w:jc w:val="center"/>
              <w:rPr>
                <w:color w:val="auto"/>
              </w:rPr>
            </w:pPr>
            <w:r>
              <w:rPr>
                <w:color w:val="auto"/>
              </w:rPr>
              <w:t>40mg/L</w:t>
            </w:r>
          </w:p>
        </w:tc>
        <w:tc>
          <w:tcPr>
            <w:tcW w:w="1663" w:type="dxa"/>
            <w:tcBorders>
              <w:tl2br w:val="nil"/>
              <w:tr2bl w:val="nil"/>
            </w:tcBorders>
            <w:vAlign w:val="center"/>
          </w:tcPr>
          <w:p>
            <w:pPr>
              <w:pStyle w:val="22"/>
              <w:bidi w:val="0"/>
              <w:jc w:val="center"/>
              <w:rPr>
                <w:color w:val="auto"/>
              </w:rPr>
            </w:pPr>
            <w:r>
              <w:rPr>
                <w:rFonts w:hint="eastAsia"/>
                <w:color w:val="auto"/>
                <w:lang w:val="en-US" w:eastAsia="zh-CN"/>
              </w:rPr>
              <w:t>0.0024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1662" w:type="dxa"/>
            <w:tcBorders>
              <w:tl2br w:val="nil"/>
              <w:tr2bl w:val="nil"/>
            </w:tcBorders>
            <w:vAlign w:val="center"/>
          </w:tcPr>
          <w:p>
            <w:pPr>
              <w:pStyle w:val="22"/>
              <w:bidi w:val="0"/>
              <w:jc w:val="center"/>
              <w:rPr>
                <w:color w:val="auto"/>
              </w:rPr>
            </w:pPr>
            <w:r>
              <w:rPr>
                <w:color w:val="auto"/>
              </w:rPr>
              <w:t>SS</w:t>
            </w:r>
          </w:p>
        </w:tc>
        <w:tc>
          <w:tcPr>
            <w:tcW w:w="1663" w:type="dxa"/>
            <w:tcBorders>
              <w:tl2br w:val="nil"/>
              <w:tr2bl w:val="nil"/>
            </w:tcBorders>
            <w:vAlign w:val="center"/>
          </w:tcPr>
          <w:p>
            <w:pPr>
              <w:pStyle w:val="22"/>
              <w:bidi w:val="0"/>
              <w:jc w:val="center"/>
              <w:rPr>
                <w:color w:val="auto"/>
              </w:rPr>
            </w:pPr>
            <w:r>
              <w:rPr>
                <w:color w:val="auto"/>
              </w:rPr>
              <w:t>4mg/L</w:t>
            </w:r>
          </w:p>
        </w:tc>
        <w:tc>
          <w:tcPr>
            <w:tcW w:w="1661" w:type="dxa"/>
            <w:tcBorders>
              <w:tl2br w:val="nil"/>
              <w:tr2bl w:val="nil"/>
            </w:tcBorders>
            <w:vAlign w:val="center"/>
          </w:tcPr>
          <w:p>
            <w:pPr>
              <w:pStyle w:val="22"/>
              <w:bidi w:val="0"/>
              <w:jc w:val="center"/>
              <w:rPr>
                <w:color w:val="auto"/>
              </w:rPr>
            </w:pPr>
            <w:r>
              <w:rPr>
                <w:rFonts w:hint="eastAsia"/>
                <w:color w:val="auto"/>
                <w:lang w:val="en-US" w:eastAsia="zh-CN"/>
              </w:rPr>
              <w:t>0.001</w:t>
            </w:r>
          </w:p>
        </w:tc>
        <w:tc>
          <w:tcPr>
            <w:tcW w:w="1663" w:type="dxa"/>
            <w:tcBorders>
              <w:tl2br w:val="nil"/>
              <w:tr2bl w:val="nil"/>
            </w:tcBorders>
            <w:vAlign w:val="center"/>
          </w:tcPr>
          <w:p>
            <w:pPr>
              <w:pStyle w:val="22"/>
              <w:bidi w:val="0"/>
              <w:jc w:val="center"/>
              <w:rPr>
                <w:color w:val="auto"/>
              </w:rPr>
            </w:pPr>
            <w:r>
              <w:rPr>
                <w:color w:val="auto"/>
              </w:rPr>
              <w:t>4mg/L</w:t>
            </w:r>
          </w:p>
        </w:tc>
        <w:tc>
          <w:tcPr>
            <w:tcW w:w="1663" w:type="dxa"/>
            <w:tcBorders>
              <w:tl2br w:val="nil"/>
              <w:tr2bl w:val="nil"/>
            </w:tcBorders>
            <w:vAlign w:val="center"/>
          </w:tcPr>
          <w:p>
            <w:pPr>
              <w:pStyle w:val="22"/>
              <w:bidi w:val="0"/>
              <w:jc w:val="center"/>
              <w:rPr>
                <w:color w:val="auto"/>
              </w:rPr>
            </w:pPr>
            <w:r>
              <w:rPr>
                <w:rFonts w:hint="eastAsia"/>
                <w:color w:val="auto"/>
                <w:lang w:val="en-US" w:eastAsia="zh-CN"/>
              </w:rPr>
              <w:t>0.0002</w:t>
            </w:r>
          </w:p>
        </w:tc>
      </w:tr>
    </w:tbl>
    <w:p>
      <w:pPr>
        <w:pStyle w:val="6"/>
        <w:bidi w:val="0"/>
        <w:outlineLvl w:val="1"/>
        <w:rPr>
          <w:color w:val="auto"/>
        </w:rPr>
      </w:pPr>
      <w:bookmarkStart w:id="71" w:name="_Toc2038"/>
      <w:r>
        <w:rPr>
          <w:color w:val="auto"/>
        </w:rPr>
        <w:t>3.</w:t>
      </w:r>
      <w:r>
        <w:rPr>
          <w:rFonts w:hint="eastAsia"/>
          <w:color w:val="auto"/>
          <w:lang w:val="en-US" w:eastAsia="zh-CN"/>
        </w:rPr>
        <w:t>5</w:t>
      </w:r>
      <w:r>
        <w:rPr>
          <w:color w:val="auto"/>
        </w:rPr>
        <w:t>.3噪声</w:t>
      </w:r>
      <w:bookmarkEnd w:id="71"/>
    </w:p>
    <w:p>
      <w:pPr>
        <w:bidi w:val="0"/>
        <w:rPr>
          <w:color w:val="auto"/>
        </w:rPr>
      </w:pPr>
      <w:r>
        <w:rPr>
          <w:color w:val="auto"/>
        </w:rPr>
        <w:t>本项目检验室设备较多且单一，分配合理。噪声源主要为通风罩风机运行时产生的噪声，其噪声源强在50-65dB（A）之间，综合噪声较小。</w:t>
      </w:r>
    </w:p>
    <w:p>
      <w:pPr>
        <w:bidi w:val="0"/>
        <w:rPr>
          <w:color w:val="auto"/>
        </w:rPr>
      </w:pPr>
      <w:r>
        <w:rPr>
          <w:color w:val="auto"/>
        </w:rPr>
        <w:t>其主要噪声设备分布如下表</w:t>
      </w:r>
    </w:p>
    <w:p>
      <w:pPr>
        <w:pStyle w:val="22"/>
        <w:bidi w:val="0"/>
        <w:rPr>
          <w:b/>
          <w:bCs/>
          <w:color w:val="auto"/>
        </w:rPr>
      </w:pPr>
      <w:r>
        <w:rPr>
          <w:b/>
          <w:bCs/>
          <w:color w:val="auto"/>
        </w:rPr>
        <w:t>表3.</w:t>
      </w:r>
      <w:r>
        <w:rPr>
          <w:rFonts w:hint="eastAsia"/>
          <w:b/>
          <w:bCs/>
          <w:color w:val="auto"/>
          <w:lang w:val="en-US" w:eastAsia="zh-CN"/>
        </w:rPr>
        <w:t>5</w:t>
      </w:r>
      <w:r>
        <w:rPr>
          <w:b/>
          <w:bCs/>
          <w:color w:val="auto"/>
        </w:rPr>
        <w:t>-</w:t>
      </w:r>
      <w:r>
        <w:rPr>
          <w:rFonts w:hint="eastAsia"/>
          <w:b/>
          <w:bCs/>
          <w:color w:val="auto"/>
          <w:lang w:val="en-US" w:eastAsia="zh-CN"/>
        </w:rPr>
        <w:t>4</w:t>
      </w:r>
      <w:r>
        <w:rPr>
          <w:b/>
          <w:bCs/>
          <w:color w:val="auto"/>
        </w:rPr>
        <w:t>运营期主要噪声源及分布情况一览表</w:t>
      </w:r>
    </w:p>
    <w:tbl>
      <w:tblPr>
        <w:tblStyle w:val="23"/>
        <w:tblW w:w="830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05"/>
        <w:gridCol w:w="1293"/>
        <w:gridCol w:w="1191"/>
        <w:gridCol w:w="813"/>
        <w:gridCol w:w="320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jc w:val="center"/>
        </w:trPr>
        <w:tc>
          <w:tcPr>
            <w:tcW w:w="1805" w:type="dxa"/>
            <w:tcBorders>
              <w:tl2br w:val="nil"/>
              <w:tr2bl w:val="nil"/>
            </w:tcBorders>
            <w:vAlign w:val="center"/>
          </w:tcPr>
          <w:p>
            <w:pPr>
              <w:pStyle w:val="22"/>
              <w:bidi w:val="0"/>
              <w:jc w:val="center"/>
              <w:rPr>
                <w:b/>
                <w:bCs/>
                <w:color w:val="auto"/>
              </w:rPr>
            </w:pPr>
            <w:r>
              <w:rPr>
                <w:b/>
                <w:bCs/>
                <w:color w:val="auto"/>
              </w:rPr>
              <w:t>设备名称</w:t>
            </w:r>
          </w:p>
        </w:tc>
        <w:tc>
          <w:tcPr>
            <w:tcW w:w="1293" w:type="dxa"/>
            <w:tcBorders>
              <w:tl2br w:val="nil"/>
              <w:tr2bl w:val="nil"/>
            </w:tcBorders>
            <w:vAlign w:val="center"/>
          </w:tcPr>
          <w:p>
            <w:pPr>
              <w:pStyle w:val="22"/>
              <w:bidi w:val="0"/>
              <w:jc w:val="center"/>
              <w:rPr>
                <w:b/>
                <w:bCs/>
                <w:color w:val="auto"/>
              </w:rPr>
            </w:pPr>
            <w:r>
              <w:rPr>
                <w:b/>
                <w:bCs/>
                <w:color w:val="auto"/>
              </w:rPr>
              <w:t>噪声源强</w:t>
            </w:r>
          </w:p>
        </w:tc>
        <w:tc>
          <w:tcPr>
            <w:tcW w:w="1191" w:type="dxa"/>
            <w:tcBorders>
              <w:tl2br w:val="nil"/>
              <w:tr2bl w:val="nil"/>
            </w:tcBorders>
            <w:vAlign w:val="center"/>
          </w:tcPr>
          <w:p>
            <w:pPr>
              <w:pStyle w:val="22"/>
              <w:bidi w:val="0"/>
              <w:jc w:val="center"/>
              <w:rPr>
                <w:b/>
                <w:bCs/>
                <w:color w:val="auto"/>
              </w:rPr>
            </w:pPr>
            <w:r>
              <w:rPr>
                <w:b/>
                <w:bCs/>
                <w:color w:val="auto"/>
              </w:rPr>
              <w:t>数量</w:t>
            </w:r>
          </w:p>
        </w:tc>
        <w:tc>
          <w:tcPr>
            <w:tcW w:w="813" w:type="dxa"/>
            <w:tcBorders>
              <w:tl2br w:val="nil"/>
              <w:tr2bl w:val="nil"/>
            </w:tcBorders>
            <w:vAlign w:val="center"/>
          </w:tcPr>
          <w:p>
            <w:pPr>
              <w:pStyle w:val="22"/>
              <w:bidi w:val="0"/>
              <w:jc w:val="center"/>
              <w:rPr>
                <w:b/>
                <w:bCs/>
                <w:color w:val="auto"/>
              </w:rPr>
            </w:pPr>
            <w:r>
              <w:rPr>
                <w:b/>
                <w:bCs/>
                <w:color w:val="auto"/>
              </w:rPr>
              <w:t>单位</w:t>
            </w:r>
          </w:p>
        </w:tc>
        <w:tc>
          <w:tcPr>
            <w:tcW w:w="3203" w:type="dxa"/>
            <w:tcBorders>
              <w:tl2br w:val="nil"/>
              <w:tr2bl w:val="nil"/>
            </w:tcBorders>
            <w:vAlign w:val="center"/>
          </w:tcPr>
          <w:p>
            <w:pPr>
              <w:pStyle w:val="22"/>
              <w:bidi w:val="0"/>
              <w:jc w:val="center"/>
              <w:rPr>
                <w:b/>
                <w:bCs/>
                <w:color w:val="auto"/>
              </w:rPr>
            </w:pPr>
            <w:r>
              <w:rPr>
                <w:b/>
                <w:bCs/>
                <w:color w:val="auto"/>
              </w:rPr>
              <w:t>声源布置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 w:hRule="atLeast"/>
          <w:jc w:val="center"/>
        </w:trPr>
        <w:tc>
          <w:tcPr>
            <w:tcW w:w="1805" w:type="dxa"/>
            <w:vMerge w:val="restart"/>
            <w:tcBorders>
              <w:tl2br w:val="nil"/>
              <w:tr2bl w:val="nil"/>
            </w:tcBorders>
            <w:vAlign w:val="center"/>
          </w:tcPr>
          <w:p>
            <w:pPr>
              <w:pStyle w:val="22"/>
              <w:bidi w:val="0"/>
              <w:jc w:val="center"/>
              <w:rPr>
                <w:color w:val="auto"/>
              </w:rPr>
            </w:pPr>
            <w:r>
              <w:rPr>
                <w:color w:val="auto"/>
              </w:rPr>
              <w:t>风机</w:t>
            </w:r>
          </w:p>
        </w:tc>
        <w:tc>
          <w:tcPr>
            <w:tcW w:w="1293" w:type="dxa"/>
            <w:vMerge w:val="restart"/>
            <w:tcBorders>
              <w:tl2br w:val="nil"/>
              <w:tr2bl w:val="nil"/>
            </w:tcBorders>
            <w:vAlign w:val="center"/>
          </w:tcPr>
          <w:p>
            <w:pPr>
              <w:pStyle w:val="22"/>
              <w:bidi w:val="0"/>
              <w:jc w:val="center"/>
              <w:rPr>
                <w:color w:val="auto"/>
              </w:rPr>
            </w:pPr>
            <w:r>
              <w:rPr>
                <w:color w:val="auto"/>
              </w:rPr>
              <w:t>50-65dB（A）</w:t>
            </w:r>
          </w:p>
        </w:tc>
        <w:tc>
          <w:tcPr>
            <w:tcW w:w="1191" w:type="dxa"/>
            <w:vMerge w:val="restart"/>
            <w:tcBorders>
              <w:tl2br w:val="nil"/>
              <w:tr2bl w:val="nil"/>
            </w:tcBorders>
            <w:vAlign w:val="center"/>
          </w:tcPr>
          <w:p>
            <w:pPr>
              <w:pStyle w:val="22"/>
              <w:bidi w:val="0"/>
              <w:jc w:val="center"/>
              <w:rPr>
                <w:color w:val="auto"/>
              </w:rPr>
            </w:pPr>
            <w:r>
              <w:rPr>
                <w:color w:val="auto"/>
              </w:rPr>
              <w:t>台</w:t>
            </w:r>
          </w:p>
        </w:tc>
        <w:tc>
          <w:tcPr>
            <w:tcW w:w="813" w:type="dxa"/>
            <w:tcBorders>
              <w:tl2br w:val="nil"/>
              <w:tr2bl w:val="nil"/>
            </w:tcBorders>
            <w:vAlign w:val="center"/>
          </w:tcPr>
          <w:p>
            <w:pPr>
              <w:pStyle w:val="22"/>
              <w:bidi w:val="0"/>
              <w:jc w:val="center"/>
              <w:rPr>
                <w:color w:val="auto"/>
              </w:rPr>
            </w:pPr>
            <w:r>
              <w:rPr>
                <w:color w:val="auto"/>
              </w:rPr>
              <w:t>1</w:t>
            </w:r>
          </w:p>
        </w:tc>
        <w:tc>
          <w:tcPr>
            <w:tcW w:w="3203" w:type="dxa"/>
            <w:tcBorders>
              <w:tl2br w:val="nil"/>
              <w:tr2bl w:val="nil"/>
            </w:tcBorders>
            <w:vAlign w:val="center"/>
          </w:tcPr>
          <w:p>
            <w:pPr>
              <w:pStyle w:val="22"/>
              <w:bidi w:val="0"/>
              <w:jc w:val="center"/>
              <w:rPr>
                <w:color w:val="auto"/>
              </w:rPr>
            </w:pPr>
            <w:r>
              <w:rPr>
                <w:color w:val="auto"/>
              </w:rPr>
              <w:t>微生物实验室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 w:hRule="atLeast"/>
          <w:jc w:val="center"/>
        </w:trPr>
        <w:tc>
          <w:tcPr>
            <w:tcW w:w="1805" w:type="dxa"/>
            <w:vMerge w:val="continue"/>
            <w:tcBorders>
              <w:tl2br w:val="nil"/>
              <w:tr2bl w:val="nil"/>
            </w:tcBorders>
            <w:vAlign w:val="center"/>
          </w:tcPr>
          <w:p>
            <w:pPr>
              <w:pStyle w:val="22"/>
              <w:bidi w:val="0"/>
              <w:jc w:val="center"/>
              <w:rPr>
                <w:color w:val="auto"/>
              </w:rPr>
            </w:pPr>
          </w:p>
        </w:tc>
        <w:tc>
          <w:tcPr>
            <w:tcW w:w="1293" w:type="dxa"/>
            <w:vMerge w:val="continue"/>
            <w:tcBorders>
              <w:tl2br w:val="nil"/>
              <w:tr2bl w:val="nil"/>
            </w:tcBorders>
            <w:vAlign w:val="center"/>
          </w:tcPr>
          <w:p>
            <w:pPr>
              <w:pStyle w:val="22"/>
              <w:bidi w:val="0"/>
              <w:jc w:val="center"/>
              <w:rPr>
                <w:color w:val="auto"/>
              </w:rPr>
            </w:pPr>
          </w:p>
        </w:tc>
        <w:tc>
          <w:tcPr>
            <w:tcW w:w="1191" w:type="dxa"/>
            <w:vMerge w:val="continue"/>
            <w:tcBorders>
              <w:tl2br w:val="nil"/>
              <w:tr2bl w:val="nil"/>
            </w:tcBorders>
            <w:vAlign w:val="center"/>
          </w:tcPr>
          <w:p>
            <w:pPr>
              <w:pStyle w:val="22"/>
              <w:bidi w:val="0"/>
              <w:jc w:val="center"/>
              <w:rPr>
                <w:color w:val="auto"/>
              </w:rPr>
            </w:pPr>
          </w:p>
        </w:tc>
        <w:tc>
          <w:tcPr>
            <w:tcW w:w="813" w:type="dxa"/>
            <w:tcBorders>
              <w:tl2br w:val="nil"/>
              <w:tr2bl w:val="nil"/>
            </w:tcBorders>
            <w:vAlign w:val="center"/>
          </w:tcPr>
          <w:p>
            <w:pPr>
              <w:pStyle w:val="22"/>
              <w:bidi w:val="0"/>
              <w:jc w:val="center"/>
              <w:rPr>
                <w:color w:val="auto"/>
              </w:rPr>
            </w:pPr>
            <w:r>
              <w:rPr>
                <w:color w:val="auto"/>
              </w:rPr>
              <w:t>3</w:t>
            </w:r>
          </w:p>
        </w:tc>
        <w:tc>
          <w:tcPr>
            <w:tcW w:w="3203" w:type="dxa"/>
            <w:tcBorders>
              <w:tl2br w:val="nil"/>
              <w:tr2bl w:val="nil"/>
            </w:tcBorders>
            <w:vAlign w:val="center"/>
          </w:tcPr>
          <w:p>
            <w:pPr>
              <w:pStyle w:val="22"/>
              <w:bidi w:val="0"/>
              <w:jc w:val="center"/>
              <w:rPr>
                <w:color w:val="auto"/>
              </w:rPr>
            </w:pPr>
            <w:r>
              <w:rPr>
                <w:color w:val="auto"/>
              </w:rPr>
              <w:t>理化实验室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jc w:val="center"/>
        </w:trPr>
        <w:tc>
          <w:tcPr>
            <w:tcW w:w="1805" w:type="dxa"/>
            <w:tcBorders>
              <w:tl2br w:val="nil"/>
              <w:tr2bl w:val="nil"/>
            </w:tcBorders>
            <w:vAlign w:val="center"/>
          </w:tcPr>
          <w:p>
            <w:pPr>
              <w:pStyle w:val="22"/>
              <w:bidi w:val="0"/>
              <w:jc w:val="center"/>
              <w:rPr>
                <w:color w:val="auto"/>
              </w:rPr>
            </w:pPr>
            <w:r>
              <w:rPr>
                <w:color w:val="auto"/>
              </w:rPr>
              <w:t>水泵</w:t>
            </w:r>
          </w:p>
        </w:tc>
        <w:tc>
          <w:tcPr>
            <w:tcW w:w="1293" w:type="dxa"/>
            <w:tcBorders>
              <w:tl2br w:val="nil"/>
              <w:tr2bl w:val="nil"/>
            </w:tcBorders>
            <w:vAlign w:val="center"/>
          </w:tcPr>
          <w:p>
            <w:pPr>
              <w:pStyle w:val="22"/>
              <w:bidi w:val="0"/>
              <w:jc w:val="center"/>
              <w:rPr>
                <w:color w:val="auto"/>
              </w:rPr>
            </w:pPr>
            <w:r>
              <w:rPr>
                <w:color w:val="auto"/>
              </w:rPr>
              <w:t>50-65dB（A）</w:t>
            </w:r>
          </w:p>
        </w:tc>
        <w:tc>
          <w:tcPr>
            <w:tcW w:w="1191" w:type="dxa"/>
            <w:tcBorders>
              <w:tl2br w:val="nil"/>
              <w:tr2bl w:val="nil"/>
            </w:tcBorders>
            <w:vAlign w:val="center"/>
          </w:tcPr>
          <w:p>
            <w:pPr>
              <w:pStyle w:val="22"/>
              <w:bidi w:val="0"/>
              <w:jc w:val="center"/>
              <w:rPr>
                <w:color w:val="auto"/>
              </w:rPr>
            </w:pPr>
            <w:r>
              <w:rPr>
                <w:color w:val="auto"/>
              </w:rPr>
              <w:t>台</w:t>
            </w:r>
          </w:p>
        </w:tc>
        <w:tc>
          <w:tcPr>
            <w:tcW w:w="813" w:type="dxa"/>
            <w:tcBorders>
              <w:tl2br w:val="nil"/>
              <w:tr2bl w:val="nil"/>
            </w:tcBorders>
            <w:vAlign w:val="center"/>
          </w:tcPr>
          <w:p>
            <w:pPr>
              <w:pStyle w:val="22"/>
              <w:bidi w:val="0"/>
              <w:jc w:val="center"/>
              <w:rPr>
                <w:color w:val="auto"/>
              </w:rPr>
            </w:pPr>
            <w:r>
              <w:rPr>
                <w:color w:val="auto"/>
              </w:rPr>
              <w:t>1</w:t>
            </w:r>
          </w:p>
        </w:tc>
        <w:tc>
          <w:tcPr>
            <w:tcW w:w="3203" w:type="dxa"/>
            <w:tcBorders>
              <w:tl2br w:val="nil"/>
              <w:tr2bl w:val="nil"/>
            </w:tcBorders>
            <w:vAlign w:val="center"/>
          </w:tcPr>
          <w:p>
            <w:pPr>
              <w:pStyle w:val="22"/>
              <w:bidi w:val="0"/>
              <w:jc w:val="center"/>
              <w:rPr>
                <w:color w:val="auto"/>
              </w:rPr>
            </w:pPr>
            <w:r>
              <w:rPr>
                <w:color w:val="auto"/>
              </w:rPr>
              <w:t>一层泵房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1805" w:type="dxa"/>
            <w:tcBorders>
              <w:tl2br w:val="nil"/>
              <w:tr2bl w:val="nil"/>
            </w:tcBorders>
            <w:vAlign w:val="center"/>
          </w:tcPr>
          <w:p>
            <w:pPr>
              <w:pStyle w:val="22"/>
              <w:bidi w:val="0"/>
              <w:jc w:val="center"/>
              <w:rPr>
                <w:color w:val="auto"/>
              </w:rPr>
            </w:pPr>
            <w:r>
              <w:rPr>
                <w:color w:val="auto"/>
              </w:rPr>
              <w:t>空调</w:t>
            </w:r>
          </w:p>
        </w:tc>
        <w:tc>
          <w:tcPr>
            <w:tcW w:w="1293" w:type="dxa"/>
            <w:tcBorders>
              <w:tl2br w:val="nil"/>
              <w:tr2bl w:val="nil"/>
            </w:tcBorders>
            <w:vAlign w:val="center"/>
          </w:tcPr>
          <w:p>
            <w:pPr>
              <w:pStyle w:val="22"/>
              <w:bidi w:val="0"/>
              <w:jc w:val="center"/>
              <w:rPr>
                <w:color w:val="auto"/>
              </w:rPr>
            </w:pPr>
            <w:r>
              <w:rPr>
                <w:color w:val="auto"/>
              </w:rPr>
              <w:t>50-65dB（A）</w:t>
            </w:r>
          </w:p>
        </w:tc>
        <w:tc>
          <w:tcPr>
            <w:tcW w:w="1191" w:type="dxa"/>
            <w:tcBorders>
              <w:tl2br w:val="nil"/>
              <w:tr2bl w:val="nil"/>
            </w:tcBorders>
            <w:vAlign w:val="center"/>
          </w:tcPr>
          <w:p>
            <w:pPr>
              <w:pStyle w:val="22"/>
              <w:bidi w:val="0"/>
              <w:jc w:val="center"/>
              <w:rPr>
                <w:color w:val="auto"/>
              </w:rPr>
            </w:pPr>
            <w:r>
              <w:rPr>
                <w:color w:val="auto"/>
              </w:rPr>
              <w:t>台</w:t>
            </w:r>
          </w:p>
        </w:tc>
        <w:tc>
          <w:tcPr>
            <w:tcW w:w="813" w:type="dxa"/>
            <w:tcBorders>
              <w:tl2br w:val="nil"/>
              <w:tr2bl w:val="nil"/>
            </w:tcBorders>
            <w:vAlign w:val="center"/>
          </w:tcPr>
          <w:p>
            <w:pPr>
              <w:pStyle w:val="22"/>
              <w:bidi w:val="0"/>
              <w:jc w:val="center"/>
              <w:rPr>
                <w:color w:val="auto"/>
              </w:rPr>
            </w:pPr>
            <w:r>
              <w:rPr>
                <w:color w:val="auto"/>
              </w:rPr>
              <w:t>若干</w:t>
            </w:r>
          </w:p>
        </w:tc>
        <w:tc>
          <w:tcPr>
            <w:tcW w:w="3203" w:type="dxa"/>
            <w:tcBorders>
              <w:tl2br w:val="nil"/>
              <w:tr2bl w:val="nil"/>
            </w:tcBorders>
            <w:vAlign w:val="center"/>
          </w:tcPr>
          <w:p>
            <w:pPr>
              <w:pStyle w:val="22"/>
              <w:bidi w:val="0"/>
              <w:jc w:val="center"/>
              <w:rPr>
                <w:color w:val="auto"/>
              </w:rPr>
            </w:pPr>
            <w:r>
              <w:rPr>
                <w:color w:val="auto"/>
              </w:rPr>
              <w:t>各办公室内</w:t>
            </w:r>
          </w:p>
        </w:tc>
      </w:tr>
    </w:tbl>
    <w:p>
      <w:pPr>
        <w:pStyle w:val="6"/>
        <w:bidi w:val="0"/>
        <w:outlineLvl w:val="1"/>
        <w:rPr>
          <w:color w:val="auto"/>
        </w:rPr>
      </w:pPr>
      <w:bookmarkStart w:id="72" w:name="_Toc16108"/>
      <w:r>
        <w:rPr>
          <w:color w:val="auto"/>
        </w:rPr>
        <w:t>3.</w:t>
      </w:r>
      <w:r>
        <w:rPr>
          <w:rFonts w:hint="eastAsia"/>
          <w:color w:val="auto"/>
          <w:lang w:val="en-US" w:eastAsia="zh-CN"/>
        </w:rPr>
        <w:t>5</w:t>
      </w:r>
      <w:r>
        <w:rPr>
          <w:color w:val="auto"/>
        </w:rPr>
        <w:t>.4固体废物污染源分析</w:t>
      </w:r>
      <w:bookmarkEnd w:id="72"/>
    </w:p>
    <w:p>
      <w:pPr>
        <w:bidi w:val="0"/>
        <w:rPr>
          <w:color w:val="auto"/>
        </w:rPr>
      </w:pPr>
      <w:r>
        <w:rPr>
          <w:color w:val="auto"/>
        </w:rPr>
        <w:t>本项目固体废物主要包括生活垃圾、过滤器滤芯、医疗垃圾、实验废液及过期化学药品及试剂、废活性炭、废离子交换树脂、污水站污泥。</w:t>
      </w:r>
    </w:p>
    <w:p>
      <w:pPr>
        <w:bidi w:val="0"/>
        <w:rPr>
          <w:color w:val="auto"/>
        </w:rPr>
      </w:pPr>
      <w:r>
        <w:rPr>
          <w:color w:val="auto"/>
        </w:rPr>
        <w:t>（1）生活垃圾</w:t>
      </w:r>
    </w:p>
    <w:p>
      <w:pPr>
        <w:bidi w:val="0"/>
        <w:rPr>
          <w:color w:val="auto"/>
        </w:rPr>
      </w:pPr>
      <w:r>
        <w:rPr>
          <w:color w:val="auto"/>
        </w:rPr>
        <w:t>本项目劳动定员共计</w:t>
      </w:r>
      <w:r>
        <w:rPr>
          <w:rFonts w:hint="eastAsia"/>
          <w:color w:val="auto"/>
          <w:lang w:val="en-US" w:eastAsia="zh-CN"/>
        </w:rPr>
        <w:t>50</w:t>
      </w:r>
      <w:r>
        <w:rPr>
          <w:color w:val="auto"/>
        </w:rPr>
        <w:t>人，按平均每人每天产生0.5kg生活垃圾计，则本项目生活垃圾总产生量为</w:t>
      </w:r>
      <w:r>
        <w:rPr>
          <w:rFonts w:hint="eastAsia"/>
          <w:color w:val="auto"/>
          <w:lang w:val="en-US" w:eastAsia="zh-CN"/>
        </w:rPr>
        <w:t>7.5</w:t>
      </w:r>
      <w:r>
        <w:rPr>
          <w:color w:val="auto"/>
        </w:rPr>
        <w:t>t/a。</w:t>
      </w:r>
    </w:p>
    <w:p>
      <w:pPr>
        <w:bidi w:val="0"/>
        <w:rPr>
          <w:color w:val="auto"/>
        </w:rPr>
      </w:pPr>
      <w:r>
        <w:rPr>
          <w:color w:val="auto"/>
        </w:rPr>
        <w:t>（</w:t>
      </w:r>
      <w:r>
        <w:rPr>
          <w:rFonts w:hint="eastAsia"/>
          <w:color w:val="auto"/>
          <w:lang w:val="en-US" w:eastAsia="zh-CN"/>
        </w:rPr>
        <w:t>2</w:t>
      </w:r>
      <w:r>
        <w:rPr>
          <w:color w:val="auto"/>
        </w:rPr>
        <w:t>）医疗垃圾</w:t>
      </w:r>
    </w:p>
    <w:p>
      <w:pPr>
        <w:bidi w:val="0"/>
        <w:rPr>
          <w:color w:val="auto"/>
        </w:rPr>
      </w:pPr>
      <w:r>
        <w:rPr>
          <w:color w:val="auto"/>
        </w:rPr>
        <w:t>本项目产生的医疗废物按《医疗废物分类名录》主要分为</w:t>
      </w:r>
      <w:r>
        <w:rPr>
          <w:rFonts w:hint="eastAsia" w:ascii="Times New Roman" w:eastAsia="宋体"/>
          <w:color w:val="auto"/>
          <w:lang w:val="en-US" w:eastAsia="zh-CN"/>
        </w:rPr>
        <w:t>4</w:t>
      </w:r>
      <w:r>
        <w:rPr>
          <w:color w:val="auto"/>
        </w:rPr>
        <w:t>类：感染性废物、损伤性废物、药物性废物和化学性废物，废物类别为HW01，代码分别为感染性废物（8</w:t>
      </w:r>
      <w:r>
        <w:rPr>
          <w:rFonts w:hint="eastAsia"/>
          <w:color w:val="auto"/>
          <w:lang w:val="en-US" w:eastAsia="zh-CN"/>
        </w:rPr>
        <w:t>4</w:t>
      </w:r>
      <w:r>
        <w:rPr>
          <w:color w:val="auto"/>
        </w:rPr>
        <w:t>1-001-01）、损伤性废物（8</w:t>
      </w:r>
      <w:r>
        <w:rPr>
          <w:rFonts w:hint="eastAsia"/>
          <w:color w:val="auto"/>
          <w:lang w:val="en-US" w:eastAsia="zh-CN"/>
        </w:rPr>
        <w:t>4</w:t>
      </w:r>
      <w:r>
        <w:rPr>
          <w:color w:val="auto"/>
        </w:rPr>
        <w:t>1-003-01）、药物性废物（8</w:t>
      </w:r>
      <w:r>
        <w:rPr>
          <w:rFonts w:hint="eastAsia"/>
          <w:color w:val="auto"/>
          <w:lang w:val="en-US" w:eastAsia="zh-CN"/>
        </w:rPr>
        <w:t>4</w:t>
      </w:r>
      <w:r>
        <w:rPr>
          <w:color w:val="auto"/>
        </w:rPr>
        <w:t>1-004-01）和化学性废物（8</w:t>
      </w:r>
      <w:r>
        <w:rPr>
          <w:rFonts w:hint="eastAsia"/>
          <w:color w:val="auto"/>
          <w:lang w:val="en-US" w:eastAsia="zh-CN"/>
        </w:rPr>
        <w:t>4</w:t>
      </w:r>
      <w:r>
        <w:rPr>
          <w:color w:val="auto"/>
        </w:rPr>
        <w:t>1-005-01）。详见下表。</w:t>
      </w:r>
    </w:p>
    <w:p>
      <w:pPr>
        <w:pStyle w:val="22"/>
        <w:bidi w:val="0"/>
        <w:rPr>
          <w:b/>
          <w:bCs/>
          <w:color w:val="auto"/>
        </w:rPr>
      </w:pPr>
      <w:r>
        <w:rPr>
          <w:b/>
          <w:bCs/>
          <w:color w:val="auto"/>
        </w:rPr>
        <w:t>表3.</w:t>
      </w:r>
      <w:r>
        <w:rPr>
          <w:rFonts w:hint="eastAsia"/>
          <w:b/>
          <w:bCs/>
          <w:color w:val="auto"/>
          <w:lang w:val="en-US" w:eastAsia="zh-CN"/>
        </w:rPr>
        <w:t>5</w:t>
      </w:r>
      <w:r>
        <w:rPr>
          <w:b/>
          <w:bCs/>
          <w:color w:val="auto"/>
        </w:rPr>
        <w:t>-</w:t>
      </w:r>
      <w:r>
        <w:rPr>
          <w:rFonts w:hint="eastAsia"/>
          <w:b/>
          <w:bCs/>
          <w:color w:val="auto"/>
          <w:lang w:val="en-US" w:eastAsia="zh-CN"/>
        </w:rPr>
        <w:t>5</w:t>
      </w:r>
      <w:r>
        <w:rPr>
          <w:b/>
          <w:bCs/>
          <w:color w:val="auto"/>
        </w:rPr>
        <w:t>医疗废物分类目录</w:t>
      </w:r>
    </w:p>
    <w:tbl>
      <w:tblPr>
        <w:tblStyle w:val="23"/>
        <w:tblW w:w="85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1"/>
        <w:gridCol w:w="1561"/>
        <w:gridCol w:w="61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jc w:val="center"/>
        </w:trPr>
        <w:tc>
          <w:tcPr>
            <w:tcW w:w="781" w:type="dxa"/>
            <w:tcBorders>
              <w:tl2br w:val="nil"/>
              <w:tr2bl w:val="nil"/>
            </w:tcBorders>
            <w:vAlign w:val="center"/>
          </w:tcPr>
          <w:p>
            <w:pPr>
              <w:pStyle w:val="22"/>
              <w:bidi w:val="0"/>
              <w:jc w:val="center"/>
              <w:rPr>
                <w:b/>
                <w:bCs/>
                <w:color w:val="auto"/>
              </w:rPr>
            </w:pPr>
            <w:r>
              <w:rPr>
                <w:b/>
                <w:bCs/>
                <w:color w:val="auto"/>
              </w:rPr>
              <w:t>类别</w:t>
            </w:r>
          </w:p>
        </w:tc>
        <w:tc>
          <w:tcPr>
            <w:tcW w:w="1561" w:type="dxa"/>
            <w:tcBorders>
              <w:tl2br w:val="nil"/>
              <w:tr2bl w:val="nil"/>
            </w:tcBorders>
            <w:vAlign w:val="center"/>
          </w:tcPr>
          <w:p>
            <w:pPr>
              <w:pStyle w:val="22"/>
              <w:bidi w:val="0"/>
              <w:jc w:val="center"/>
              <w:rPr>
                <w:b/>
                <w:bCs/>
                <w:color w:val="auto"/>
              </w:rPr>
            </w:pPr>
            <w:r>
              <w:rPr>
                <w:b/>
                <w:bCs/>
                <w:color w:val="auto"/>
              </w:rPr>
              <w:t>特征</w:t>
            </w:r>
          </w:p>
        </w:tc>
        <w:tc>
          <w:tcPr>
            <w:tcW w:w="6179" w:type="dxa"/>
            <w:tcBorders>
              <w:tl2br w:val="nil"/>
              <w:tr2bl w:val="nil"/>
            </w:tcBorders>
            <w:vAlign w:val="center"/>
          </w:tcPr>
          <w:p>
            <w:pPr>
              <w:pStyle w:val="22"/>
              <w:bidi w:val="0"/>
              <w:jc w:val="center"/>
              <w:rPr>
                <w:b/>
                <w:bCs/>
                <w:color w:val="auto"/>
              </w:rPr>
            </w:pPr>
            <w:r>
              <w:rPr>
                <w:b/>
                <w:bCs/>
                <w:color w:val="auto"/>
              </w:rPr>
              <w:t>常见组分或者废物名称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5" w:hRule="atLeast"/>
          <w:jc w:val="center"/>
        </w:trPr>
        <w:tc>
          <w:tcPr>
            <w:tcW w:w="781" w:type="dxa"/>
            <w:vMerge w:val="restart"/>
            <w:tcBorders>
              <w:tl2br w:val="nil"/>
              <w:tr2bl w:val="nil"/>
            </w:tcBorders>
            <w:vAlign w:val="center"/>
          </w:tcPr>
          <w:p>
            <w:pPr>
              <w:pStyle w:val="22"/>
              <w:bidi w:val="0"/>
              <w:jc w:val="center"/>
              <w:rPr>
                <w:color w:val="auto"/>
              </w:rPr>
            </w:pPr>
            <w:r>
              <w:rPr>
                <w:color w:val="auto"/>
              </w:rPr>
              <w:t>感染性废物</w:t>
            </w:r>
          </w:p>
        </w:tc>
        <w:tc>
          <w:tcPr>
            <w:tcW w:w="1561" w:type="dxa"/>
            <w:vMerge w:val="restart"/>
            <w:tcBorders>
              <w:tl2br w:val="nil"/>
              <w:tr2bl w:val="nil"/>
            </w:tcBorders>
            <w:vAlign w:val="center"/>
          </w:tcPr>
          <w:p>
            <w:pPr>
              <w:pStyle w:val="22"/>
              <w:bidi w:val="0"/>
              <w:jc w:val="center"/>
              <w:rPr>
                <w:color w:val="auto"/>
              </w:rPr>
            </w:pPr>
            <w:r>
              <w:rPr>
                <w:color w:val="auto"/>
              </w:rPr>
              <w:t>携带病原微生物具有引发感染性疾病传播危险的医疗废物</w:t>
            </w:r>
          </w:p>
        </w:tc>
        <w:tc>
          <w:tcPr>
            <w:tcW w:w="6179" w:type="dxa"/>
            <w:tcBorders>
              <w:tl2br w:val="nil"/>
              <w:tr2bl w:val="nil"/>
            </w:tcBorders>
            <w:vAlign w:val="center"/>
          </w:tcPr>
          <w:p>
            <w:pPr>
              <w:pStyle w:val="22"/>
              <w:bidi w:val="0"/>
              <w:jc w:val="both"/>
              <w:rPr>
                <w:color w:val="auto"/>
              </w:rPr>
            </w:pPr>
            <w:r>
              <w:rPr>
                <w:color w:val="auto"/>
              </w:rPr>
              <w:t>1、被病人血液、体液、排泄物污染的物品，包括：</w:t>
            </w:r>
          </w:p>
          <w:p>
            <w:pPr>
              <w:pStyle w:val="22"/>
              <w:bidi w:val="0"/>
              <w:jc w:val="both"/>
              <w:rPr>
                <w:color w:val="auto"/>
              </w:rPr>
            </w:pPr>
            <w:r>
              <w:rPr>
                <w:color w:val="auto"/>
              </w:rPr>
              <w:t>①棉球、棉签、引流棉条，纱布及其他各种敷料；</w:t>
            </w:r>
          </w:p>
          <w:p>
            <w:pPr>
              <w:pStyle w:val="22"/>
              <w:bidi w:val="0"/>
              <w:jc w:val="both"/>
              <w:rPr>
                <w:color w:val="auto"/>
              </w:rPr>
            </w:pPr>
            <w:r>
              <w:rPr>
                <w:color w:val="auto"/>
              </w:rPr>
              <w:t>②一次性使用卫生用品、医疗用品及医疗器械；</w:t>
            </w:r>
          </w:p>
          <w:p>
            <w:pPr>
              <w:pStyle w:val="22"/>
              <w:bidi w:val="0"/>
              <w:jc w:val="both"/>
              <w:rPr>
                <w:color w:val="auto"/>
              </w:rPr>
            </w:pPr>
            <w:r>
              <w:rPr>
                <w:color w:val="auto"/>
              </w:rPr>
              <w:t>③废弃的被服；</w:t>
            </w:r>
          </w:p>
          <w:p>
            <w:pPr>
              <w:pStyle w:val="22"/>
              <w:bidi w:val="0"/>
              <w:jc w:val="both"/>
              <w:rPr>
                <w:color w:val="auto"/>
              </w:rPr>
            </w:pPr>
            <w:r>
              <w:rPr>
                <w:color w:val="auto"/>
              </w:rPr>
              <w:t>④其他被病人血液、体液、排泄物污染的物品。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781" w:type="dxa"/>
            <w:vMerge w:val="continue"/>
            <w:tcBorders>
              <w:tl2br w:val="nil"/>
              <w:tr2bl w:val="nil"/>
            </w:tcBorders>
            <w:vAlign w:val="center"/>
          </w:tcPr>
          <w:p>
            <w:pPr>
              <w:pStyle w:val="22"/>
              <w:bidi w:val="0"/>
              <w:jc w:val="both"/>
              <w:rPr>
                <w:color w:val="auto"/>
              </w:rPr>
            </w:pPr>
          </w:p>
        </w:tc>
        <w:tc>
          <w:tcPr>
            <w:tcW w:w="1561" w:type="dxa"/>
            <w:vMerge w:val="continue"/>
            <w:tcBorders>
              <w:tl2br w:val="nil"/>
              <w:tr2bl w:val="nil"/>
            </w:tcBorders>
            <w:vAlign w:val="center"/>
          </w:tcPr>
          <w:p>
            <w:pPr>
              <w:pStyle w:val="22"/>
              <w:bidi w:val="0"/>
              <w:jc w:val="both"/>
              <w:rPr>
                <w:color w:val="auto"/>
              </w:rPr>
            </w:pPr>
          </w:p>
        </w:tc>
        <w:tc>
          <w:tcPr>
            <w:tcW w:w="6179" w:type="dxa"/>
            <w:tcBorders>
              <w:tl2br w:val="nil"/>
              <w:tr2bl w:val="nil"/>
            </w:tcBorders>
            <w:vAlign w:val="center"/>
          </w:tcPr>
          <w:p>
            <w:pPr>
              <w:pStyle w:val="22"/>
              <w:bidi w:val="0"/>
              <w:jc w:val="both"/>
              <w:rPr>
                <w:color w:val="auto"/>
              </w:rPr>
            </w:pPr>
            <w:r>
              <w:rPr>
                <w:color w:val="auto"/>
              </w:rPr>
              <w:t>2、病原体的培养基、标本和菌种、毒种保存液。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81" w:type="dxa"/>
            <w:vMerge w:val="continue"/>
            <w:tcBorders>
              <w:tl2br w:val="nil"/>
              <w:tr2bl w:val="nil"/>
            </w:tcBorders>
            <w:vAlign w:val="center"/>
          </w:tcPr>
          <w:p>
            <w:pPr>
              <w:pStyle w:val="22"/>
              <w:bidi w:val="0"/>
              <w:jc w:val="both"/>
              <w:rPr>
                <w:color w:val="auto"/>
              </w:rPr>
            </w:pPr>
          </w:p>
        </w:tc>
        <w:tc>
          <w:tcPr>
            <w:tcW w:w="1561" w:type="dxa"/>
            <w:vMerge w:val="continue"/>
            <w:tcBorders>
              <w:tl2br w:val="nil"/>
              <w:tr2bl w:val="nil"/>
            </w:tcBorders>
            <w:vAlign w:val="center"/>
          </w:tcPr>
          <w:p>
            <w:pPr>
              <w:pStyle w:val="22"/>
              <w:bidi w:val="0"/>
              <w:jc w:val="both"/>
              <w:rPr>
                <w:color w:val="auto"/>
              </w:rPr>
            </w:pPr>
          </w:p>
        </w:tc>
        <w:tc>
          <w:tcPr>
            <w:tcW w:w="6179" w:type="dxa"/>
            <w:tcBorders>
              <w:tl2br w:val="nil"/>
              <w:tr2bl w:val="nil"/>
            </w:tcBorders>
            <w:vAlign w:val="center"/>
          </w:tcPr>
          <w:p>
            <w:pPr>
              <w:pStyle w:val="22"/>
              <w:bidi w:val="0"/>
              <w:jc w:val="both"/>
              <w:rPr>
                <w:color w:val="auto"/>
              </w:rPr>
            </w:pPr>
            <w:r>
              <w:rPr>
                <w:color w:val="auto"/>
              </w:rPr>
              <w:t>3、各种废弃的医学标本。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81" w:type="dxa"/>
            <w:vMerge w:val="continue"/>
            <w:tcBorders>
              <w:tl2br w:val="nil"/>
              <w:tr2bl w:val="nil"/>
            </w:tcBorders>
            <w:vAlign w:val="center"/>
          </w:tcPr>
          <w:p>
            <w:pPr>
              <w:pStyle w:val="22"/>
              <w:bidi w:val="0"/>
              <w:jc w:val="both"/>
              <w:rPr>
                <w:color w:val="auto"/>
              </w:rPr>
            </w:pPr>
          </w:p>
        </w:tc>
        <w:tc>
          <w:tcPr>
            <w:tcW w:w="1561" w:type="dxa"/>
            <w:vMerge w:val="continue"/>
            <w:tcBorders>
              <w:tl2br w:val="nil"/>
              <w:tr2bl w:val="nil"/>
            </w:tcBorders>
            <w:vAlign w:val="center"/>
          </w:tcPr>
          <w:p>
            <w:pPr>
              <w:pStyle w:val="22"/>
              <w:bidi w:val="0"/>
              <w:jc w:val="both"/>
              <w:rPr>
                <w:color w:val="auto"/>
              </w:rPr>
            </w:pPr>
          </w:p>
        </w:tc>
        <w:tc>
          <w:tcPr>
            <w:tcW w:w="6179" w:type="dxa"/>
            <w:tcBorders>
              <w:tl2br w:val="nil"/>
              <w:tr2bl w:val="nil"/>
            </w:tcBorders>
            <w:vAlign w:val="center"/>
          </w:tcPr>
          <w:p>
            <w:pPr>
              <w:pStyle w:val="22"/>
              <w:bidi w:val="0"/>
              <w:jc w:val="both"/>
              <w:rPr>
                <w:color w:val="auto"/>
              </w:rPr>
            </w:pPr>
            <w:r>
              <w:rPr>
                <w:color w:val="auto"/>
              </w:rPr>
              <w:t>4、废弃的血液、血清。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9" w:hRule="atLeast"/>
          <w:jc w:val="center"/>
        </w:trPr>
        <w:tc>
          <w:tcPr>
            <w:tcW w:w="781" w:type="dxa"/>
            <w:vMerge w:val="continue"/>
            <w:tcBorders>
              <w:tl2br w:val="nil"/>
              <w:tr2bl w:val="nil"/>
            </w:tcBorders>
            <w:vAlign w:val="center"/>
          </w:tcPr>
          <w:p>
            <w:pPr>
              <w:pStyle w:val="22"/>
              <w:bidi w:val="0"/>
              <w:jc w:val="both"/>
              <w:rPr>
                <w:color w:val="auto"/>
              </w:rPr>
            </w:pPr>
          </w:p>
        </w:tc>
        <w:tc>
          <w:tcPr>
            <w:tcW w:w="1561" w:type="dxa"/>
            <w:vMerge w:val="continue"/>
            <w:tcBorders>
              <w:tl2br w:val="nil"/>
              <w:tr2bl w:val="nil"/>
            </w:tcBorders>
            <w:vAlign w:val="center"/>
          </w:tcPr>
          <w:p>
            <w:pPr>
              <w:pStyle w:val="22"/>
              <w:bidi w:val="0"/>
              <w:jc w:val="both"/>
              <w:rPr>
                <w:color w:val="auto"/>
              </w:rPr>
            </w:pPr>
          </w:p>
        </w:tc>
        <w:tc>
          <w:tcPr>
            <w:tcW w:w="6179" w:type="dxa"/>
            <w:tcBorders>
              <w:tl2br w:val="nil"/>
              <w:tr2bl w:val="nil"/>
            </w:tcBorders>
            <w:vAlign w:val="center"/>
          </w:tcPr>
          <w:p>
            <w:pPr>
              <w:pStyle w:val="22"/>
              <w:bidi w:val="0"/>
              <w:jc w:val="both"/>
              <w:rPr>
                <w:color w:val="auto"/>
              </w:rPr>
            </w:pPr>
            <w:r>
              <w:rPr>
                <w:color w:val="auto"/>
              </w:rPr>
              <w:t>5、使用后的一次性使用医疗用品及一次性医疗器械视为感染性废物。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81" w:type="dxa"/>
            <w:vMerge w:val="continue"/>
            <w:tcBorders>
              <w:tl2br w:val="nil"/>
              <w:tr2bl w:val="nil"/>
            </w:tcBorders>
            <w:vAlign w:val="center"/>
          </w:tcPr>
          <w:p>
            <w:pPr>
              <w:pStyle w:val="22"/>
              <w:bidi w:val="0"/>
              <w:jc w:val="both"/>
              <w:rPr>
                <w:color w:val="auto"/>
              </w:rPr>
            </w:pPr>
          </w:p>
        </w:tc>
        <w:tc>
          <w:tcPr>
            <w:tcW w:w="1561" w:type="dxa"/>
            <w:vMerge w:val="continue"/>
            <w:tcBorders>
              <w:tl2br w:val="nil"/>
              <w:tr2bl w:val="nil"/>
            </w:tcBorders>
            <w:vAlign w:val="center"/>
          </w:tcPr>
          <w:p>
            <w:pPr>
              <w:pStyle w:val="22"/>
              <w:bidi w:val="0"/>
              <w:jc w:val="both"/>
              <w:rPr>
                <w:color w:val="auto"/>
              </w:rPr>
            </w:pPr>
          </w:p>
        </w:tc>
        <w:tc>
          <w:tcPr>
            <w:tcW w:w="6179" w:type="dxa"/>
            <w:tcBorders>
              <w:tl2br w:val="nil"/>
              <w:tr2bl w:val="nil"/>
            </w:tcBorders>
            <w:vAlign w:val="center"/>
          </w:tcPr>
          <w:p>
            <w:pPr>
              <w:pStyle w:val="22"/>
              <w:bidi w:val="0"/>
              <w:jc w:val="both"/>
              <w:rPr>
                <w:color w:val="auto"/>
              </w:rPr>
            </w:pPr>
            <w:r>
              <w:rPr>
                <w:color w:val="auto"/>
              </w:rPr>
              <w:t>6、病人经负压排出脓血、痰等废物。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81" w:type="dxa"/>
            <w:vMerge w:val="restart"/>
            <w:tcBorders>
              <w:tl2br w:val="nil"/>
              <w:tr2bl w:val="nil"/>
            </w:tcBorders>
            <w:vAlign w:val="center"/>
          </w:tcPr>
          <w:p>
            <w:pPr>
              <w:pStyle w:val="22"/>
              <w:bidi w:val="0"/>
              <w:jc w:val="center"/>
              <w:rPr>
                <w:color w:val="auto"/>
              </w:rPr>
            </w:pPr>
            <w:r>
              <w:rPr>
                <w:color w:val="auto"/>
              </w:rPr>
              <w:t>损伤性废物</w:t>
            </w:r>
          </w:p>
        </w:tc>
        <w:tc>
          <w:tcPr>
            <w:tcW w:w="1561" w:type="dxa"/>
            <w:vMerge w:val="restart"/>
            <w:tcBorders>
              <w:tl2br w:val="nil"/>
              <w:tr2bl w:val="nil"/>
            </w:tcBorders>
            <w:vAlign w:val="center"/>
          </w:tcPr>
          <w:p>
            <w:pPr>
              <w:pStyle w:val="22"/>
              <w:bidi w:val="0"/>
              <w:jc w:val="center"/>
              <w:rPr>
                <w:color w:val="auto"/>
              </w:rPr>
            </w:pPr>
            <w:r>
              <w:rPr>
                <w:color w:val="auto"/>
              </w:rPr>
              <w:t>能够刺伤或者割伤人体的废弃的医用锐器</w:t>
            </w:r>
          </w:p>
        </w:tc>
        <w:tc>
          <w:tcPr>
            <w:tcW w:w="6179" w:type="dxa"/>
            <w:tcBorders>
              <w:tl2br w:val="nil"/>
              <w:tr2bl w:val="nil"/>
            </w:tcBorders>
            <w:vAlign w:val="center"/>
          </w:tcPr>
          <w:p>
            <w:pPr>
              <w:pStyle w:val="22"/>
              <w:bidi w:val="0"/>
              <w:jc w:val="both"/>
              <w:rPr>
                <w:color w:val="auto"/>
              </w:rPr>
            </w:pPr>
            <w:r>
              <w:rPr>
                <w:color w:val="auto"/>
              </w:rPr>
              <w:t>1、医用针头、缝合针。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81" w:type="dxa"/>
            <w:vMerge w:val="continue"/>
            <w:tcBorders>
              <w:tl2br w:val="nil"/>
              <w:tr2bl w:val="nil"/>
            </w:tcBorders>
            <w:vAlign w:val="center"/>
          </w:tcPr>
          <w:p>
            <w:pPr>
              <w:pStyle w:val="22"/>
              <w:bidi w:val="0"/>
              <w:jc w:val="both"/>
              <w:rPr>
                <w:color w:val="auto"/>
              </w:rPr>
            </w:pPr>
          </w:p>
        </w:tc>
        <w:tc>
          <w:tcPr>
            <w:tcW w:w="1561" w:type="dxa"/>
            <w:vMerge w:val="continue"/>
            <w:tcBorders>
              <w:tl2br w:val="nil"/>
              <w:tr2bl w:val="nil"/>
            </w:tcBorders>
            <w:vAlign w:val="center"/>
          </w:tcPr>
          <w:p>
            <w:pPr>
              <w:pStyle w:val="22"/>
              <w:bidi w:val="0"/>
              <w:jc w:val="both"/>
              <w:rPr>
                <w:color w:val="auto"/>
              </w:rPr>
            </w:pPr>
          </w:p>
        </w:tc>
        <w:tc>
          <w:tcPr>
            <w:tcW w:w="6179" w:type="dxa"/>
            <w:tcBorders>
              <w:tl2br w:val="nil"/>
              <w:tr2bl w:val="nil"/>
            </w:tcBorders>
            <w:vAlign w:val="center"/>
          </w:tcPr>
          <w:p>
            <w:pPr>
              <w:pStyle w:val="22"/>
              <w:bidi w:val="0"/>
              <w:jc w:val="both"/>
              <w:rPr>
                <w:color w:val="auto"/>
              </w:rPr>
            </w:pPr>
            <w:r>
              <w:rPr>
                <w:color w:val="auto"/>
              </w:rPr>
              <w:t>2、各类医用锐器，包括：解剖刀、手术刀、备皮刀、手术锯等。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81" w:type="dxa"/>
            <w:vMerge w:val="continue"/>
            <w:tcBorders>
              <w:tl2br w:val="nil"/>
              <w:tr2bl w:val="nil"/>
            </w:tcBorders>
            <w:vAlign w:val="center"/>
          </w:tcPr>
          <w:p>
            <w:pPr>
              <w:pStyle w:val="22"/>
              <w:bidi w:val="0"/>
              <w:jc w:val="both"/>
              <w:rPr>
                <w:color w:val="auto"/>
              </w:rPr>
            </w:pPr>
          </w:p>
        </w:tc>
        <w:tc>
          <w:tcPr>
            <w:tcW w:w="1561" w:type="dxa"/>
            <w:vMerge w:val="continue"/>
            <w:tcBorders>
              <w:tl2br w:val="nil"/>
              <w:tr2bl w:val="nil"/>
            </w:tcBorders>
            <w:vAlign w:val="center"/>
          </w:tcPr>
          <w:p>
            <w:pPr>
              <w:pStyle w:val="22"/>
              <w:bidi w:val="0"/>
              <w:jc w:val="both"/>
              <w:rPr>
                <w:color w:val="auto"/>
              </w:rPr>
            </w:pPr>
          </w:p>
        </w:tc>
        <w:tc>
          <w:tcPr>
            <w:tcW w:w="6179" w:type="dxa"/>
            <w:tcBorders>
              <w:tl2br w:val="nil"/>
              <w:tr2bl w:val="nil"/>
            </w:tcBorders>
            <w:vAlign w:val="center"/>
          </w:tcPr>
          <w:p>
            <w:pPr>
              <w:pStyle w:val="22"/>
              <w:bidi w:val="0"/>
              <w:jc w:val="both"/>
              <w:rPr>
                <w:color w:val="auto"/>
              </w:rPr>
            </w:pPr>
            <w:r>
              <w:rPr>
                <w:color w:val="auto"/>
              </w:rPr>
              <w:t>3、载玻片、玻璃试管、玻璃安瓿等。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jc w:val="center"/>
        </w:trPr>
        <w:tc>
          <w:tcPr>
            <w:tcW w:w="781" w:type="dxa"/>
            <w:vMerge w:val="restart"/>
            <w:tcBorders>
              <w:tl2br w:val="nil"/>
              <w:tr2bl w:val="nil"/>
            </w:tcBorders>
            <w:vAlign w:val="center"/>
          </w:tcPr>
          <w:p>
            <w:pPr>
              <w:pStyle w:val="22"/>
              <w:bidi w:val="0"/>
              <w:jc w:val="center"/>
              <w:rPr>
                <w:color w:val="auto"/>
              </w:rPr>
            </w:pPr>
            <w:r>
              <w:rPr>
                <w:color w:val="auto"/>
              </w:rPr>
              <w:t>药物性废物</w:t>
            </w:r>
          </w:p>
        </w:tc>
        <w:tc>
          <w:tcPr>
            <w:tcW w:w="1561" w:type="dxa"/>
            <w:vMerge w:val="restart"/>
            <w:tcBorders>
              <w:tl2br w:val="nil"/>
              <w:tr2bl w:val="nil"/>
            </w:tcBorders>
            <w:vAlign w:val="center"/>
          </w:tcPr>
          <w:p>
            <w:pPr>
              <w:pStyle w:val="22"/>
              <w:bidi w:val="0"/>
              <w:jc w:val="center"/>
              <w:rPr>
                <w:color w:val="auto"/>
              </w:rPr>
            </w:pPr>
            <w:r>
              <w:rPr>
                <w:color w:val="auto"/>
              </w:rPr>
              <w:t>过期、淘汰、变质或者被污染的废弃的药品</w:t>
            </w:r>
          </w:p>
        </w:tc>
        <w:tc>
          <w:tcPr>
            <w:tcW w:w="6179" w:type="dxa"/>
            <w:tcBorders>
              <w:tl2br w:val="nil"/>
              <w:tr2bl w:val="nil"/>
            </w:tcBorders>
            <w:vAlign w:val="center"/>
          </w:tcPr>
          <w:p>
            <w:pPr>
              <w:pStyle w:val="22"/>
              <w:bidi w:val="0"/>
              <w:jc w:val="both"/>
              <w:rPr>
                <w:color w:val="auto"/>
              </w:rPr>
            </w:pPr>
            <w:r>
              <w:rPr>
                <w:color w:val="auto"/>
              </w:rPr>
              <w:t>1、废弃的一般性药品，如：抗生素、非处方类药品等。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7" w:hRule="atLeast"/>
          <w:jc w:val="center"/>
        </w:trPr>
        <w:tc>
          <w:tcPr>
            <w:tcW w:w="781" w:type="dxa"/>
            <w:vMerge w:val="continue"/>
            <w:tcBorders>
              <w:tl2br w:val="nil"/>
              <w:tr2bl w:val="nil"/>
            </w:tcBorders>
            <w:vAlign w:val="center"/>
          </w:tcPr>
          <w:p>
            <w:pPr>
              <w:pStyle w:val="22"/>
              <w:bidi w:val="0"/>
              <w:jc w:val="both"/>
              <w:rPr>
                <w:color w:val="auto"/>
              </w:rPr>
            </w:pPr>
          </w:p>
        </w:tc>
        <w:tc>
          <w:tcPr>
            <w:tcW w:w="1561" w:type="dxa"/>
            <w:vMerge w:val="continue"/>
            <w:tcBorders>
              <w:tl2br w:val="nil"/>
              <w:tr2bl w:val="nil"/>
            </w:tcBorders>
            <w:vAlign w:val="center"/>
          </w:tcPr>
          <w:p>
            <w:pPr>
              <w:pStyle w:val="22"/>
              <w:bidi w:val="0"/>
              <w:jc w:val="both"/>
              <w:rPr>
                <w:color w:val="auto"/>
              </w:rPr>
            </w:pPr>
          </w:p>
        </w:tc>
        <w:tc>
          <w:tcPr>
            <w:tcW w:w="6179" w:type="dxa"/>
            <w:tcBorders>
              <w:tl2br w:val="nil"/>
              <w:tr2bl w:val="nil"/>
            </w:tcBorders>
            <w:vAlign w:val="center"/>
          </w:tcPr>
          <w:p>
            <w:pPr>
              <w:pStyle w:val="22"/>
              <w:bidi w:val="0"/>
              <w:jc w:val="both"/>
              <w:rPr>
                <w:color w:val="auto"/>
              </w:rPr>
            </w:pPr>
            <w:r>
              <w:rPr>
                <w:color w:val="auto"/>
              </w:rPr>
              <w:t>2、废弃的细胞毒性药物和遗传毒性药物，包括：致癌性药物，如硫唑嘌呤、苯丁酸氮芥、萘氮芥、环孢霉素、环磷酰胺、苯丙胺酸氮芥、司莫司汀、三苯氧氨、硫替派等；可疑致癌性药物，如：顺铂、丝裂霉素、阿霉素、苯巴比妥等；免疫抑制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781" w:type="dxa"/>
            <w:vMerge w:val="continue"/>
            <w:tcBorders>
              <w:tl2br w:val="nil"/>
              <w:tr2bl w:val="nil"/>
            </w:tcBorders>
            <w:vAlign w:val="center"/>
          </w:tcPr>
          <w:p>
            <w:pPr>
              <w:pStyle w:val="22"/>
              <w:bidi w:val="0"/>
              <w:jc w:val="both"/>
              <w:rPr>
                <w:color w:val="auto"/>
              </w:rPr>
            </w:pPr>
          </w:p>
        </w:tc>
        <w:tc>
          <w:tcPr>
            <w:tcW w:w="1561" w:type="dxa"/>
            <w:vMerge w:val="continue"/>
            <w:tcBorders>
              <w:tl2br w:val="nil"/>
              <w:tr2bl w:val="nil"/>
            </w:tcBorders>
            <w:vAlign w:val="center"/>
          </w:tcPr>
          <w:p>
            <w:pPr>
              <w:pStyle w:val="22"/>
              <w:bidi w:val="0"/>
              <w:jc w:val="both"/>
              <w:rPr>
                <w:color w:val="auto"/>
              </w:rPr>
            </w:pPr>
          </w:p>
        </w:tc>
        <w:tc>
          <w:tcPr>
            <w:tcW w:w="6179" w:type="dxa"/>
            <w:tcBorders>
              <w:tl2br w:val="nil"/>
              <w:tr2bl w:val="nil"/>
            </w:tcBorders>
            <w:vAlign w:val="center"/>
          </w:tcPr>
          <w:p>
            <w:pPr>
              <w:pStyle w:val="22"/>
              <w:bidi w:val="0"/>
              <w:jc w:val="both"/>
              <w:rPr>
                <w:color w:val="auto"/>
              </w:rPr>
            </w:pPr>
            <w:r>
              <w:rPr>
                <w:color w:val="auto"/>
              </w:rPr>
              <w:t>3、废弃的疫苗、血液制品等。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0" w:hRule="atLeast"/>
          <w:jc w:val="center"/>
        </w:trPr>
        <w:tc>
          <w:tcPr>
            <w:tcW w:w="781" w:type="dxa"/>
            <w:vMerge w:val="restart"/>
            <w:tcBorders>
              <w:tl2br w:val="nil"/>
              <w:tr2bl w:val="nil"/>
            </w:tcBorders>
            <w:vAlign w:val="center"/>
          </w:tcPr>
          <w:p>
            <w:pPr>
              <w:pStyle w:val="22"/>
              <w:bidi w:val="0"/>
              <w:jc w:val="center"/>
              <w:rPr>
                <w:color w:val="auto"/>
              </w:rPr>
            </w:pPr>
            <w:r>
              <w:rPr>
                <w:color w:val="auto"/>
              </w:rPr>
              <w:t>化学性废物</w:t>
            </w:r>
          </w:p>
        </w:tc>
        <w:tc>
          <w:tcPr>
            <w:tcW w:w="1561" w:type="dxa"/>
            <w:vMerge w:val="restart"/>
            <w:tcBorders>
              <w:tl2br w:val="nil"/>
              <w:tr2bl w:val="nil"/>
            </w:tcBorders>
            <w:vAlign w:val="center"/>
          </w:tcPr>
          <w:p>
            <w:pPr>
              <w:pStyle w:val="22"/>
              <w:bidi w:val="0"/>
              <w:jc w:val="center"/>
              <w:rPr>
                <w:color w:val="auto"/>
              </w:rPr>
            </w:pPr>
            <w:r>
              <w:rPr>
                <w:color w:val="auto"/>
              </w:rPr>
              <w:t>具有毒性、腐蚀性、易燃易爆性的废弃的化学物品</w:t>
            </w:r>
          </w:p>
        </w:tc>
        <w:tc>
          <w:tcPr>
            <w:tcW w:w="6179" w:type="dxa"/>
            <w:tcBorders>
              <w:tl2br w:val="nil"/>
              <w:tr2bl w:val="nil"/>
            </w:tcBorders>
            <w:vAlign w:val="center"/>
          </w:tcPr>
          <w:p>
            <w:pPr>
              <w:pStyle w:val="22"/>
              <w:bidi w:val="0"/>
              <w:jc w:val="both"/>
              <w:rPr>
                <w:color w:val="auto"/>
              </w:rPr>
            </w:pPr>
            <w:r>
              <w:rPr>
                <w:color w:val="auto"/>
              </w:rPr>
              <w:t>1、实验室废弃的化学试剂，在血液、血清、细菌和化学检查分析中常使用氰化钾、氰化钠、铁氰化钾等含氰化合物，</w:t>
            </w:r>
            <w:r>
              <w:rPr>
                <w:rFonts w:hint="eastAsia"/>
                <w:color w:val="auto"/>
                <w:lang w:eastAsia="zh-CN"/>
              </w:rPr>
              <w:t>有些</w:t>
            </w:r>
            <w:r>
              <w:rPr>
                <w:color w:val="auto"/>
              </w:rPr>
              <w:t>产生含氰废液。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4" w:hRule="atLeast"/>
          <w:jc w:val="center"/>
        </w:trPr>
        <w:tc>
          <w:tcPr>
            <w:tcW w:w="781" w:type="dxa"/>
            <w:vMerge w:val="continue"/>
            <w:tcBorders>
              <w:tl2br w:val="nil"/>
              <w:tr2bl w:val="nil"/>
            </w:tcBorders>
            <w:vAlign w:val="center"/>
          </w:tcPr>
          <w:p>
            <w:pPr>
              <w:pStyle w:val="22"/>
              <w:bidi w:val="0"/>
              <w:jc w:val="both"/>
              <w:rPr>
                <w:color w:val="auto"/>
              </w:rPr>
            </w:pPr>
          </w:p>
        </w:tc>
        <w:tc>
          <w:tcPr>
            <w:tcW w:w="1561" w:type="dxa"/>
            <w:vMerge w:val="continue"/>
            <w:tcBorders>
              <w:tl2br w:val="nil"/>
              <w:tr2bl w:val="nil"/>
            </w:tcBorders>
            <w:vAlign w:val="center"/>
          </w:tcPr>
          <w:p>
            <w:pPr>
              <w:pStyle w:val="22"/>
              <w:bidi w:val="0"/>
              <w:jc w:val="both"/>
              <w:rPr>
                <w:color w:val="auto"/>
              </w:rPr>
            </w:pPr>
          </w:p>
        </w:tc>
        <w:tc>
          <w:tcPr>
            <w:tcW w:w="6179" w:type="dxa"/>
            <w:tcBorders>
              <w:tl2br w:val="nil"/>
              <w:tr2bl w:val="nil"/>
            </w:tcBorders>
            <w:vAlign w:val="center"/>
          </w:tcPr>
          <w:p>
            <w:pPr>
              <w:pStyle w:val="22"/>
              <w:bidi w:val="0"/>
              <w:jc w:val="both"/>
              <w:rPr>
                <w:color w:val="auto"/>
              </w:rPr>
            </w:pPr>
            <w:r>
              <w:rPr>
                <w:color w:val="auto"/>
              </w:rPr>
              <w:t>2、废弃的过氧乙酸、戊二醛等化学消毒剂。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jc w:val="center"/>
        </w:trPr>
        <w:tc>
          <w:tcPr>
            <w:tcW w:w="781" w:type="dxa"/>
            <w:vMerge w:val="continue"/>
            <w:tcBorders>
              <w:tl2br w:val="nil"/>
              <w:tr2bl w:val="nil"/>
            </w:tcBorders>
            <w:vAlign w:val="center"/>
          </w:tcPr>
          <w:p>
            <w:pPr>
              <w:pStyle w:val="22"/>
              <w:bidi w:val="0"/>
              <w:jc w:val="both"/>
              <w:rPr>
                <w:color w:val="auto"/>
              </w:rPr>
            </w:pPr>
          </w:p>
        </w:tc>
        <w:tc>
          <w:tcPr>
            <w:tcW w:w="1561" w:type="dxa"/>
            <w:vMerge w:val="continue"/>
            <w:tcBorders>
              <w:tl2br w:val="nil"/>
              <w:tr2bl w:val="nil"/>
            </w:tcBorders>
            <w:vAlign w:val="center"/>
          </w:tcPr>
          <w:p>
            <w:pPr>
              <w:pStyle w:val="22"/>
              <w:bidi w:val="0"/>
              <w:jc w:val="both"/>
              <w:rPr>
                <w:color w:val="auto"/>
              </w:rPr>
            </w:pPr>
          </w:p>
        </w:tc>
        <w:tc>
          <w:tcPr>
            <w:tcW w:w="6179" w:type="dxa"/>
            <w:tcBorders>
              <w:tl2br w:val="nil"/>
              <w:tr2bl w:val="nil"/>
            </w:tcBorders>
            <w:vAlign w:val="center"/>
          </w:tcPr>
          <w:p>
            <w:pPr>
              <w:pStyle w:val="22"/>
              <w:bidi w:val="0"/>
              <w:jc w:val="both"/>
              <w:rPr>
                <w:color w:val="auto"/>
              </w:rPr>
            </w:pPr>
            <w:r>
              <w:rPr>
                <w:color w:val="auto"/>
              </w:rPr>
              <w:t>3、废弃的汞血压计、汞温度计。</w:t>
            </w:r>
          </w:p>
        </w:tc>
      </w:tr>
    </w:tbl>
    <w:p>
      <w:pPr>
        <w:bidi w:val="0"/>
        <w:rPr>
          <w:color w:val="auto"/>
        </w:rPr>
      </w:pPr>
      <w:r>
        <w:rPr>
          <w:color w:val="auto"/>
        </w:rPr>
        <w:t>项目实验室及门诊接种、体检产生的感染性废物</w:t>
      </w:r>
      <w:r>
        <w:rPr>
          <w:rFonts w:hint="eastAsia" w:eastAsia="宋体"/>
          <w:color w:val="auto"/>
          <w:lang w:eastAsia="zh-CN"/>
        </w:rPr>
        <w:t>、</w:t>
      </w:r>
      <w:r>
        <w:rPr>
          <w:color w:val="auto"/>
        </w:rPr>
        <w:t>损伤性废物、药物性废物和化学性废物，主要来自于实验过程中的生物培养残余物、废液、废检验样品、化验检查残余物、废一次性医疗用品和生物安全柜自带的高效过滤器的废滤芯。</w:t>
      </w:r>
    </w:p>
    <w:p>
      <w:pPr>
        <w:bidi w:val="0"/>
        <w:rPr>
          <w:color w:val="auto"/>
        </w:rPr>
      </w:pPr>
      <w:r>
        <w:rPr>
          <w:color w:val="auto"/>
        </w:rPr>
        <w:t>①体检</w:t>
      </w:r>
      <w:r>
        <w:rPr>
          <w:rFonts w:hint="eastAsia" w:ascii="Times New Roman" w:eastAsia="宋体"/>
          <w:color w:val="auto"/>
          <w:lang w:val="en-US" w:eastAsia="zh-CN"/>
        </w:rPr>
        <w:t>及预防接种</w:t>
      </w:r>
      <w:r>
        <w:rPr>
          <w:color w:val="auto"/>
        </w:rPr>
        <w:t>产生的医疗废物</w:t>
      </w:r>
    </w:p>
    <w:p>
      <w:pPr>
        <w:bidi w:val="0"/>
        <w:rPr>
          <w:color w:val="auto"/>
        </w:rPr>
      </w:pPr>
      <w:r>
        <w:rPr>
          <w:color w:val="auto"/>
        </w:rPr>
        <w:t>根据《第一次全国污染源普查城镇生活源产排污系数手册》，体检废物按0.05kg/人·d次计，项目日接待人次约为</w:t>
      </w:r>
      <w:r>
        <w:rPr>
          <w:rFonts w:hint="eastAsia" w:ascii="Times New Roman" w:eastAsia="宋体"/>
          <w:color w:val="auto"/>
          <w:lang w:val="en-US" w:eastAsia="zh-CN"/>
        </w:rPr>
        <w:t>50</w:t>
      </w:r>
      <w:r>
        <w:rPr>
          <w:color w:val="auto"/>
        </w:rPr>
        <w:t>人/天，项目体检时医疗废物产生量为</w:t>
      </w:r>
      <w:r>
        <w:rPr>
          <w:rFonts w:hint="eastAsia" w:ascii="Times New Roman" w:eastAsia="宋体"/>
          <w:color w:val="auto"/>
          <w:lang w:val="en-US" w:eastAsia="zh-CN"/>
        </w:rPr>
        <w:t>0.75</w:t>
      </w:r>
      <w:r>
        <w:rPr>
          <w:color w:val="auto"/>
        </w:rPr>
        <w:t>t/a。</w:t>
      </w:r>
    </w:p>
    <w:p>
      <w:pPr>
        <w:bidi w:val="0"/>
        <w:rPr>
          <w:rFonts w:hint="default" w:eastAsia="宋体"/>
          <w:color w:val="auto"/>
          <w:lang w:val="en-US" w:eastAsia="zh-CN"/>
        </w:rPr>
      </w:pPr>
      <w:r>
        <w:rPr>
          <w:color w:val="auto"/>
        </w:rPr>
        <w:t>其中，废棉签及其他各种敷料、废一次性用品、废血液、废血清等属于</w:t>
      </w:r>
      <w:r>
        <w:rPr>
          <w:rFonts w:hint="eastAsia" w:eastAsia="宋体"/>
          <w:color w:val="auto"/>
          <w:lang w:eastAsia="zh-CN"/>
        </w:rPr>
        <w:t>“</w:t>
      </w:r>
      <w:r>
        <w:rPr>
          <w:color w:val="auto"/>
        </w:rPr>
        <w:t>感染性废物（废物代码：8</w:t>
      </w:r>
      <w:r>
        <w:rPr>
          <w:rFonts w:hint="eastAsia"/>
          <w:color w:val="auto"/>
          <w:lang w:val="en-US" w:eastAsia="zh-CN"/>
        </w:rPr>
        <w:t>4</w:t>
      </w:r>
      <w:r>
        <w:rPr>
          <w:color w:val="auto"/>
        </w:rPr>
        <w:t>1-001-01）</w:t>
      </w:r>
      <w:r>
        <w:rPr>
          <w:rFonts w:hint="eastAsia" w:eastAsia="宋体"/>
          <w:color w:val="auto"/>
          <w:lang w:eastAsia="zh-CN"/>
        </w:rPr>
        <w:t>”</w:t>
      </w:r>
      <w:r>
        <w:rPr>
          <w:color w:val="auto"/>
        </w:rPr>
        <w:t>；废针头、废针具等属于</w:t>
      </w:r>
      <w:r>
        <w:rPr>
          <w:rFonts w:hint="eastAsia" w:eastAsia="宋体"/>
          <w:color w:val="auto"/>
          <w:lang w:eastAsia="zh-CN"/>
        </w:rPr>
        <w:t>“</w:t>
      </w:r>
      <w:r>
        <w:rPr>
          <w:color w:val="auto"/>
        </w:rPr>
        <w:t>损伤性废物（废物代码：8</w:t>
      </w:r>
      <w:r>
        <w:rPr>
          <w:rFonts w:hint="eastAsia"/>
          <w:color w:val="auto"/>
          <w:lang w:val="en-US" w:eastAsia="zh-CN"/>
        </w:rPr>
        <w:t>4</w:t>
      </w:r>
      <w:r>
        <w:rPr>
          <w:color w:val="auto"/>
        </w:rPr>
        <w:t>1-002-01）</w:t>
      </w:r>
      <w:r>
        <w:rPr>
          <w:rFonts w:hint="eastAsia" w:eastAsia="宋体"/>
          <w:color w:val="auto"/>
          <w:lang w:eastAsia="zh-CN"/>
        </w:rPr>
        <w:t>”</w:t>
      </w:r>
      <w:r>
        <w:rPr>
          <w:color w:val="auto"/>
        </w:rPr>
        <w:t>。</w:t>
      </w:r>
      <w:r>
        <w:rPr>
          <w:rFonts w:hint="eastAsia" w:ascii="Times New Roman" w:eastAsia="宋体"/>
          <w:color w:val="auto"/>
          <w:lang w:val="en-US" w:eastAsia="zh-CN"/>
        </w:rPr>
        <w:t>废弃的疫苗属于“药物性废物</w:t>
      </w:r>
      <w:r>
        <w:rPr>
          <w:color w:val="auto"/>
        </w:rPr>
        <w:t>（废物代码：8</w:t>
      </w:r>
      <w:r>
        <w:rPr>
          <w:rFonts w:hint="eastAsia"/>
          <w:color w:val="auto"/>
          <w:lang w:val="en-US" w:eastAsia="zh-CN"/>
        </w:rPr>
        <w:t>4</w:t>
      </w:r>
      <w:r>
        <w:rPr>
          <w:color w:val="auto"/>
        </w:rPr>
        <w:t>1-005-01）</w:t>
      </w:r>
      <w:r>
        <w:rPr>
          <w:rFonts w:hint="eastAsia" w:ascii="Times New Roman" w:eastAsia="宋体"/>
          <w:color w:val="auto"/>
          <w:lang w:val="en-US" w:eastAsia="zh-CN"/>
        </w:rPr>
        <w:t>”</w:t>
      </w:r>
    </w:p>
    <w:p>
      <w:pPr>
        <w:pStyle w:val="22"/>
        <w:bidi w:val="0"/>
        <w:rPr>
          <w:b/>
          <w:bCs/>
          <w:color w:val="auto"/>
        </w:rPr>
      </w:pPr>
      <w:r>
        <w:rPr>
          <w:b/>
          <w:bCs/>
          <w:color w:val="auto"/>
        </w:rPr>
        <w:t>表3.</w:t>
      </w:r>
      <w:r>
        <w:rPr>
          <w:rFonts w:hint="eastAsia"/>
          <w:b/>
          <w:bCs/>
          <w:color w:val="auto"/>
          <w:lang w:val="en-US" w:eastAsia="zh-CN"/>
        </w:rPr>
        <w:t>5</w:t>
      </w:r>
      <w:r>
        <w:rPr>
          <w:b/>
          <w:bCs/>
          <w:color w:val="auto"/>
        </w:rPr>
        <w:t>-</w:t>
      </w:r>
      <w:r>
        <w:rPr>
          <w:rFonts w:hint="eastAsia"/>
          <w:b/>
          <w:bCs/>
          <w:color w:val="auto"/>
          <w:lang w:val="en-US" w:eastAsia="zh-CN"/>
        </w:rPr>
        <w:t>6</w:t>
      </w:r>
      <w:r>
        <w:rPr>
          <w:b/>
          <w:bCs/>
          <w:color w:val="auto"/>
        </w:rPr>
        <w:t>体检医疗固废产生量</w:t>
      </w:r>
    </w:p>
    <w:tbl>
      <w:tblPr>
        <w:tblStyle w:val="23"/>
        <w:tblW w:w="851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81"/>
        <w:gridCol w:w="3045"/>
        <w:gridCol w:w="820"/>
        <w:gridCol w:w="2443"/>
        <w:gridCol w:w="13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jc w:val="center"/>
        </w:trPr>
        <w:tc>
          <w:tcPr>
            <w:tcW w:w="881" w:type="dxa"/>
            <w:tcBorders>
              <w:tl2br w:val="nil"/>
              <w:tr2bl w:val="nil"/>
            </w:tcBorders>
            <w:vAlign w:val="center"/>
          </w:tcPr>
          <w:p>
            <w:pPr>
              <w:pStyle w:val="22"/>
              <w:bidi w:val="0"/>
              <w:jc w:val="center"/>
              <w:rPr>
                <w:b/>
                <w:bCs/>
                <w:color w:val="auto"/>
              </w:rPr>
            </w:pPr>
            <w:r>
              <w:rPr>
                <w:b/>
                <w:bCs/>
                <w:color w:val="auto"/>
              </w:rPr>
              <w:t>污染源</w:t>
            </w:r>
          </w:p>
        </w:tc>
        <w:tc>
          <w:tcPr>
            <w:tcW w:w="3045" w:type="dxa"/>
            <w:tcBorders>
              <w:tl2br w:val="nil"/>
              <w:tr2bl w:val="nil"/>
            </w:tcBorders>
            <w:vAlign w:val="center"/>
          </w:tcPr>
          <w:p>
            <w:pPr>
              <w:pStyle w:val="22"/>
              <w:bidi w:val="0"/>
              <w:jc w:val="center"/>
              <w:rPr>
                <w:b/>
                <w:bCs/>
                <w:color w:val="auto"/>
              </w:rPr>
            </w:pPr>
            <w:r>
              <w:rPr>
                <w:b/>
                <w:bCs/>
                <w:color w:val="auto"/>
              </w:rPr>
              <w:t>成分</w:t>
            </w:r>
          </w:p>
        </w:tc>
        <w:tc>
          <w:tcPr>
            <w:tcW w:w="3263" w:type="dxa"/>
            <w:gridSpan w:val="2"/>
            <w:tcBorders>
              <w:tl2br w:val="nil"/>
              <w:tr2bl w:val="nil"/>
            </w:tcBorders>
            <w:vAlign w:val="center"/>
          </w:tcPr>
          <w:p>
            <w:pPr>
              <w:pStyle w:val="22"/>
              <w:bidi w:val="0"/>
              <w:jc w:val="center"/>
              <w:rPr>
                <w:b/>
                <w:bCs/>
                <w:color w:val="auto"/>
              </w:rPr>
            </w:pPr>
            <w:r>
              <w:rPr>
                <w:b/>
                <w:bCs/>
                <w:color w:val="auto"/>
              </w:rPr>
              <w:t>类别</w:t>
            </w:r>
          </w:p>
        </w:tc>
        <w:tc>
          <w:tcPr>
            <w:tcW w:w="1327" w:type="dxa"/>
            <w:tcBorders>
              <w:tl2br w:val="nil"/>
              <w:tr2bl w:val="nil"/>
            </w:tcBorders>
            <w:vAlign w:val="center"/>
          </w:tcPr>
          <w:p>
            <w:pPr>
              <w:pStyle w:val="22"/>
              <w:bidi w:val="0"/>
              <w:jc w:val="center"/>
              <w:rPr>
                <w:b/>
                <w:bCs/>
                <w:color w:val="auto"/>
              </w:rPr>
            </w:pPr>
            <w:r>
              <w:rPr>
                <w:b/>
                <w:bCs/>
                <w:color w:val="auto"/>
              </w:rPr>
              <w:t>产生量t/a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881" w:type="dxa"/>
            <w:vMerge w:val="restart"/>
            <w:tcBorders>
              <w:tl2br w:val="nil"/>
              <w:tr2bl w:val="nil"/>
            </w:tcBorders>
            <w:vAlign w:val="center"/>
          </w:tcPr>
          <w:p>
            <w:pPr>
              <w:pStyle w:val="22"/>
              <w:bidi w:val="0"/>
              <w:jc w:val="center"/>
              <w:rPr>
                <w:color w:val="auto"/>
              </w:rPr>
            </w:pPr>
            <w:r>
              <w:rPr>
                <w:rFonts w:hint="eastAsia"/>
                <w:color w:val="auto"/>
                <w:lang w:val="en-US" w:eastAsia="zh-CN"/>
              </w:rPr>
              <w:t>儿童预防接种及</w:t>
            </w:r>
            <w:r>
              <w:rPr>
                <w:color w:val="auto"/>
              </w:rPr>
              <w:t>体检</w:t>
            </w:r>
          </w:p>
        </w:tc>
        <w:tc>
          <w:tcPr>
            <w:tcW w:w="3045" w:type="dxa"/>
            <w:tcBorders>
              <w:tl2br w:val="nil"/>
              <w:tr2bl w:val="nil"/>
            </w:tcBorders>
            <w:vAlign w:val="center"/>
          </w:tcPr>
          <w:p>
            <w:pPr>
              <w:pStyle w:val="22"/>
              <w:bidi w:val="0"/>
              <w:jc w:val="center"/>
              <w:rPr>
                <w:color w:val="auto"/>
              </w:rPr>
            </w:pPr>
            <w:r>
              <w:rPr>
                <w:color w:val="auto"/>
              </w:rPr>
              <w:t>废棉签及其他各种敷料、废一次性用品、废血液、废血清</w:t>
            </w:r>
          </w:p>
        </w:tc>
        <w:tc>
          <w:tcPr>
            <w:tcW w:w="820" w:type="dxa"/>
            <w:vMerge w:val="restart"/>
            <w:tcBorders>
              <w:tl2br w:val="nil"/>
              <w:tr2bl w:val="nil"/>
            </w:tcBorders>
            <w:vAlign w:val="center"/>
          </w:tcPr>
          <w:p>
            <w:pPr>
              <w:pStyle w:val="22"/>
              <w:bidi w:val="0"/>
              <w:jc w:val="center"/>
              <w:rPr>
                <w:color w:val="auto"/>
              </w:rPr>
            </w:pPr>
            <w:r>
              <w:rPr>
                <w:color w:val="auto"/>
              </w:rPr>
              <w:t>医疗</w:t>
            </w:r>
          </w:p>
          <w:p>
            <w:pPr>
              <w:pStyle w:val="22"/>
              <w:bidi w:val="0"/>
              <w:jc w:val="center"/>
              <w:rPr>
                <w:color w:val="auto"/>
              </w:rPr>
            </w:pPr>
            <w:r>
              <w:rPr>
                <w:color w:val="auto"/>
              </w:rPr>
              <w:t>废物</w:t>
            </w:r>
          </w:p>
        </w:tc>
        <w:tc>
          <w:tcPr>
            <w:tcW w:w="2443" w:type="dxa"/>
            <w:tcBorders>
              <w:tl2br w:val="nil"/>
              <w:tr2bl w:val="nil"/>
            </w:tcBorders>
            <w:vAlign w:val="center"/>
          </w:tcPr>
          <w:p>
            <w:pPr>
              <w:pStyle w:val="22"/>
              <w:bidi w:val="0"/>
              <w:jc w:val="center"/>
              <w:rPr>
                <w:color w:val="auto"/>
              </w:rPr>
            </w:pPr>
            <w:r>
              <w:rPr>
                <w:color w:val="auto"/>
              </w:rPr>
              <w:t>感染性废物（废物代码：</w:t>
            </w:r>
          </w:p>
          <w:p>
            <w:pPr>
              <w:pStyle w:val="22"/>
              <w:bidi w:val="0"/>
              <w:jc w:val="center"/>
              <w:rPr>
                <w:color w:val="auto"/>
              </w:rPr>
            </w:pPr>
            <w:r>
              <w:rPr>
                <w:color w:val="auto"/>
              </w:rPr>
              <w:t>8</w:t>
            </w:r>
            <w:r>
              <w:rPr>
                <w:rFonts w:hint="eastAsia"/>
                <w:color w:val="auto"/>
                <w:lang w:val="en-US" w:eastAsia="zh-CN"/>
              </w:rPr>
              <w:t>4</w:t>
            </w:r>
            <w:r>
              <w:rPr>
                <w:color w:val="auto"/>
              </w:rPr>
              <w:t>1-001-01）</w:t>
            </w:r>
          </w:p>
        </w:tc>
        <w:tc>
          <w:tcPr>
            <w:tcW w:w="1327"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0.739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jc w:val="center"/>
        </w:trPr>
        <w:tc>
          <w:tcPr>
            <w:tcW w:w="881" w:type="dxa"/>
            <w:vMerge w:val="continue"/>
            <w:tcBorders>
              <w:tl2br w:val="nil"/>
              <w:tr2bl w:val="nil"/>
            </w:tcBorders>
            <w:vAlign w:val="center"/>
          </w:tcPr>
          <w:p>
            <w:pPr>
              <w:pStyle w:val="22"/>
              <w:bidi w:val="0"/>
              <w:jc w:val="center"/>
              <w:rPr>
                <w:color w:val="auto"/>
              </w:rPr>
            </w:pPr>
          </w:p>
        </w:tc>
        <w:tc>
          <w:tcPr>
            <w:tcW w:w="3045" w:type="dxa"/>
            <w:tcBorders>
              <w:tl2br w:val="nil"/>
              <w:tr2bl w:val="nil"/>
            </w:tcBorders>
            <w:vAlign w:val="center"/>
          </w:tcPr>
          <w:p>
            <w:pPr>
              <w:pStyle w:val="22"/>
              <w:bidi w:val="0"/>
              <w:jc w:val="center"/>
              <w:rPr>
                <w:color w:val="auto"/>
              </w:rPr>
            </w:pPr>
            <w:r>
              <w:rPr>
                <w:color w:val="auto"/>
              </w:rPr>
              <w:t>废针头、废针具</w:t>
            </w:r>
          </w:p>
        </w:tc>
        <w:tc>
          <w:tcPr>
            <w:tcW w:w="820" w:type="dxa"/>
            <w:vMerge w:val="continue"/>
            <w:tcBorders>
              <w:tl2br w:val="nil"/>
              <w:tr2bl w:val="nil"/>
            </w:tcBorders>
            <w:vAlign w:val="center"/>
          </w:tcPr>
          <w:p>
            <w:pPr>
              <w:pStyle w:val="22"/>
              <w:bidi w:val="0"/>
              <w:jc w:val="center"/>
              <w:rPr>
                <w:color w:val="auto"/>
              </w:rPr>
            </w:pPr>
          </w:p>
        </w:tc>
        <w:tc>
          <w:tcPr>
            <w:tcW w:w="2443" w:type="dxa"/>
            <w:tcBorders>
              <w:tl2br w:val="nil"/>
              <w:tr2bl w:val="nil"/>
            </w:tcBorders>
            <w:vAlign w:val="center"/>
          </w:tcPr>
          <w:p>
            <w:pPr>
              <w:pStyle w:val="22"/>
              <w:bidi w:val="0"/>
              <w:jc w:val="center"/>
              <w:rPr>
                <w:color w:val="auto"/>
              </w:rPr>
            </w:pPr>
            <w:r>
              <w:rPr>
                <w:color w:val="auto"/>
              </w:rPr>
              <w:t>损伤性废物（废物代码：</w:t>
            </w:r>
          </w:p>
          <w:p>
            <w:pPr>
              <w:pStyle w:val="22"/>
              <w:bidi w:val="0"/>
              <w:jc w:val="center"/>
              <w:rPr>
                <w:color w:val="auto"/>
              </w:rPr>
            </w:pPr>
            <w:r>
              <w:rPr>
                <w:color w:val="auto"/>
              </w:rPr>
              <w:t>8</w:t>
            </w:r>
            <w:r>
              <w:rPr>
                <w:rFonts w:hint="eastAsia"/>
                <w:color w:val="auto"/>
                <w:lang w:val="en-US" w:eastAsia="zh-CN"/>
              </w:rPr>
              <w:t>4</w:t>
            </w:r>
            <w:r>
              <w:rPr>
                <w:color w:val="auto"/>
              </w:rPr>
              <w:t>1-002-01）</w:t>
            </w:r>
          </w:p>
        </w:tc>
        <w:tc>
          <w:tcPr>
            <w:tcW w:w="1327"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jc w:val="center"/>
        </w:trPr>
        <w:tc>
          <w:tcPr>
            <w:tcW w:w="881" w:type="dxa"/>
            <w:vMerge w:val="continue"/>
            <w:tcBorders>
              <w:tl2br w:val="nil"/>
              <w:tr2bl w:val="nil"/>
            </w:tcBorders>
            <w:vAlign w:val="center"/>
          </w:tcPr>
          <w:p>
            <w:pPr>
              <w:pStyle w:val="22"/>
              <w:bidi w:val="0"/>
              <w:jc w:val="center"/>
              <w:rPr>
                <w:color w:val="auto"/>
              </w:rPr>
            </w:pPr>
          </w:p>
        </w:tc>
        <w:tc>
          <w:tcPr>
            <w:tcW w:w="3045" w:type="dxa"/>
            <w:tcBorders>
              <w:tl2br w:val="nil"/>
              <w:tr2bl w:val="nil"/>
            </w:tcBorders>
            <w:vAlign w:val="center"/>
          </w:tcPr>
          <w:p>
            <w:pPr>
              <w:pStyle w:val="22"/>
              <w:bidi w:val="0"/>
              <w:jc w:val="center"/>
              <w:rPr>
                <w:color w:val="auto"/>
              </w:rPr>
            </w:pPr>
            <w:r>
              <w:rPr>
                <w:rFonts w:hint="eastAsia"/>
                <w:color w:val="auto"/>
                <w:lang w:val="en-US" w:eastAsia="zh-CN"/>
              </w:rPr>
              <w:t>废弃的疫苗</w:t>
            </w:r>
          </w:p>
        </w:tc>
        <w:tc>
          <w:tcPr>
            <w:tcW w:w="820" w:type="dxa"/>
            <w:vMerge w:val="continue"/>
            <w:tcBorders>
              <w:tl2br w:val="nil"/>
              <w:tr2bl w:val="nil"/>
            </w:tcBorders>
            <w:vAlign w:val="center"/>
          </w:tcPr>
          <w:p>
            <w:pPr>
              <w:pStyle w:val="22"/>
              <w:bidi w:val="0"/>
              <w:jc w:val="center"/>
              <w:rPr>
                <w:color w:val="auto"/>
              </w:rPr>
            </w:pPr>
          </w:p>
        </w:tc>
        <w:tc>
          <w:tcPr>
            <w:tcW w:w="2443" w:type="dxa"/>
            <w:tcBorders>
              <w:tl2br w:val="nil"/>
              <w:tr2bl w:val="nil"/>
            </w:tcBorders>
            <w:vAlign w:val="center"/>
          </w:tcPr>
          <w:p>
            <w:pPr>
              <w:pStyle w:val="22"/>
              <w:bidi w:val="0"/>
              <w:jc w:val="center"/>
              <w:rPr>
                <w:color w:val="auto"/>
              </w:rPr>
            </w:pPr>
            <w:r>
              <w:rPr>
                <w:rFonts w:hint="eastAsia"/>
                <w:color w:val="auto"/>
                <w:lang w:val="en-US" w:eastAsia="zh-CN"/>
              </w:rPr>
              <w:t>药物性废物</w:t>
            </w:r>
            <w:r>
              <w:rPr>
                <w:color w:val="auto"/>
              </w:rPr>
              <w:t>（废物代码：8</w:t>
            </w:r>
            <w:r>
              <w:rPr>
                <w:rFonts w:hint="eastAsia"/>
                <w:color w:val="auto"/>
                <w:lang w:val="en-US" w:eastAsia="zh-CN"/>
              </w:rPr>
              <w:t>4</w:t>
            </w:r>
            <w:r>
              <w:rPr>
                <w:color w:val="auto"/>
              </w:rPr>
              <w:t>1-005-01）</w:t>
            </w:r>
          </w:p>
        </w:tc>
        <w:tc>
          <w:tcPr>
            <w:tcW w:w="1327"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0.001</w:t>
            </w:r>
          </w:p>
        </w:tc>
      </w:tr>
    </w:tbl>
    <w:p>
      <w:pPr>
        <w:bidi w:val="0"/>
        <w:rPr>
          <w:color w:val="auto"/>
        </w:rPr>
      </w:pPr>
      <w:r>
        <w:rPr>
          <w:color w:val="auto"/>
        </w:rPr>
        <w:t>②实验室产生的医疗废物</w:t>
      </w:r>
    </w:p>
    <w:p>
      <w:pPr>
        <w:bidi w:val="0"/>
        <w:rPr>
          <w:color w:val="auto"/>
        </w:rPr>
      </w:pPr>
      <w:r>
        <w:rPr>
          <w:rFonts w:hint="eastAsia" w:ascii="Times New Roman" w:eastAsia="宋体"/>
          <w:color w:val="auto"/>
          <w:lang w:val="en-US" w:eastAsia="zh-CN"/>
        </w:rPr>
        <w:t>1、</w:t>
      </w:r>
      <w:r>
        <w:rPr>
          <w:color w:val="auto"/>
        </w:rPr>
        <w:t>微生物实验室废物</w:t>
      </w:r>
    </w:p>
    <w:p>
      <w:pPr>
        <w:bidi w:val="0"/>
        <w:rPr>
          <w:color w:val="auto"/>
        </w:rPr>
      </w:pPr>
      <w:r>
        <w:rPr>
          <w:color w:val="auto"/>
        </w:rPr>
        <w:t>微生物实验室固废产生的固体废物主要为废培养基、废一次性实验用品、废标本、实验用药等，年产生量为</w:t>
      </w:r>
      <w:r>
        <w:rPr>
          <w:rFonts w:hint="eastAsia" w:ascii="Times New Roman" w:eastAsia="宋体"/>
          <w:color w:val="auto"/>
          <w:lang w:val="en-US" w:eastAsia="zh-CN"/>
        </w:rPr>
        <w:t>0.1</w:t>
      </w:r>
      <w:r>
        <w:rPr>
          <w:color w:val="auto"/>
        </w:rPr>
        <w:t>/a；其中，废培养基、废一次性用品、废标本、废高效过滤器属于</w:t>
      </w:r>
      <w:r>
        <w:rPr>
          <w:rFonts w:hint="eastAsia" w:eastAsia="宋体"/>
          <w:color w:val="auto"/>
          <w:lang w:eastAsia="zh-CN"/>
        </w:rPr>
        <w:t>“</w:t>
      </w:r>
      <w:r>
        <w:rPr>
          <w:color w:val="auto"/>
        </w:rPr>
        <w:t>感染性废物（废物代码：8</w:t>
      </w:r>
      <w:r>
        <w:rPr>
          <w:rFonts w:hint="eastAsia"/>
          <w:color w:val="auto"/>
          <w:lang w:val="en-US" w:eastAsia="zh-CN"/>
        </w:rPr>
        <w:t>4</w:t>
      </w:r>
      <w:r>
        <w:rPr>
          <w:color w:val="auto"/>
        </w:rPr>
        <w:t>1-001-01）</w:t>
      </w:r>
      <w:r>
        <w:rPr>
          <w:rFonts w:hint="eastAsia" w:eastAsia="宋体"/>
          <w:color w:val="auto"/>
          <w:lang w:eastAsia="zh-CN"/>
        </w:rPr>
        <w:t>”</w:t>
      </w:r>
      <w:r>
        <w:rPr>
          <w:color w:val="auto"/>
        </w:rPr>
        <w:t>；废实验用药属于</w:t>
      </w:r>
      <w:r>
        <w:rPr>
          <w:rFonts w:hint="eastAsia" w:eastAsia="宋体"/>
          <w:color w:val="auto"/>
          <w:lang w:eastAsia="zh-CN"/>
        </w:rPr>
        <w:t>“</w:t>
      </w:r>
      <w:r>
        <w:rPr>
          <w:color w:val="auto"/>
        </w:rPr>
        <w:t>药物性废物（废物代码：8</w:t>
      </w:r>
      <w:r>
        <w:rPr>
          <w:rFonts w:hint="eastAsia"/>
          <w:color w:val="auto"/>
          <w:lang w:val="en-US" w:eastAsia="zh-CN"/>
        </w:rPr>
        <w:t>4</w:t>
      </w:r>
      <w:r>
        <w:rPr>
          <w:color w:val="auto"/>
        </w:rPr>
        <w:t>1-005-01）</w:t>
      </w:r>
      <w:r>
        <w:rPr>
          <w:rFonts w:hint="eastAsia" w:eastAsia="宋体"/>
          <w:color w:val="auto"/>
          <w:lang w:eastAsia="zh-CN"/>
        </w:rPr>
        <w:t>”</w:t>
      </w:r>
      <w:r>
        <w:rPr>
          <w:color w:val="auto"/>
        </w:rPr>
        <w:t>。</w:t>
      </w:r>
    </w:p>
    <w:p>
      <w:pPr>
        <w:bidi w:val="0"/>
        <w:rPr>
          <w:color w:val="auto"/>
        </w:rPr>
      </w:pPr>
      <w:r>
        <w:rPr>
          <w:color w:val="auto"/>
        </w:rPr>
        <w:t>由生产厂家介绍，实验室供需设置该过滤器为</w:t>
      </w:r>
      <w:r>
        <w:rPr>
          <w:rFonts w:hint="eastAsia" w:ascii="Times New Roman" w:eastAsia="宋体"/>
          <w:color w:val="auto"/>
          <w:lang w:val="en-US" w:eastAsia="zh-CN"/>
        </w:rPr>
        <w:t>10</w:t>
      </w:r>
      <w:r>
        <w:rPr>
          <w:color w:val="auto"/>
        </w:rPr>
        <w:t>个（一个重量约为0.1kg），无隔板高效空气过滤器</w:t>
      </w:r>
      <w:r>
        <w:rPr>
          <w:rFonts w:hint="eastAsia" w:eastAsia="宋体"/>
          <w:color w:val="auto"/>
          <w:lang w:eastAsia="zh-CN"/>
        </w:rPr>
        <w:t>每半年</w:t>
      </w:r>
      <w:r>
        <w:rPr>
          <w:color w:val="auto"/>
        </w:rPr>
        <w:t>更换一次，一年供需更换滤芯为</w:t>
      </w:r>
      <w:r>
        <w:rPr>
          <w:rFonts w:hint="eastAsia" w:ascii="Times New Roman" w:eastAsia="宋体"/>
          <w:color w:val="auto"/>
          <w:lang w:val="en-US" w:eastAsia="zh-CN"/>
        </w:rPr>
        <w:t>20</w:t>
      </w:r>
      <w:r>
        <w:rPr>
          <w:color w:val="auto"/>
        </w:rPr>
        <w:t>个（</w:t>
      </w:r>
      <w:r>
        <w:rPr>
          <w:rFonts w:hint="eastAsia" w:ascii="Times New Roman" w:eastAsia="宋体"/>
          <w:color w:val="auto"/>
          <w:lang w:val="en-US" w:eastAsia="zh-CN"/>
        </w:rPr>
        <w:t>2</w:t>
      </w:r>
      <w:r>
        <w:rPr>
          <w:color w:val="auto"/>
        </w:rPr>
        <w:t>kg）。</w:t>
      </w:r>
    </w:p>
    <w:p>
      <w:pPr>
        <w:bidi w:val="0"/>
        <w:rPr>
          <w:color w:val="auto"/>
        </w:rPr>
      </w:pPr>
      <w:r>
        <w:rPr>
          <w:color w:val="auto"/>
        </w:rPr>
        <w:t>生物实验室医疗废物分类收集后并经高温灭菌锅消毒后，贮存于专设的医疗废物暂存间。</w:t>
      </w:r>
    </w:p>
    <w:p>
      <w:pPr>
        <w:pStyle w:val="22"/>
        <w:bidi w:val="0"/>
        <w:rPr>
          <w:b/>
          <w:bCs/>
          <w:color w:val="auto"/>
        </w:rPr>
      </w:pPr>
      <w:r>
        <w:rPr>
          <w:b/>
          <w:bCs/>
          <w:color w:val="auto"/>
        </w:rPr>
        <w:t>表3.</w:t>
      </w:r>
      <w:r>
        <w:rPr>
          <w:rFonts w:hint="eastAsia"/>
          <w:b/>
          <w:bCs/>
          <w:color w:val="auto"/>
          <w:lang w:val="en-US" w:eastAsia="zh-CN"/>
        </w:rPr>
        <w:t>5</w:t>
      </w:r>
      <w:r>
        <w:rPr>
          <w:b/>
          <w:bCs/>
          <w:color w:val="auto"/>
        </w:rPr>
        <w:t>-</w:t>
      </w:r>
      <w:r>
        <w:rPr>
          <w:rFonts w:hint="eastAsia"/>
          <w:b/>
          <w:bCs/>
          <w:color w:val="auto"/>
          <w:lang w:val="en-US" w:eastAsia="zh-CN"/>
        </w:rPr>
        <w:t>7</w:t>
      </w:r>
      <w:r>
        <w:rPr>
          <w:b/>
          <w:bCs/>
          <w:color w:val="auto"/>
        </w:rPr>
        <w:t>微生物实验室医疗固废产生量情况</w:t>
      </w:r>
    </w:p>
    <w:tbl>
      <w:tblPr>
        <w:tblStyle w:val="23"/>
        <w:tblW w:w="851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54"/>
        <w:gridCol w:w="2568"/>
        <w:gridCol w:w="1028"/>
        <w:gridCol w:w="2440"/>
        <w:gridCol w:w="1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 w:hRule="atLeast"/>
          <w:jc w:val="center"/>
        </w:trPr>
        <w:tc>
          <w:tcPr>
            <w:tcW w:w="1154" w:type="dxa"/>
            <w:tcBorders>
              <w:tl2br w:val="nil"/>
              <w:tr2bl w:val="nil"/>
            </w:tcBorders>
            <w:vAlign w:val="center"/>
          </w:tcPr>
          <w:p>
            <w:pPr>
              <w:pStyle w:val="22"/>
              <w:bidi w:val="0"/>
              <w:jc w:val="center"/>
              <w:rPr>
                <w:b/>
                <w:bCs/>
                <w:color w:val="auto"/>
              </w:rPr>
            </w:pPr>
            <w:r>
              <w:rPr>
                <w:b/>
                <w:bCs/>
                <w:color w:val="auto"/>
              </w:rPr>
              <w:t>污染源</w:t>
            </w:r>
          </w:p>
        </w:tc>
        <w:tc>
          <w:tcPr>
            <w:tcW w:w="2568" w:type="dxa"/>
            <w:tcBorders>
              <w:tl2br w:val="nil"/>
              <w:tr2bl w:val="nil"/>
            </w:tcBorders>
            <w:vAlign w:val="center"/>
          </w:tcPr>
          <w:p>
            <w:pPr>
              <w:pStyle w:val="22"/>
              <w:bidi w:val="0"/>
              <w:jc w:val="center"/>
              <w:rPr>
                <w:b/>
                <w:bCs/>
                <w:color w:val="auto"/>
              </w:rPr>
            </w:pPr>
            <w:r>
              <w:rPr>
                <w:b/>
                <w:bCs/>
                <w:color w:val="auto"/>
              </w:rPr>
              <w:t>成分</w:t>
            </w:r>
          </w:p>
        </w:tc>
        <w:tc>
          <w:tcPr>
            <w:tcW w:w="3468" w:type="dxa"/>
            <w:gridSpan w:val="2"/>
            <w:tcBorders>
              <w:tl2br w:val="nil"/>
              <w:tr2bl w:val="nil"/>
            </w:tcBorders>
            <w:vAlign w:val="center"/>
          </w:tcPr>
          <w:p>
            <w:pPr>
              <w:pStyle w:val="22"/>
              <w:bidi w:val="0"/>
              <w:jc w:val="center"/>
              <w:rPr>
                <w:b/>
                <w:bCs/>
                <w:color w:val="auto"/>
              </w:rPr>
            </w:pPr>
            <w:r>
              <w:rPr>
                <w:b/>
                <w:bCs/>
                <w:color w:val="auto"/>
              </w:rPr>
              <w:t>类别</w:t>
            </w:r>
          </w:p>
        </w:tc>
        <w:tc>
          <w:tcPr>
            <w:tcW w:w="1326" w:type="dxa"/>
            <w:tcBorders>
              <w:tl2br w:val="nil"/>
              <w:tr2bl w:val="nil"/>
            </w:tcBorders>
            <w:vAlign w:val="center"/>
          </w:tcPr>
          <w:p>
            <w:pPr>
              <w:pStyle w:val="22"/>
              <w:bidi w:val="0"/>
              <w:jc w:val="center"/>
              <w:rPr>
                <w:b/>
                <w:bCs/>
                <w:color w:val="auto"/>
              </w:rPr>
            </w:pPr>
            <w:r>
              <w:rPr>
                <w:b/>
                <w:bCs/>
                <w:color w:val="auto"/>
              </w:rPr>
              <w:t>产生量t/a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1154" w:type="dxa"/>
            <w:vMerge w:val="restart"/>
            <w:tcBorders>
              <w:tl2br w:val="nil"/>
              <w:tr2bl w:val="nil"/>
            </w:tcBorders>
            <w:vAlign w:val="center"/>
          </w:tcPr>
          <w:p>
            <w:pPr>
              <w:pStyle w:val="22"/>
              <w:bidi w:val="0"/>
              <w:jc w:val="center"/>
              <w:rPr>
                <w:color w:val="auto"/>
              </w:rPr>
            </w:pPr>
            <w:r>
              <w:rPr>
                <w:color w:val="auto"/>
              </w:rPr>
              <w:t>微生物实验室</w:t>
            </w:r>
          </w:p>
        </w:tc>
        <w:tc>
          <w:tcPr>
            <w:tcW w:w="2568" w:type="dxa"/>
            <w:tcBorders>
              <w:tl2br w:val="nil"/>
              <w:tr2bl w:val="nil"/>
            </w:tcBorders>
            <w:vAlign w:val="center"/>
          </w:tcPr>
          <w:p>
            <w:pPr>
              <w:pStyle w:val="22"/>
              <w:bidi w:val="0"/>
              <w:jc w:val="center"/>
              <w:rPr>
                <w:color w:val="auto"/>
              </w:rPr>
            </w:pPr>
            <w:r>
              <w:rPr>
                <w:color w:val="auto"/>
              </w:rPr>
              <w:t>废高效过滤器</w:t>
            </w:r>
          </w:p>
        </w:tc>
        <w:tc>
          <w:tcPr>
            <w:tcW w:w="1028" w:type="dxa"/>
            <w:vMerge w:val="restart"/>
            <w:tcBorders>
              <w:tl2br w:val="nil"/>
              <w:tr2bl w:val="nil"/>
            </w:tcBorders>
            <w:vAlign w:val="center"/>
          </w:tcPr>
          <w:p>
            <w:pPr>
              <w:pStyle w:val="22"/>
              <w:bidi w:val="0"/>
              <w:jc w:val="center"/>
              <w:rPr>
                <w:color w:val="auto"/>
              </w:rPr>
            </w:pPr>
            <w:r>
              <w:rPr>
                <w:color w:val="auto"/>
              </w:rPr>
              <w:t>医疗废物</w:t>
            </w:r>
          </w:p>
        </w:tc>
        <w:tc>
          <w:tcPr>
            <w:tcW w:w="2440" w:type="dxa"/>
            <w:tcBorders>
              <w:tl2br w:val="nil"/>
              <w:tr2bl w:val="nil"/>
            </w:tcBorders>
            <w:vAlign w:val="center"/>
          </w:tcPr>
          <w:p>
            <w:pPr>
              <w:pStyle w:val="22"/>
              <w:bidi w:val="0"/>
              <w:jc w:val="center"/>
              <w:rPr>
                <w:color w:val="auto"/>
              </w:rPr>
            </w:pPr>
            <w:r>
              <w:rPr>
                <w:color w:val="auto"/>
              </w:rPr>
              <w:t>感染性废物（废物代码：</w:t>
            </w:r>
          </w:p>
          <w:p>
            <w:pPr>
              <w:pStyle w:val="22"/>
              <w:bidi w:val="0"/>
              <w:jc w:val="center"/>
              <w:rPr>
                <w:color w:val="auto"/>
              </w:rPr>
            </w:pPr>
            <w:r>
              <w:rPr>
                <w:color w:val="auto"/>
              </w:rPr>
              <w:t>8</w:t>
            </w:r>
            <w:r>
              <w:rPr>
                <w:rFonts w:hint="eastAsia"/>
                <w:color w:val="auto"/>
                <w:lang w:val="en-US" w:eastAsia="zh-CN"/>
              </w:rPr>
              <w:t>4</w:t>
            </w:r>
            <w:r>
              <w:rPr>
                <w:color w:val="auto"/>
              </w:rPr>
              <w:t>1-001-01）</w:t>
            </w:r>
          </w:p>
        </w:tc>
        <w:tc>
          <w:tcPr>
            <w:tcW w:w="1326"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0.002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8" w:hRule="atLeast"/>
          <w:jc w:val="center"/>
        </w:trPr>
        <w:tc>
          <w:tcPr>
            <w:tcW w:w="1154" w:type="dxa"/>
            <w:vMerge w:val="continue"/>
            <w:tcBorders>
              <w:tl2br w:val="nil"/>
              <w:tr2bl w:val="nil"/>
            </w:tcBorders>
            <w:vAlign w:val="center"/>
          </w:tcPr>
          <w:p>
            <w:pPr>
              <w:pStyle w:val="22"/>
              <w:bidi w:val="0"/>
              <w:jc w:val="center"/>
              <w:rPr>
                <w:color w:val="auto"/>
              </w:rPr>
            </w:pPr>
          </w:p>
        </w:tc>
        <w:tc>
          <w:tcPr>
            <w:tcW w:w="2568" w:type="dxa"/>
            <w:tcBorders>
              <w:tl2br w:val="nil"/>
              <w:tr2bl w:val="nil"/>
            </w:tcBorders>
            <w:vAlign w:val="center"/>
          </w:tcPr>
          <w:p>
            <w:pPr>
              <w:pStyle w:val="22"/>
              <w:bidi w:val="0"/>
              <w:jc w:val="center"/>
              <w:rPr>
                <w:color w:val="auto"/>
              </w:rPr>
            </w:pPr>
            <w:r>
              <w:rPr>
                <w:color w:val="auto"/>
              </w:rPr>
              <w:t>废培养基、废一次性用品、废标本</w:t>
            </w:r>
          </w:p>
        </w:tc>
        <w:tc>
          <w:tcPr>
            <w:tcW w:w="1028" w:type="dxa"/>
            <w:vMerge w:val="continue"/>
            <w:tcBorders>
              <w:tl2br w:val="nil"/>
              <w:tr2bl w:val="nil"/>
            </w:tcBorders>
            <w:vAlign w:val="center"/>
          </w:tcPr>
          <w:p>
            <w:pPr>
              <w:pStyle w:val="22"/>
              <w:bidi w:val="0"/>
              <w:jc w:val="center"/>
              <w:rPr>
                <w:color w:val="auto"/>
              </w:rPr>
            </w:pPr>
          </w:p>
        </w:tc>
        <w:tc>
          <w:tcPr>
            <w:tcW w:w="2440" w:type="dxa"/>
            <w:tcBorders>
              <w:tl2br w:val="nil"/>
              <w:tr2bl w:val="nil"/>
            </w:tcBorders>
            <w:vAlign w:val="center"/>
          </w:tcPr>
          <w:p>
            <w:pPr>
              <w:pStyle w:val="22"/>
              <w:bidi w:val="0"/>
              <w:jc w:val="center"/>
              <w:rPr>
                <w:color w:val="auto"/>
              </w:rPr>
            </w:pPr>
            <w:r>
              <w:rPr>
                <w:color w:val="auto"/>
              </w:rPr>
              <w:t>感染性废物（废物代码：</w:t>
            </w:r>
          </w:p>
          <w:p>
            <w:pPr>
              <w:pStyle w:val="22"/>
              <w:bidi w:val="0"/>
              <w:jc w:val="center"/>
              <w:rPr>
                <w:color w:val="auto"/>
              </w:rPr>
            </w:pPr>
            <w:r>
              <w:rPr>
                <w:color w:val="auto"/>
              </w:rPr>
              <w:t>8</w:t>
            </w:r>
            <w:r>
              <w:rPr>
                <w:rFonts w:hint="eastAsia"/>
                <w:color w:val="auto"/>
                <w:lang w:val="en-US" w:eastAsia="zh-CN"/>
              </w:rPr>
              <w:t>4</w:t>
            </w:r>
            <w:r>
              <w:rPr>
                <w:color w:val="auto"/>
              </w:rPr>
              <w:t>1-001-01）</w:t>
            </w:r>
          </w:p>
        </w:tc>
        <w:tc>
          <w:tcPr>
            <w:tcW w:w="1326"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0.09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3" w:hRule="atLeast"/>
          <w:jc w:val="center"/>
        </w:trPr>
        <w:tc>
          <w:tcPr>
            <w:tcW w:w="1154" w:type="dxa"/>
            <w:vMerge w:val="continue"/>
            <w:tcBorders>
              <w:tl2br w:val="nil"/>
              <w:tr2bl w:val="nil"/>
            </w:tcBorders>
            <w:vAlign w:val="center"/>
          </w:tcPr>
          <w:p>
            <w:pPr>
              <w:pStyle w:val="22"/>
              <w:bidi w:val="0"/>
              <w:jc w:val="center"/>
              <w:rPr>
                <w:color w:val="auto"/>
              </w:rPr>
            </w:pPr>
          </w:p>
        </w:tc>
        <w:tc>
          <w:tcPr>
            <w:tcW w:w="2568" w:type="dxa"/>
            <w:tcBorders>
              <w:tl2br w:val="nil"/>
              <w:tr2bl w:val="nil"/>
            </w:tcBorders>
            <w:vAlign w:val="center"/>
          </w:tcPr>
          <w:p>
            <w:pPr>
              <w:pStyle w:val="22"/>
              <w:bidi w:val="0"/>
              <w:jc w:val="center"/>
              <w:rPr>
                <w:color w:val="auto"/>
              </w:rPr>
            </w:pPr>
            <w:r>
              <w:rPr>
                <w:color w:val="auto"/>
              </w:rPr>
              <w:t>实验用药</w:t>
            </w:r>
          </w:p>
        </w:tc>
        <w:tc>
          <w:tcPr>
            <w:tcW w:w="1028" w:type="dxa"/>
            <w:vMerge w:val="continue"/>
            <w:tcBorders>
              <w:tl2br w:val="nil"/>
              <w:tr2bl w:val="nil"/>
            </w:tcBorders>
            <w:vAlign w:val="center"/>
          </w:tcPr>
          <w:p>
            <w:pPr>
              <w:pStyle w:val="22"/>
              <w:bidi w:val="0"/>
              <w:jc w:val="center"/>
              <w:rPr>
                <w:color w:val="auto"/>
              </w:rPr>
            </w:pPr>
          </w:p>
        </w:tc>
        <w:tc>
          <w:tcPr>
            <w:tcW w:w="2440" w:type="dxa"/>
            <w:tcBorders>
              <w:tl2br w:val="nil"/>
              <w:tr2bl w:val="nil"/>
            </w:tcBorders>
            <w:vAlign w:val="center"/>
          </w:tcPr>
          <w:p>
            <w:pPr>
              <w:pStyle w:val="22"/>
              <w:bidi w:val="0"/>
              <w:jc w:val="center"/>
              <w:rPr>
                <w:color w:val="auto"/>
              </w:rPr>
            </w:pPr>
            <w:r>
              <w:rPr>
                <w:color w:val="auto"/>
              </w:rPr>
              <w:t>药物性废物（废物代码：</w:t>
            </w:r>
          </w:p>
          <w:p>
            <w:pPr>
              <w:pStyle w:val="22"/>
              <w:bidi w:val="0"/>
              <w:jc w:val="center"/>
              <w:rPr>
                <w:color w:val="auto"/>
              </w:rPr>
            </w:pPr>
            <w:r>
              <w:rPr>
                <w:color w:val="auto"/>
              </w:rPr>
              <w:t>8</w:t>
            </w:r>
            <w:r>
              <w:rPr>
                <w:rFonts w:hint="eastAsia"/>
                <w:color w:val="auto"/>
                <w:lang w:val="en-US" w:eastAsia="zh-CN"/>
              </w:rPr>
              <w:t>4</w:t>
            </w:r>
            <w:r>
              <w:rPr>
                <w:color w:val="auto"/>
              </w:rPr>
              <w:t>1-005-01）</w:t>
            </w:r>
          </w:p>
        </w:tc>
        <w:tc>
          <w:tcPr>
            <w:tcW w:w="1326"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0.008</w:t>
            </w:r>
          </w:p>
        </w:tc>
      </w:tr>
    </w:tbl>
    <w:p>
      <w:pPr>
        <w:bidi w:val="0"/>
        <w:rPr>
          <w:color w:val="auto"/>
        </w:rPr>
      </w:pPr>
      <w:r>
        <w:rPr>
          <w:rFonts w:hint="eastAsia" w:ascii="Times New Roman" w:eastAsia="宋体"/>
          <w:color w:val="auto"/>
          <w:lang w:val="en-US" w:eastAsia="zh-CN"/>
        </w:rPr>
        <w:t>2、</w:t>
      </w:r>
      <w:r>
        <w:rPr>
          <w:color w:val="auto"/>
        </w:rPr>
        <w:t>理化实验室废物</w:t>
      </w:r>
    </w:p>
    <w:p>
      <w:pPr>
        <w:bidi w:val="0"/>
        <w:rPr>
          <w:color w:val="auto"/>
        </w:rPr>
      </w:pPr>
      <w:r>
        <w:rPr>
          <w:color w:val="auto"/>
        </w:rPr>
        <w:t>理化实验室中会产生少量的化学废液，属于《医疗废物分类管理名录》中的</w:t>
      </w:r>
      <w:r>
        <w:rPr>
          <w:rFonts w:hint="eastAsia" w:eastAsia="宋体"/>
          <w:color w:val="auto"/>
          <w:lang w:eastAsia="zh-CN"/>
        </w:rPr>
        <w:t>“</w:t>
      </w:r>
      <w:r>
        <w:rPr>
          <w:color w:val="auto"/>
        </w:rPr>
        <w:t>化学性废物（废物代码：8</w:t>
      </w:r>
      <w:r>
        <w:rPr>
          <w:rFonts w:hint="eastAsia"/>
          <w:color w:val="auto"/>
          <w:lang w:val="en-US" w:eastAsia="zh-CN"/>
        </w:rPr>
        <w:t>4</w:t>
      </w:r>
      <w:r>
        <w:rPr>
          <w:color w:val="auto"/>
        </w:rPr>
        <w:t>1-004-01）</w:t>
      </w:r>
      <w:r>
        <w:rPr>
          <w:rFonts w:hint="eastAsia" w:eastAsia="宋体"/>
          <w:color w:val="auto"/>
          <w:lang w:eastAsia="zh-CN"/>
        </w:rPr>
        <w:t>”</w:t>
      </w:r>
      <w:r>
        <w:rPr>
          <w:color w:val="auto"/>
        </w:rPr>
        <w:t>，主要</w:t>
      </w:r>
      <w:r>
        <w:rPr>
          <w:rFonts w:ascii="宋体" w:hAnsi="宋体" w:eastAsia="宋体" w:cs="宋体"/>
          <w:color w:val="auto"/>
          <w:spacing w:val="-5"/>
          <w:sz w:val="24"/>
          <w:szCs w:val="24"/>
        </w:rPr>
        <w:t>有机废液，酸碱废液</w:t>
      </w:r>
      <w:r>
        <w:rPr>
          <w:color w:val="auto"/>
        </w:rPr>
        <w:t>等多种化学品污染物等，成份复杂，属于医疗废物，年产生量为</w:t>
      </w:r>
      <w:r>
        <w:rPr>
          <w:rFonts w:ascii="Times New Roman" w:hAnsi="Times New Roman" w:eastAsia="Times New Roman" w:cs="Times New Roman"/>
          <w:color w:val="auto"/>
          <w:spacing w:val="-2"/>
          <w:sz w:val="24"/>
          <w:szCs w:val="24"/>
        </w:rPr>
        <w:t>0.01t/a</w:t>
      </w:r>
      <w:r>
        <w:rPr>
          <w:color w:val="auto"/>
        </w:rPr>
        <w:t>t，须采取</w:t>
      </w:r>
      <w:r>
        <w:rPr>
          <w:rFonts w:hint="eastAsia" w:eastAsia="宋体"/>
          <w:color w:val="auto"/>
          <w:lang w:eastAsia="zh-CN"/>
        </w:rPr>
        <w:t>“</w:t>
      </w:r>
      <w:r>
        <w:rPr>
          <w:color w:val="auto"/>
        </w:rPr>
        <w:t>单独收集+灭菌锅消毒+密封+暂存于危废间</w:t>
      </w:r>
      <w:r>
        <w:rPr>
          <w:rFonts w:hint="eastAsia" w:eastAsia="宋体"/>
          <w:color w:val="auto"/>
          <w:lang w:eastAsia="zh-CN"/>
        </w:rPr>
        <w:t>”</w:t>
      </w:r>
      <w:r>
        <w:rPr>
          <w:color w:val="auto"/>
        </w:rPr>
        <w:t>，定期送</w:t>
      </w:r>
      <w:r>
        <w:rPr>
          <w:rFonts w:hint="eastAsia" w:eastAsia="宋体"/>
          <w:color w:val="auto"/>
          <w:lang w:eastAsia="zh-CN"/>
        </w:rPr>
        <w:t>由</w:t>
      </w:r>
      <w:r>
        <w:rPr>
          <w:color w:val="auto"/>
        </w:rPr>
        <w:t>危废处理资质单位处置。</w:t>
      </w:r>
    </w:p>
    <w:p>
      <w:pPr>
        <w:bidi w:val="0"/>
        <w:rPr>
          <w:color w:val="auto"/>
        </w:rPr>
      </w:pPr>
      <w:r>
        <w:rPr>
          <w:color w:val="auto"/>
        </w:rPr>
        <w:t>综上，本项目产生的医疗废物约</w:t>
      </w:r>
      <w:r>
        <w:rPr>
          <w:rFonts w:hint="eastAsia" w:ascii="Times New Roman" w:eastAsia="宋体"/>
          <w:color w:val="auto"/>
          <w:lang w:val="en-US" w:eastAsia="zh-CN"/>
        </w:rPr>
        <w:t>0.</w:t>
      </w:r>
      <w:r>
        <w:rPr>
          <w:rFonts w:hint="eastAsia"/>
          <w:color w:val="auto"/>
          <w:lang w:val="en-US" w:eastAsia="zh-CN"/>
        </w:rPr>
        <w:t>7</w:t>
      </w:r>
      <w:r>
        <w:rPr>
          <w:rFonts w:hint="eastAsia" w:ascii="Times New Roman" w:eastAsia="宋体"/>
          <w:color w:val="auto"/>
          <w:lang w:val="en-US" w:eastAsia="zh-CN"/>
        </w:rPr>
        <w:t>5</w:t>
      </w:r>
      <w:r>
        <w:rPr>
          <w:color w:val="auto"/>
        </w:rPr>
        <w:t>t/a，各项医疗废物分类灭活后，使用不同容器收集，并贴上相应标签，暂存于疾控中心专门设置的危险废物暂存间内，委托有危废资质单位处理。</w:t>
      </w:r>
    </w:p>
    <w:p>
      <w:pPr>
        <w:pStyle w:val="22"/>
        <w:bidi w:val="0"/>
        <w:rPr>
          <w:b/>
          <w:bCs/>
          <w:color w:val="auto"/>
        </w:rPr>
      </w:pPr>
      <w:r>
        <w:rPr>
          <w:b/>
          <w:bCs/>
          <w:color w:val="auto"/>
        </w:rPr>
        <w:t>表3.</w:t>
      </w:r>
      <w:r>
        <w:rPr>
          <w:rFonts w:hint="eastAsia"/>
          <w:b/>
          <w:bCs/>
          <w:color w:val="auto"/>
          <w:lang w:val="en-US" w:eastAsia="zh-CN"/>
        </w:rPr>
        <w:t>5</w:t>
      </w:r>
      <w:r>
        <w:rPr>
          <w:b/>
          <w:bCs/>
          <w:color w:val="auto"/>
        </w:rPr>
        <w:t>-</w:t>
      </w:r>
      <w:r>
        <w:rPr>
          <w:rFonts w:hint="eastAsia"/>
          <w:b/>
          <w:bCs/>
          <w:color w:val="auto"/>
          <w:lang w:val="en-US" w:eastAsia="zh-CN"/>
        </w:rPr>
        <w:t>8</w:t>
      </w:r>
      <w:r>
        <w:rPr>
          <w:b/>
          <w:bCs/>
          <w:color w:val="auto"/>
        </w:rPr>
        <w:t>项目营运期医疗废物产生量情况</w:t>
      </w:r>
    </w:p>
    <w:tbl>
      <w:tblPr>
        <w:tblStyle w:val="23"/>
        <w:tblW w:w="853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39"/>
        <w:gridCol w:w="728"/>
        <w:gridCol w:w="1605"/>
        <w:gridCol w:w="1328"/>
        <w:gridCol w:w="2316"/>
        <w:gridCol w:w="874"/>
        <w:gridCol w:w="12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jc w:val="center"/>
        </w:trPr>
        <w:tc>
          <w:tcPr>
            <w:tcW w:w="439" w:type="dxa"/>
            <w:tcBorders>
              <w:tl2br w:val="nil"/>
              <w:tr2bl w:val="nil"/>
            </w:tcBorders>
            <w:textDirection w:val="tbRlV"/>
            <w:vAlign w:val="center"/>
          </w:tcPr>
          <w:p>
            <w:pPr>
              <w:pStyle w:val="22"/>
              <w:bidi w:val="0"/>
              <w:rPr>
                <w:b/>
                <w:bCs/>
                <w:color w:val="auto"/>
              </w:rPr>
            </w:pPr>
            <w:r>
              <w:rPr>
                <w:b/>
                <w:bCs/>
                <w:color w:val="auto"/>
              </w:rPr>
              <w:t>类别</w:t>
            </w:r>
          </w:p>
        </w:tc>
        <w:tc>
          <w:tcPr>
            <w:tcW w:w="728" w:type="dxa"/>
            <w:tcBorders>
              <w:tl2br w:val="nil"/>
              <w:tr2bl w:val="nil"/>
            </w:tcBorders>
            <w:vAlign w:val="center"/>
          </w:tcPr>
          <w:p>
            <w:pPr>
              <w:pStyle w:val="22"/>
              <w:bidi w:val="0"/>
              <w:rPr>
                <w:b/>
                <w:bCs/>
                <w:color w:val="auto"/>
              </w:rPr>
            </w:pPr>
            <w:r>
              <w:rPr>
                <w:b/>
                <w:bCs/>
                <w:color w:val="auto"/>
              </w:rPr>
              <w:t>污染</w:t>
            </w:r>
          </w:p>
          <w:p>
            <w:pPr>
              <w:pStyle w:val="22"/>
              <w:bidi w:val="0"/>
              <w:rPr>
                <w:b/>
                <w:bCs/>
                <w:color w:val="auto"/>
              </w:rPr>
            </w:pPr>
            <w:r>
              <w:rPr>
                <w:b/>
                <w:bCs/>
                <w:color w:val="auto"/>
              </w:rPr>
              <w:t>源</w:t>
            </w:r>
          </w:p>
        </w:tc>
        <w:tc>
          <w:tcPr>
            <w:tcW w:w="1605" w:type="dxa"/>
            <w:tcBorders>
              <w:tl2br w:val="nil"/>
              <w:tr2bl w:val="nil"/>
            </w:tcBorders>
            <w:vAlign w:val="center"/>
          </w:tcPr>
          <w:p>
            <w:pPr>
              <w:pStyle w:val="22"/>
              <w:bidi w:val="0"/>
              <w:rPr>
                <w:b/>
                <w:bCs/>
                <w:color w:val="auto"/>
              </w:rPr>
            </w:pPr>
            <w:r>
              <w:rPr>
                <w:b/>
                <w:bCs/>
                <w:color w:val="auto"/>
              </w:rPr>
              <w:t>成分</w:t>
            </w:r>
          </w:p>
        </w:tc>
        <w:tc>
          <w:tcPr>
            <w:tcW w:w="1328" w:type="dxa"/>
            <w:tcBorders>
              <w:tl2br w:val="nil"/>
              <w:tr2bl w:val="nil"/>
            </w:tcBorders>
            <w:vAlign w:val="center"/>
          </w:tcPr>
          <w:p>
            <w:pPr>
              <w:pStyle w:val="22"/>
              <w:bidi w:val="0"/>
              <w:rPr>
                <w:b/>
                <w:bCs/>
                <w:color w:val="auto"/>
              </w:rPr>
            </w:pPr>
            <w:r>
              <w:rPr>
                <w:b/>
                <w:bCs/>
                <w:color w:val="auto"/>
              </w:rPr>
              <w:t>危险特性</w:t>
            </w:r>
          </w:p>
        </w:tc>
        <w:tc>
          <w:tcPr>
            <w:tcW w:w="2316" w:type="dxa"/>
            <w:tcBorders>
              <w:tl2br w:val="nil"/>
              <w:tr2bl w:val="nil"/>
            </w:tcBorders>
            <w:vAlign w:val="center"/>
          </w:tcPr>
          <w:p>
            <w:pPr>
              <w:pStyle w:val="22"/>
              <w:bidi w:val="0"/>
              <w:rPr>
                <w:b/>
                <w:bCs/>
                <w:color w:val="auto"/>
              </w:rPr>
            </w:pPr>
            <w:r>
              <w:rPr>
                <w:b/>
                <w:bCs/>
                <w:color w:val="auto"/>
              </w:rPr>
              <w:t>危废代码</w:t>
            </w:r>
          </w:p>
        </w:tc>
        <w:tc>
          <w:tcPr>
            <w:tcW w:w="874" w:type="dxa"/>
            <w:tcBorders>
              <w:tl2br w:val="nil"/>
              <w:tr2bl w:val="nil"/>
            </w:tcBorders>
            <w:vAlign w:val="center"/>
          </w:tcPr>
          <w:p>
            <w:pPr>
              <w:pStyle w:val="22"/>
              <w:bidi w:val="0"/>
              <w:rPr>
                <w:b/>
                <w:bCs/>
                <w:color w:val="auto"/>
              </w:rPr>
            </w:pPr>
            <w:r>
              <w:rPr>
                <w:b/>
                <w:bCs/>
                <w:color w:val="auto"/>
              </w:rPr>
              <w:t>预计产生量t/a</w:t>
            </w:r>
          </w:p>
        </w:tc>
        <w:tc>
          <w:tcPr>
            <w:tcW w:w="1247" w:type="dxa"/>
            <w:tcBorders>
              <w:tl2br w:val="nil"/>
              <w:tr2bl w:val="nil"/>
            </w:tcBorders>
            <w:vAlign w:val="center"/>
          </w:tcPr>
          <w:p>
            <w:pPr>
              <w:pStyle w:val="22"/>
              <w:bidi w:val="0"/>
              <w:rPr>
                <w:b/>
                <w:bCs/>
                <w:color w:val="auto"/>
              </w:rPr>
            </w:pPr>
            <w:r>
              <w:rPr>
                <w:b/>
                <w:bCs/>
                <w:color w:val="auto"/>
              </w:rPr>
              <w:t>处置方法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6" w:hRule="atLeast"/>
          <w:jc w:val="center"/>
        </w:trPr>
        <w:tc>
          <w:tcPr>
            <w:tcW w:w="439" w:type="dxa"/>
            <w:vMerge w:val="restart"/>
            <w:tcBorders>
              <w:tl2br w:val="nil"/>
              <w:tr2bl w:val="nil"/>
            </w:tcBorders>
            <w:textDirection w:val="tbRlV"/>
            <w:vAlign w:val="center"/>
          </w:tcPr>
          <w:p>
            <w:pPr>
              <w:pStyle w:val="22"/>
              <w:bidi w:val="0"/>
              <w:rPr>
                <w:color w:val="auto"/>
              </w:rPr>
            </w:pPr>
            <w:r>
              <w:rPr>
                <w:color w:val="auto"/>
              </w:rPr>
              <w:t>医疗废物</w:t>
            </w:r>
          </w:p>
        </w:tc>
        <w:tc>
          <w:tcPr>
            <w:tcW w:w="728" w:type="dxa"/>
            <w:vMerge w:val="restart"/>
            <w:tcBorders>
              <w:tl2br w:val="nil"/>
              <w:tr2bl w:val="nil"/>
            </w:tcBorders>
            <w:vAlign w:val="center"/>
          </w:tcPr>
          <w:p>
            <w:pPr>
              <w:pStyle w:val="22"/>
              <w:bidi w:val="0"/>
              <w:rPr>
                <w:color w:val="auto"/>
              </w:rPr>
            </w:pPr>
            <w:r>
              <w:rPr>
                <w:rFonts w:hint="eastAsia"/>
                <w:color w:val="auto"/>
                <w:lang w:val="en-US" w:eastAsia="zh-CN"/>
              </w:rPr>
              <w:t>儿童预防接种及</w:t>
            </w:r>
            <w:r>
              <w:rPr>
                <w:color w:val="auto"/>
              </w:rPr>
              <w:t>体检</w:t>
            </w:r>
          </w:p>
        </w:tc>
        <w:tc>
          <w:tcPr>
            <w:tcW w:w="1605" w:type="dxa"/>
            <w:tcBorders>
              <w:tl2br w:val="nil"/>
              <w:tr2bl w:val="nil"/>
            </w:tcBorders>
            <w:vAlign w:val="center"/>
          </w:tcPr>
          <w:p>
            <w:pPr>
              <w:pStyle w:val="22"/>
              <w:bidi w:val="0"/>
              <w:rPr>
                <w:color w:val="auto"/>
              </w:rPr>
            </w:pPr>
            <w:r>
              <w:rPr>
                <w:color w:val="auto"/>
              </w:rPr>
              <w:t>废棉签及其他</w:t>
            </w:r>
          </w:p>
          <w:p>
            <w:pPr>
              <w:pStyle w:val="22"/>
              <w:bidi w:val="0"/>
              <w:rPr>
                <w:color w:val="auto"/>
              </w:rPr>
            </w:pPr>
            <w:r>
              <w:rPr>
                <w:color w:val="auto"/>
              </w:rPr>
              <w:t>各种敷料、废一</w:t>
            </w:r>
          </w:p>
          <w:p>
            <w:pPr>
              <w:pStyle w:val="22"/>
              <w:bidi w:val="0"/>
              <w:rPr>
                <w:color w:val="auto"/>
              </w:rPr>
            </w:pPr>
            <w:r>
              <w:rPr>
                <w:color w:val="auto"/>
              </w:rPr>
              <w:t>次性用品、废血</w:t>
            </w:r>
          </w:p>
          <w:p>
            <w:pPr>
              <w:pStyle w:val="22"/>
              <w:bidi w:val="0"/>
              <w:rPr>
                <w:color w:val="auto"/>
              </w:rPr>
            </w:pPr>
            <w:r>
              <w:rPr>
                <w:color w:val="auto"/>
              </w:rPr>
              <w:t>液、废血清</w:t>
            </w:r>
          </w:p>
        </w:tc>
        <w:tc>
          <w:tcPr>
            <w:tcW w:w="1328" w:type="dxa"/>
            <w:tcBorders>
              <w:tl2br w:val="nil"/>
              <w:tr2bl w:val="nil"/>
            </w:tcBorders>
            <w:vAlign w:val="center"/>
          </w:tcPr>
          <w:p>
            <w:pPr>
              <w:pStyle w:val="22"/>
              <w:bidi w:val="0"/>
              <w:rPr>
                <w:color w:val="auto"/>
              </w:rPr>
            </w:pPr>
            <w:r>
              <w:rPr>
                <w:color w:val="auto"/>
              </w:rPr>
              <w:t>感染性废物</w:t>
            </w:r>
          </w:p>
        </w:tc>
        <w:tc>
          <w:tcPr>
            <w:tcW w:w="2316" w:type="dxa"/>
            <w:tcBorders>
              <w:tl2br w:val="nil"/>
              <w:tr2bl w:val="nil"/>
            </w:tcBorders>
            <w:vAlign w:val="center"/>
          </w:tcPr>
          <w:p>
            <w:pPr>
              <w:pStyle w:val="22"/>
              <w:bidi w:val="0"/>
              <w:rPr>
                <w:color w:val="auto"/>
              </w:rPr>
            </w:pPr>
            <w:r>
              <w:rPr>
                <w:color w:val="auto"/>
              </w:rPr>
              <w:t>HW01医疗废物（废物代码：8</w:t>
            </w:r>
            <w:r>
              <w:rPr>
                <w:rFonts w:hint="eastAsia"/>
                <w:color w:val="auto"/>
                <w:lang w:val="en-US" w:eastAsia="zh-CN"/>
              </w:rPr>
              <w:t>4</w:t>
            </w:r>
            <w:r>
              <w:rPr>
                <w:color w:val="auto"/>
              </w:rPr>
              <w:t>1-001-01、</w:t>
            </w:r>
          </w:p>
        </w:tc>
        <w:tc>
          <w:tcPr>
            <w:tcW w:w="874" w:type="dxa"/>
            <w:tcBorders>
              <w:tl2br w:val="nil"/>
              <w:tr2bl w:val="nil"/>
            </w:tcBorders>
            <w:vAlign w:val="center"/>
          </w:tcPr>
          <w:p>
            <w:pPr>
              <w:pStyle w:val="22"/>
              <w:bidi w:val="0"/>
              <w:rPr>
                <w:color w:val="auto"/>
              </w:rPr>
            </w:pPr>
            <w:r>
              <w:rPr>
                <w:rFonts w:hint="eastAsia"/>
                <w:color w:val="auto"/>
                <w:lang w:val="en-US" w:eastAsia="zh-CN"/>
              </w:rPr>
              <w:t>0.739</w:t>
            </w:r>
          </w:p>
        </w:tc>
        <w:tc>
          <w:tcPr>
            <w:tcW w:w="1247" w:type="dxa"/>
            <w:vMerge w:val="restart"/>
            <w:tcBorders>
              <w:tl2br w:val="nil"/>
              <w:tr2bl w:val="nil"/>
            </w:tcBorders>
            <w:vAlign w:val="center"/>
          </w:tcPr>
          <w:p>
            <w:pPr>
              <w:pStyle w:val="22"/>
              <w:bidi w:val="0"/>
              <w:rPr>
                <w:color w:val="auto"/>
              </w:rPr>
            </w:pPr>
            <w:r>
              <w:rPr>
                <w:color w:val="auto"/>
              </w:rPr>
              <w:t>设专用垃圾桶分类收集，感染性废物经高温灭菌</w:t>
            </w:r>
          </w:p>
          <w:p>
            <w:pPr>
              <w:pStyle w:val="22"/>
              <w:bidi w:val="0"/>
              <w:rPr>
                <w:color w:val="auto"/>
              </w:rPr>
            </w:pPr>
            <w:r>
              <w:rPr>
                <w:color w:val="auto"/>
              </w:rPr>
              <w:t>锅消毒后，贮存于专设的医疗废物暂存间，定期交由有资质单位处理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jc w:val="center"/>
        </w:trPr>
        <w:tc>
          <w:tcPr>
            <w:tcW w:w="439" w:type="dxa"/>
            <w:vMerge w:val="continue"/>
            <w:tcBorders>
              <w:tl2br w:val="nil"/>
              <w:tr2bl w:val="nil"/>
            </w:tcBorders>
            <w:textDirection w:val="tbRlV"/>
            <w:vAlign w:val="center"/>
          </w:tcPr>
          <w:p>
            <w:pPr>
              <w:pStyle w:val="22"/>
              <w:bidi w:val="0"/>
              <w:rPr>
                <w:color w:val="auto"/>
              </w:rPr>
            </w:pPr>
          </w:p>
        </w:tc>
        <w:tc>
          <w:tcPr>
            <w:tcW w:w="728" w:type="dxa"/>
            <w:vMerge w:val="continue"/>
            <w:tcBorders>
              <w:tl2br w:val="nil"/>
              <w:tr2bl w:val="nil"/>
            </w:tcBorders>
            <w:vAlign w:val="center"/>
          </w:tcPr>
          <w:p>
            <w:pPr>
              <w:pStyle w:val="22"/>
              <w:bidi w:val="0"/>
              <w:rPr>
                <w:color w:val="auto"/>
              </w:rPr>
            </w:pPr>
          </w:p>
        </w:tc>
        <w:tc>
          <w:tcPr>
            <w:tcW w:w="1605" w:type="dxa"/>
            <w:tcBorders>
              <w:tl2br w:val="nil"/>
              <w:tr2bl w:val="nil"/>
            </w:tcBorders>
            <w:vAlign w:val="center"/>
          </w:tcPr>
          <w:p>
            <w:pPr>
              <w:pStyle w:val="22"/>
              <w:bidi w:val="0"/>
              <w:rPr>
                <w:color w:val="auto"/>
              </w:rPr>
            </w:pPr>
            <w:r>
              <w:rPr>
                <w:color w:val="auto"/>
              </w:rPr>
              <w:t>废针头、废针具</w:t>
            </w:r>
          </w:p>
        </w:tc>
        <w:tc>
          <w:tcPr>
            <w:tcW w:w="1328" w:type="dxa"/>
            <w:tcBorders>
              <w:tl2br w:val="nil"/>
              <w:tr2bl w:val="nil"/>
            </w:tcBorders>
            <w:vAlign w:val="center"/>
          </w:tcPr>
          <w:p>
            <w:pPr>
              <w:pStyle w:val="22"/>
              <w:bidi w:val="0"/>
              <w:rPr>
                <w:color w:val="auto"/>
              </w:rPr>
            </w:pPr>
            <w:r>
              <w:rPr>
                <w:color w:val="auto"/>
              </w:rPr>
              <w:t>损伤性废物</w:t>
            </w:r>
          </w:p>
        </w:tc>
        <w:tc>
          <w:tcPr>
            <w:tcW w:w="2316" w:type="dxa"/>
            <w:tcBorders>
              <w:tl2br w:val="nil"/>
              <w:tr2bl w:val="nil"/>
            </w:tcBorders>
            <w:vAlign w:val="center"/>
          </w:tcPr>
          <w:p>
            <w:pPr>
              <w:pStyle w:val="22"/>
              <w:bidi w:val="0"/>
              <w:rPr>
                <w:color w:val="auto"/>
              </w:rPr>
            </w:pPr>
            <w:r>
              <w:rPr>
                <w:color w:val="auto"/>
              </w:rPr>
              <w:t>HW01医疗废物（废物代码：8</w:t>
            </w:r>
            <w:r>
              <w:rPr>
                <w:rFonts w:hint="eastAsia"/>
                <w:color w:val="auto"/>
                <w:lang w:val="en-US" w:eastAsia="zh-CN"/>
              </w:rPr>
              <w:t>4</w:t>
            </w:r>
            <w:r>
              <w:rPr>
                <w:color w:val="auto"/>
              </w:rPr>
              <w:t>1-002-01）</w:t>
            </w:r>
          </w:p>
        </w:tc>
        <w:tc>
          <w:tcPr>
            <w:tcW w:w="874" w:type="dxa"/>
            <w:tcBorders>
              <w:tl2br w:val="nil"/>
              <w:tr2bl w:val="nil"/>
            </w:tcBorders>
            <w:vAlign w:val="center"/>
          </w:tcPr>
          <w:p>
            <w:pPr>
              <w:pStyle w:val="22"/>
              <w:bidi w:val="0"/>
              <w:rPr>
                <w:color w:val="auto"/>
              </w:rPr>
            </w:pPr>
            <w:r>
              <w:rPr>
                <w:rFonts w:hint="eastAsia"/>
                <w:color w:val="auto"/>
                <w:lang w:val="en-US" w:eastAsia="zh-CN"/>
              </w:rPr>
              <w:t>0.01</w:t>
            </w:r>
          </w:p>
        </w:tc>
        <w:tc>
          <w:tcPr>
            <w:tcW w:w="1247" w:type="dxa"/>
            <w:vMerge w:val="continue"/>
            <w:tcBorders>
              <w:tl2br w:val="nil"/>
              <w:tr2bl w:val="nil"/>
            </w:tcBorders>
            <w:vAlign w:val="center"/>
          </w:tcPr>
          <w:p>
            <w:pPr>
              <w:pStyle w:val="22"/>
              <w:bidi w:val="0"/>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jc w:val="center"/>
        </w:trPr>
        <w:tc>
          <w:tcPr>
            <w:tcW w:w="439" w:type="dxa"/>
            <w:vMerge w:val="continue"/>
            <w:tcBorders>
              <w:tl2br w:val="nil"/>
              <w:tr2bl w:val="nil"/>
            </w:tcBorders>
            <w:textDirection w:val="tbRlV"/>
            <w:vAlign w:val="center"/>
          </w:tcPr>
          <w:p>
            <w:pPr>
              <w:pStyle w:val="22"/>
              <w:bidi w:val="0"/>
              <w:rPr>
                <w:color w:val="auto"/>
              </w:rPr>
            </w:pPr>
          </w:p>
        </w:tc>
        <w:tc>
          <w:tcPr>
            <w:tcW w:w="728" w:type="dxa"/>
            <w:vMerge w:val="continue"/>
            <w:tcBorders>
              <w:tl2br w:val="nil"/>
              <w:tr2bl w:val="nil"/>
            </w:tcBorders>
            <w:vAlign w:val="center"/>
          </w:tcPr>
          <w:p>
            <w:pPr>
              <w:pStyle w:val="22"/>
              <w:bidi w:val="0"/>
              <w:rPr>
                <w:color w:val="auto"/>
              </w:rPr>
            </w:pPr>
          </w:p>
        </w:tc>
        <w:tc>
          <w:tcPr>
            <w:tcW w:w="1605" w:type="dxa"/>
            <w:tcBorders>
              <w:tl2br w:val="nil"/>
              <w:tr2bl w:val="nil"/>
            </w:tcBorders>
            <w:vAlign w:val="center"/>
          </w:tcPr>
          <w:p>
            <w:pPr>
              <w:pStyle w:val="22"/>
              <w:bidi w:val="0"/>
              <w:rPr>
                <w:color w:val="auto"/>
              </w:rPr>
            </w:pPr>
            <w:r>
              <w:rPr>
                <w:rFonts w:hint="eastAsia"/>
                <w:color w:val="auto"/>
                <w:lang w:val="en-US" w:eastAsia="zh-CN"/>
              </w:rPr>
              <w:t>废弃的疫苗</w:t>
            </w:r>
          </w:p>
        </w:tc>
        <w:tc>
          <w:tcPr>
            <w:tcW w:w="1328" w:type="dxa"/>
            <w:tcBorders>
              <w:tl2br w:val="nil"/>
              <w:tr2bl w:val="nil"/>
            </w:tcBorders>
            <w:vAlign w:val="center"/>
          </w:tcPr>
          <w:p>
            <w:pPr>
              <w:pStyle w:val="22"/>
              <w:bidi w:val="0"/>
              <w:rPr>
                <w:color w:val="auto"/>
              </w:rPr>
            </w:pPr>
            <w:r>
              <w:rPr>
                <w:rFonts w:hint="eastAsia"/>
                <w:color w:val="auto"/>
                <w:lang w:val="en-US" w:eastAsia="zh-CN"/>
              </w:rPr>
              <w:t>药物性废物</w:t>
            </w:r>
          </w:p>
        </w:tc>
        <w:tc>
          <w:tcPr>
            <w:tcW w:w="2316" w:type="dxa"/>
            <w:tcBorders>
              <w:tl2br w:val="nil"/>
              <w:tr2bl w:val="nil"/>
            </w:tcBorders>
            <w:vAlign w:val="center"/>
          </w:tcPr>
          <w:p>
            <w:pPr>
              <w:pStyle w:val="22"/>
              <w:bidi w:val="0"/>
              <w:rPr>
                <w:color w:val="auto"/>
              </w:rPr>
            </w:pPr>
            <w:r>
              <w:rPr>
                <w:color w:val="auto"/>
              </w:rPr>
              <w:t>HW01医疗废物（废物代码：8</w:t>
            </w:r>
            <w:r>
              <w:rPr>
                <w:rFonts w:hint="eastAsia"/>
                <w:color w:val="auto"/>
                <w:lang w:val="en-US" w:eastAsia="zh-CN"/>
              </w:rPr>
              <w:t>4</w:t>
            </w:r>
            <w:r>
              <w:rPr>
                <w:color w:val="auto"/>
              </w:rPr>
              <w:t>1-005-01）</w:t>
            </w:r>
          </w:p>
        </w:tc>
        <w:tc>
          <w:tcPr>
            <w:tcW w:w="874" w:type="dxa"/>
            <w:tcBorders>
              <w:tl2br w:val="nil"/>
              <w:tr2bl w:val="nil"/>
            </w:tcBorders>
            <w:vAlign w:val="center"/>
          </w:tcPr>
          <w:p>
            <w:pPr>
              <w:pStyle w:val="22"/>
              <w:bidi w:val="0"/>
              <w:rPr>
                <w:color w:val="auto"/>
              </w:rPr>
            </w:pPr>
            <w:r>
              <w:rPr>
                <w:rFonts w:hint="eastAsia"/>
                <w:color w:val="auto"/>
                <w:lang w:val="en-US" w:eastAsia="zh-CN"/>
              </w:rPr>
              <w:t>0.001</w:t>
            </w:r>
          </w:p>
        </w:tc>
        <w:tc>
          <w:tcPr>
            <w:tcW w:w="1247" w:type="dxa"/>
            <w:vMerge w:val="continue"/>
            <w:tcBorders>
              <w:tl2br w:val="nil"/>
              <w:tr2bl w:val="nil"/>
            </w:tcBorders>
            <w:vAlign w:val="center"/>
          </w:tcPr>
          <w:p>
            <w:pPr>
              <w:pStyle w:val="22"/>
              <w:bidi w:val="0"/>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jc w:val="center"/>
        </w:trPr>
        <w:tc>
          <w:tcPr>
            <w:tcW w:w="439" w:type="dxa"/>
            <w:vMerge w:val="continue"/>
            <w:tcBorders>
              <w:tl2br w:val="nil"/>
              <w:tr2bl w:val="nil"/>
            </w:tcBorders>
            <w:textDirection w:val="tbRlV"/>
            <w:vAlign w:val="center"/>
          </w:tcPr>
          <w:p>
            <w:pPr>
              <w:pStyle w:val="22"/>
              <w:bidi w:val="0"/>
              <w:rPr>
                <w:color w:val="auto"/>
              </w:rPr>
            </w:pPr>
          </w:p>
        </w:tc>
        <w:tc>
          <w:tcPr>
            <w:tcW w:w="728" w:type="dxa"/>
            <w:vMerge w:val="restart"/>
            <w:tcBorders>
              <w:tl2br w:val="nil"/>
              <w:tr2bl w:val="nil"/>
            </w:tcBorders>
            <w:vAlign w:val="center"/>
          </w:tcPr>
          <w:p>
            <w:pPr>
              <w:pStyle w:val="22"/>
              <w:bidi w:val="0"/>
              <w:rPr>
                <w:color w:val="auto"/>
              </w:rPr>
            </w:pPr>
            <w:r>
              <w:rPr>
                <w:color w:val="auto"/>
              </w:rPr>
              <w:t>微生</w:t>
            </w:r>
          </w:p>
          <w:p>
            <w:pPr>
              <w:pStyle w:val="22"/>
              <w:bidi w:val="0"/>
              <w:rPr>
                <w:color w:val="auto"/>
              </w:rPr>
            </w:pPr>
            <w:r>
              <w:rPr>
                <w:color w:val="auto"/>
              </w:rPr>
              <w:t>物实</w:t>
            </w:r>
          </w:p>
          <w:p>
            <w:pPr>
              <w:pStyle w:val="22"/>
              <w:bidi w:val="0"/>
              <w:rPr>
                <w:color w:val="auto"/>
              </w:rPr>
            </w:pPr>
            <w:r>
              <w:rPr>
                <w:color w:val="auto"/>
              </w:rPr>
              <w:t>验室</w:t>
            </w:r>
          </w:p>
        </w:tc>
        <w:tc>
          <w:tcPr>
            <w:tcW w:w="1605" w:type="dxa"/>
            <w:tcBorders>
              <w:tl2br w:val="nil"/>
              <w:tr2bl w:val="nil"/>
            </w:tcBorders>
            <w:vAlign w:val="center"/>
          </w:tcPr>
          <w:p>
            <w:pPr>
              <w:pStyle w:val="22"/>
              <w:bidi w:val="0"/>
              <w:rPr>
                <w:color w:val="auto"/>
              </w:rPr>
            </w:pPr>
            <w:r>
              <w:rPr>
                <w:color w:val="auto"/>
              </w:rPr>
              <w:t>定期更换的废高效过滤器</w:t>
            </w:r>
          </w:p>
        </w:tc>
        <w:tc>
          <w:tcPr>
            <w:tcW w:w="1328" w:type="dxa"/>
            <w:tcBorders>
              <w:tl2br w:val="nil"/>
              <w:tr2bl w:val="nil"/>
            </w:tcBorders>
            <w:vAlign w:val="center"/>
          </w:tcPr>
          <w:p>
            <w:pPr>
              <w:pStyle w:val="22"/>
              <w:bidi w:val="0"/>
              <w:rPr>
                <w:color w:val="auto"/>
              </w:rPr>
            </w:pPr>
            <w:r>
              <w:rPr>
                <w:color w:val="auto"/>
              </w:rPr>
              <w:t>感染性废物</w:t>
            </w:r>
          </w:p>
        </w:tc>
        <w:tc>
          <w:tcPr>
            <w:tcW w:w="2316" w:type="dxa"/>
            <w:tcBorders>
              <w:tl2br w:val="nil"/>
              <w:tr2bl w:val="nil"/>
            </w:tcBorders>
            <w:vAlign w:val="center"/>
          </w:tcPr>
          <w:p>
            <w:pPr>
              <w:pStyle w:val="22"/>
              <w:bidi w:val="0"/>
              <w:rPr>
                <w:color w:val="auto"/>
              </w:rPr>
            </w:pPr>
            <w:r>
              <w:rPr>
                <w:color w:val="auto"/>
              </w:rPr>
              <w:t>HW01医疗废物（废物代码：8</w:t>
            </w:r>
            <w:r>
              <w:rPr>
                <w:rFonts w:hint="eastAsia"/>
                <w:color w:val="auto"/>
                <w:lang w:val="en-US" w:eastAsia="zh-CN"/>
              </w:rPr>
              <w:t>4</w:t>
            </w:r>
            <w:r>
              <w:rPr>
                <w:color w:val="auto"/>
              </w:rPr>
              <w:t>1-001-01）</w:t>
            </w:r>
          </w:p>
        </w:tc>
        <w:tc>
          <w:tcPr>
            <w:tcW w:w="874" w:type="dxa"/>
            <w:tcBorders>
              <w:tl2br w:val="nil"/>
              <w:tr2bl w:val="nil"/>
            </w:tcBorders>
            <w:vAlign w:val="center"/>
          </w:tcPr>
          <w:p>
            <w:pPr>
              <w:pStyle w:val="22"/>
              <w:bidi w:val="0"/>
              <w:rPr>
                <w:color w:val="auto"/>
              </w:rPr>
            </w:pPr>
            <w:r>
              <w:rPr>
                <w:rFonts w:hint="eastAsia"/>
                <w:color w:val="auto"/>
                <w:lang w:val="en-US" w:eastAsia="zh-CN"/>
              </w:rPr>
              <w:t>0.002</w:t>
            </w:r>
          </w:p>
        </w:tc>
        <w:tc>
          <w:tcPr>
            <w:tcW w:w="1247" w:type="dxa"/>
            <w:vMerge w:val="continue"/>
            <w:tcBorders>
              <w:tl2br w:val="nil"/>
              <w:tr2bl w:val="nil"/>
            </w:tcBorders>
            <w:vAlign w:val="center"/>
          </w:tcPr>
          <w:p>
            <w:pPr>
              <w:pStyle w:val="22"/>
              <w:bidi w:val="0"/>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jc w:val="center"/>
        </w:trPr>
        <w:tc>
          <w:tcPr>
            <w:tcW w:w="439" w:type="dxa"/>
            <w:vMerge w:val="continue"/>
            <w:tcBorders>
              <w:tl2br w:val="nil"/>
              <w:tr2bl w:val="nil"/>
            </w:tcBorders>
            <w:textDirection w:val="tbRlV"/>
            <w:vAlign w:val="center"/>
          </w:tcPr>
          <w:p>
            <w:pPr>
              <w:pStyle w:val="22"/>
              <w:bidi w:val="0"/>
              <w:rPr>
                <w:color w:val="auto"/>
              </w:rPr>
            </w:pPr>
          </w:p>
        </w:tc>
        <w:tc>
          <w:tcPr>
            <w:tcW w:w="728" w:type="dxa"/>
            <w:vMerge w:val="continue"/>
            <w:tcBorders>
              <w:tl2br w:val="nil"/>
              <w:tr2bl w:val="nil"/>
            </w:tcBorders>
            <w:vAlign w:val="center"/>
          </w:tcPr>
          <w:p>
            <w:pPr>
              <w:pStyle w:val="22"/>
              <w:bidi w:val="0"/>
              <w:rPr>
                <w:color w:val="auto"/>
              </w:rPr>
            </w:pPr>
          </w:p>
        </w:tc>
        <w:tc>
          <w:tcPr>
            <w:tcW w:w="1605" w:type="dxa"/>
            <w:tcBorders>
              <w:tl2br w:val="nil"/>
              <w:tr2bl w:val="nil"/>
            </w:tcBorders>
            <w:vAlign w:val="center"/>
          </w:tcPr>
          <w:p>
            <w:pPr>
              <w:pStyle w:val="22"/>
              <w:bidi w:val="0"/>
              <w:rPr>
                <w:color w:val="auto"/>
              </w:rPr>
            </w:pPr>
            <w:r>
              <w:rPr>
                <w:color w:val="auto"/>
              </w:rPr>
              <w:t>废培养基、废一</w:t>
            </w:r>
          </w:p>
          <w:p>
            <w:pPr>
              <w:pStyle w:val="22"/>
              <w:bidi w:val="0"/>
              <w:rPr>
                <w:color w:val="auto"/>
              </w:rPr>
            </w:pPr>
            <w:r>
              <w:rPr>
                <w:color w:val="auto"/>
              </w:rPr>
              <w:t>次性实验用品、废标本、</w:t>
            </w:r>
          </w:p>
        </w:tc>
        <w:tc>
          <w:tcPr>
            <w:tcW w:w="1328" w:type="dxa"/>
            <w:tcBorders>
              <w:tl2br w:val="nil"/>
              <w:tr2bl w:val="nil"/>
            </w:tcBorders>
            <w:vAlign w:val="center"/>
          </w:tcPr>
          <w:p>
            <w:pPr>
              <w:pStyle w:val="22"/>
              <w:bidi w:val="0"/>
              <w:rPr>
                <w:color w:val="auto"/>
              </w:rPr>
            </w:pPr>
            <w:r>
              <w:rPr>
                <w:color w:val="auto"/>
              </w:rPr>
              <w:t>感染性废物</w:t>
            </w:r>
          </w:p>
        </w:tc>
        <w:tc>
          <w:tcPr>
            <w:tcW w:w="2316" w:type="dxa"/>
            <w:tcBorders>
              <w:tl2br w:val="nil"/>
              <w:tr2bl w:val="nil"/>
            </w:tcBorders>
            <w:vAlign w:val="center"/>
          </w:tcPr>
          <w:p>
            <w:pPr>
              <w:pStyle w:val="22"/>
              <w:bidi w:val="0"/>
              <w:rPr>
                <w:color w:val="auto"/>
              </w:rPr>
            </w:pPr>
            <w:r>
              <w:rPr>
                <w:color w:val="auto"/>
              </w:rPr>
              <w:t>HW01医疗废物（废物代码：8</w:t>
            </w:r>
            <w:r>
              <w:rPr>
                <w:rFonts w:hint="eastAsia"/>
                <w:color w:val="auto"/>
                <w:lang w:val="en-US" w:eastAsia="zh-CN"/>
              </w:rPr>
              <w:t>4</w:t>
            </w:r>
            <w:r>
              <w:rPr>
                <w:color w:val="auto"/>
              </w:rPr>
              <w:t>1-001-01）</w:t>
            </w:r>
          </w:p>
        </w:tc>
        <w:tc>
          <w:tcPr>
            <w:tcW w:w="874" w:type="dxa"/>
            <w:tcBorders>
              <w:tl2br w:val="nil"/>
              <w:tr2bl w:val="nil"/>
            </w:tcBorders>
            <w:vAlign w:val="center"/>
          </w:tcPr>
          <w:p>
            <w:pPr>
              <w:pStyle w:val="22"/>
              <w:bidi w:val="0"/>
              <w:rPr>
                <w:color w:val="auto"/>
              </w:rPr>
            </w:pPr>
            <w:r>
              <w:rPr>
                <w:rFonts w:hint="eastAsia"/>
                <w:color w:val="auto"/>
                <w:lang w:val="en-US" w:eastAsia="zh-CN"/>
              </w:rPr>
              <w:t>0.09</w:t>
            </w:r>
          </w:p>
        </w:tc>
        <w:tc>
          <w:tcPr>
            <w:tcW w:w="1247" w:type="dxa"/>
            <w:vMerge w:val="continue"/>
            <w:tcBorders>
              <w:tl2br w:val="nil"/>
              <w:tr2bl w:val="nil"/>
            </w:tcBorders>
            <w:vAlign w:val="center"/>
          </w:tcPr>
          <w:p>
            <w:pPr>
              <w:pStyle w:val="22"/>
              <w:bidi w:val="0"/>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jc w:val="center"/>
        </w:trPr>
        <w:tc>
          <w:tcPr>
            <w:tcW w:w="439" w:type="dxa"/>
            <w:vMerge w:val="continue"/>
            <w:tcBorders>
              <w:tl2br w:val="nil"/>
              <w:tr2bl w:val="nil"/>
            </w:tcBorders>
            <w:textDirection w:val="tbRlV"/>
            <w:vAlign w:val="center"/>
          </w:tcPr>
          <w:p>
            <w:pPr>
              <w:pStyle w:val="22"/>
              <w:bidi w:val="0"/>
              <w:rPr>
                <w:color w:val="auto"/>
              </w:rPr>
            </w:pPr>
          </w:p>
        </w:tc>
        <w:tc>
          <w:tcPr>
            <w:tcW w:w="728" w:type="dxa"/>
            <w:vMerge w:val="continue"/>
            <w:tcBorders>
              <w:tl2br w:val="nil"/>
              <w:tr2bl w:val="nil"/>
            </w:tcBorders>
            <w:vAlign w:val="center"/>
          </w:tcPr>
          <w:p>
            <w:pPr>
              <w:pStyle w:val="22"/>
              <w:bidi w:val="0"/>
              <w:rPr>
                <w:color w:val="auto"/>
              </w:rPr>
            </w:pPr>
          </w:p>
        </w:tc>
        <w:tc>
          <w:tcPr>
            <w:tcW w:w="1605" w:type="dxa"/>
            <w:tcBorders>
              <w:tl2br w:val="nil"/>
              <w:tr2bl w:val="nil"/>
            </w:tcBorders>
            <w:vAlign w:val="center"/>
          </w:tcPr>
          <w:p>
            <w:pPr>
              <w:pStyle w:val="22"/>
              <w:bidi w:val="0"/>
              <w:rPr>
                <w:color w:val="auto"/>
              </w:rPr>
            </w:pPr>
            <w:r>
              <w:rPr>
                <w:color w:val="auto"/>
              </w:rPr>
              <w:t>实验用药</w:t>
            </w:r>
          </w:p>
        </w:tc>
        <w:tc>
          <w:tcPr>
            <w:tcW w:w="1328" w:type="dxa"/>
            <w:tcBorders>
              <w:tl2br w:val="nil"/>
              <w:tr2bl w:val="nil"/>
            </w:tcBorders>
            <w:vAlign w:val="center"/>
          </w:tcPr>
          <w:p>
            <w:pPr>
              <w:pStyle w:val="22"/>
              <w:bidi w:val="0"/>
              <w:rPr>
                <w:color w:val="auto"/>
              </w:rPr>
            </w:pPr>
            <w:r>
              <w:rPr>
                <w:color w:val="auto"/>
              </w:rPr>
              <w:t>药物性废物</w:t>
            </w:r>
          </w:p>
        </w:tc>
        <w:tc>
          <w:tcPr>
            <w:tcW w:w="2316" w:type="dxa"/>
            <w:tcBorders>
              <w:tl2br w:val="nil"/>
              <w:tr2bl w:val="nil"/>
            </w:tcBorders>
            <w:vAlign w:val="center"/>
          </w:tcPr>
          <w:p>
            <w:pPr>
              <w:pStyle w:val="22"/>
              <w:bidi w:val="0"/>
              <w:rPr>
                <w:color w:val="auto"/>
              </w:rPr>
            </w:pPr>
            <w:r>
              <w:rPr>
                <w:color w:val="auto"/>
              </w:rPr>
              <w:t>HW01医疗废物（废物代码：8</w:t>
            </w:r>
            <w:r>
              <w:rPr>
                <w:rFonts w:hint="eastAsia"/>
                <w:color w:val="auto"/>
                <w:lang w:val="en-US" w:eastAsia="zh-CN"/>
              </w:rPr>
              <w:t>4</w:t>
            </w:r>
            <w:r>
              <w:rPr>
                <w:color w:val="auto"/>
              </w:rPr>
              <w:t>1-005-01）</w:t>
            </w:r>
          </w:p>
        </w:tc>
        <w:tc>
          <w:tcPr>
            <w:tcW w:w="874" w:type="dxa"/>
            <w:tcBorders>
              <w:tl2br w:val="nil"/>
              <w:tr2bl w:val="nil"/>
            </w:tcBorders>
            <w:vAlign w:val="center"/>
          </w:tcPr>
          <w:p>
            <w:pPr>
              <w:pStyle w:val="22"/>
              <w:bidi w:val="0"/>
              <w:rPr>
                <w:color w:val="auto"/>
              </w:rPr>
            </w:pPr>
            <w:r>
              <w:rPr>
                <w:rFonts w:hint="eastAsia"/>
                <w:color w:val="auto"/>
                <w:lang w:val="en-US" w:eastAsia="zh-CN"/>
              </w:rPr>
              <w:t>0.008</w:t>
            </w:r>
          </w:p>
        </w:tc>
        <w:tc>
          <w:tcPr>
            <w:tcW w:w="1247" w:type="dxa"/>
            <w:vMerge w:val="continue"/>
            <w:tcBorders>
              <w:tl2br w:val="nil"/>
              <w:tr2bl w:val="nil"/>
            </w:tcBorders>
            <w:vAlign w:val="center"/>
          </w:tcPr>
          <w:p>
            <w:pPr>
              <w:pStyle w:val="22"/>
              <w:bidi w:val="0"/>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jc w:val="center"/>
        </w:trPr>
        <w:tc>
          <w:tcPr>
            <w:tcW w:w="439" w:type="dxa"/>
            <w:vMerge w:val="continue"/>
            <w:tcBorders>
              <w:tl2br w:val="nil"/>
              <w:tr2bl w:val="nil"/>
            </w:tcBorders>
            <w:textDirection w:val="tbRlV"/>
            <w:vAlign w:val="center"/>
          </w:tcPr>
          <w:p>
            <w:pPr>
              <w:pStyle w:val="22"/>
              <w:bidi w:val="0"/>
              <w:rPr>
                <w:color w:val="auto"/>
              </w:rPr>
            </w:pPr>
          </w:p>
        </w:tc>
        <w:tc>
          <w:tcPr>
            <w:tcW w:w="728" w:type="dxa"/>
            <w:tcBorders>
              <w:tl2br w:val="nil"/>
              <w:tr2bl w:val="nil"/>
            </w:tcBorders>
            <w:vAlign w:val="center"/>
          </w:tcPr>
          <w:p>
            <w:pPr>
              <w:pStyle w:val="22"/>
              <w:bidi w:val="0"/>
              <w:rPr>
                <w:color w:val="auto"/>
              </w:rPr>
            </w:pPr>
            <w:r>
              <w:rPr>
                <w:color w:val="auto"/>
              </w:rPr>
              <w:t>理化</w:t>
            </w:r>
          </w:p>
          <w:p>
            <w:pPr>
              <w:pStyle w:val="22"/>
              <w:bidi w:val="0"/>
              <w:rPr>
                <w:color w:val="auto"/>
              </w:rPr>
            </w:pPr>
            <w:r>
              <w:rPr>
                <w:color w:val="auto"/>
              </w:rPr>
              <w:t>实验</w:t>
            </w:r>
          </w:p>
          <w:p>
            <w:pPr>
              <w:pStyle w:val="22"/>
              <w:bidi w:val="0"/>
              <w:rPr>
                <w:color w:val="auto"/>
              </w:rPr>
            </w:pPr>
            <w:r>
              <w:rPr>
                <w:color w:val="auto"/>
              </w:rPr>
              <w:t>室</w:t>
            </w:r>
          </w:p>
        </w:tc>
        <w:tc>
          <w:tcPr>
            <w:tcW w:w="1605" w:type="dxa"/>
            <w:tcBorders>
              <w:tl2br w:val="nil"/>
              <w:tr2bl w:val="nil"/>
            </w:tcBorders>
            <w:vAlign w:val="center"/>
          </w:tcPr>
          <w:p>
            <w:pPr>
              <w:pStyle w:val="22"/>
              <w:bidi w:val="0"/>
              <w:rPr>
                <w:color w:val="auto"/>
              </w:rPr>
            </w:pPr>
            <w:r>
              <w:rPr>
                <w:color w:val="auto"/>
              </w:rPr>
              <w:t>有机废液，酸碱废液</w:t>
            </w:r>
          </w:p>
        </w:tc>
        <w:tc>
          <w:tcPr>
            <w:tcW w:w="1328" w:type="dxa"/>
            <w:tcBorders>
              <w:tl2br w:val="nil"/>
              <w:tr2bl w:val="nil"/>
            </w:tcBorders>
            <w:vAlign w:val="center"/>
          </w:tcPr>
          <w:p>
            <w:pPr>
              <w:pStyle w:val="22"/>
              <w:bidi w:val="0"/>
              <w:rPr>
                <w:color w:val="auto"/>
              </w:rPr>
            </w:pPr>
            <w:r>
              <w:rPr>
                <w:color w:val="auto"/>
              </w:rPr>
              <w:t>化学性废物</w:t>
            </w:r>
          </w:p>
        </w:tc>
        <w:tc>
          <w:tcPr>
            <w:tcW w:w="2316" w:type="dxa"/>
            <w:tcBorders>
              <w:tl2br w:val="nil"/>
              <w:tr2bl w:val="nil"/>
            </w:tcBorders>
            <w:vAlign w:val="center"/>
          </w:tcPr>
          <w:p>
            <w:pPr>
              <w:pStyle w:val="22"/>
              <w:bidi w:val="0"/>
              <w:rPr>
                <w:color w:val="auto"/>
              </w:rPr>
            </w:pPr>
            <w:r>
              <w:rPr>
                <w:color w:val="auto"/>
              </w:rPr>
              <w:t>HW01医疗废物（废物代码：8</w:t>
            </w:r>
            <w:r>
              <w:rPr>
                <w:rFonts w:hint="eastAsia"/>
                <w:color w:val="auto"/>
                <w:lang w:val="en-US" w:eastAsia="zh-CN"/>
              </w:rPr>
              <w:t>4</w:t>
            </w:r>
            <w:r>
              <w:rPr>
                <w:color w:val="auto"/>
              </w:rPr>
              <w:t>1-004-01）</w:t>
            </w:r>
          </w:p>
        </w:tc>
        <w:tc>
          <w:tcPr>
            <w:tcW w:w="874" w:type="dxa"/>
            <w:tcBorders>
              <w:tl2br w:val="nil"/>
              <w:tr2bl w:val="nil"/>
            </w:tcBorders>
            <w:vAlign w:val="center"/>
          </w:tcPr>
          <w:p>
            <w:pPr>
              <w:pStyle w:val="22"/>
              <w:bidi w:val="0"/>
              <w:rPr>
                <w:rFonts w:hint="default"/>
                <w:color w:val="auto"/>
                <w:lang w:val="en-US" w:eastAsia="zh-CN"/>
              </w:rPr>
            </w:pPr>
            <w:r>
              <w:rPr>
                <w:rFonts w:hint="eastAsia"/>
                <w:color w:val="auto"/>
                <w:lang w:val="en-US" w:eastAsia="zh-CN"/>
              </w:rPr>
              <w:t>0.01</w:t>
            </w:r>
          </w:p>
        </w:tc>
        <w:tc>
          <w:tcPr>
            <w:tcW w:w="1247" w:type="dxa"/>
            <w:vMerge w:val="continue"/>
            <w:tcBorders>
              <w:tl2br w:val="nil"/>
              <w:tr2bl w:val="nil"/>
            </w:tcBorders>
            <w:vAlign w:val="center"/>
          </w:tcPr>
          <w:p>
            <w:pPr>
              <w:pStyle w:val="22"/>
              <w:bidi w:val="0"/>
              <w:rPr>
                <w:color w:val="auto"/>
              </w:rPr>
            </w:pPr>
          </w:p>
        </w:tc>
      </w:tr>
    </w:tbl>
    <w:p>
      <w:pPr>
        <w:bidi w:val="0"/>
        <w:rPr>
          <w:color w:val="auto"/>
        </w:rPr>
      </w:pPr>
      <w:r>
        <w:rPr>
          <w:color w:val="auto"/>
        </w:rPr>
        <w:t>（</w:t>
      </w:r>
      <w:r>
        <w:rPr>
          <w:rFonts w:hint="eastAsia"/>
          <w:color w:val="auto"/>
          <w:lang w:val="en-US" w:eastAsia="zh-CN"/>
        </w:rPr>
        <w:t>4</w:t>
      </w:r>
      <w:r>
        <w:rPr>
          <w:color w:val="auto"/>
        </w:rPr>
        <w:t>）废活性炭</w:t>
      </w:r>
    </w:p>
    <w:p>
      <w:pPr>
        <w:bidi w:val="0"/>
        <w:rPr>
          <w:color w:val="auto"/>
        </w:rPr>
      </w:pPr>
      <w:r>
        <w:rPr>
          <w:color w:val="auto"/>
        </w:rPr>
        <w:t>主要来源于废气处理装置中活性炭吸附工序，其定期需更换活性炭，由于项目实验室检验项目较少，预计活性炭一年更换一次；污水处理站恶臭吸附装置也定期更换活性度，其产生量较少共约0.15t/a。此类固废属于《国家危险废物名录》，本项目废气处理产生的废活性炭属于HW49。</w:t>
      </w:r>
    </w:p>
    <w:p>
      <w:pPr>
        <w:bidi w:val="0"/>
        <w:rPr>
          <w:color w:val="auto"/>
        </w:rPr>
      </w:pPr>
      <w:r>
        <w:rPr>
          <w:color w:val="auto"/>
        </w:rPr>
        <w:t>（</w:t>
      </w:r>
      <w:r>
        <w:rPr>
          <w:rFonts w:hint="eastAsia"/>
          <w:color w:val="auto"/>
          <w:lang w:val="en-US" w:eastAsia="zh-CN"/>
        </w:rPr>
        <w:t>5</w:t>
      </w:r>
      <w:r>
        <w:rPr>
          <w:color w:val="auto"/>
        </w:rPr>
        <w:t>）废离子交换树脂</w:t>
      </w:r>
    </w:p>
    <w:p>
      <w:pPr>
        <w:bidi w:val="0"/>
        <w:rPr>
          <w:color w:val="auto"/>
        </w:rPr>
      </w:pPr>
      <w:r>
        <w:rPr>
          <w:color w:val="auto"/>
        </w:rPr>
        <w:t>主要来源于纯水制备工序，其定期需更换离子交换树脂，由于项目实验室所需纯水，离子交换树脂两年更换一次，更换一次产生废弃离子交换树脂0.006t，折合0.003t/a。废离子交换树脂属于一般固废，集中收集后运至工业固废垃圾填埋场处置。</w:t>
      </w:r>
    </w:p>
    <w:p>
      <w:pPr>
        <w:bidi w:val="0"/>
        <w:rPr>
          <w:color w:val="auto"/>
          <w:highlight w:val="none"/>
        </w:rPr>
      </w:pPr>
      <w:r>
        <w:rPr>
          <w:color w:val="auto"/>
          <w:highlight w:val="none"/>
        </w:rPr>
        <w:t>（</w:t>
      </w:r>
      <w:r>
        <w:rPr>
          <w:rFonts w:hint="eastAsia"/>
          <w:color w:val="auto"/>
          <w:highlight w:val="none"/>
          <w:lang w:val="en-US" w:eastAsia="zh-CN"/>
        </w:rPr>
        <w:t>6</w:t>
      </w:r>
      <w:r>
        <w:rPr>
          <w:color w:val="auto"/>
          <w:highlight w:val="none"/>
        </w:rPr>
        <w:t>）污水站污泥</w:t>
      </w:r>
    </w:p>
    <w:p>
      <w:pPr>
        <w:bidi w:val="0"/>
        <w:rPr>
          <w:color w:val="auto"/>
        </w:rPr>
      </w:pPr>
      <w:r>
        <w:rPr>
          <w:color w:val="auto"/>
        </w:rPr>
        <w:t>（</w:t>
      </w:r>
      <w:r>
        <w:rPr>
          <w:rFonts w:hint="eastAsia" w:ascii="Times New Roman" w:eastAsia="宋体"/>
          <w:color w:val="auto"/>
          <w:lang w:val="en-US" w:eastAsia="zh-CN"/>
        </w:rPr>
        <w:t>5</w:t>
      </w:r>
      <w:r>
        <w:rPr>
          <w:color w:val="auto"/>
        </w:rPr>
        <w:t>）</w:t>
      </w:r>
      <w:r>
        <w:rPr>
          <w:rFonts w:hint="eastAsia" w:ascii="Times New Roman" w:eastAsia="宋体"/>
          <w:color w:val="auto"/>
          <w:lang w:val="en-US" w:eastAsia="zh-CN"/>
        </w:rPr>
        <w:t>水处理栅渣及污泥</w:t>
      </w:r>
    </w:p>
    <w:p>
      <w:pPr>
        <w:bidi w:val="0"/>
        <w:rPr>
          <w:color w:val="auto"/>
        </w:rPr>
      </w:pPr>
      <w:r>
        <w:rPr>
          <w:color w:val="auto"/>
        </w:rPr>
        <w:t>根据《医疗机构水污染物排放标准》（GB18466-2005），污水处理站格栅过滤产生的栅渣、化粪池和污水处理站污泥均属危险废物，应按危险废物进行处理和处置。经查阅《国家危险废物名录（2021年版）》，栅渣、化粪池和污水处理站污泥均属于</w:t>
      </w:r>
      <w:r>
        <w:rPr>
          <w:color w:val="auto"/>
        </w:rPr>
        <w:t>HW</w:t>
      </w:r>
      <w:r>
        <w:rPr>
          <w:rFonts w:hint="eastAsia"/>
          <w:color w:val="auto"/>
          <w:lang w:val="en-US" w:eastAsia="zh-CN"/>
        </w:rPr>
        <w:t>01医疗废物</w:t>
      </w:r>
      <w:r>
        <w:rPr>
          <w:color w:val="auto"/>
        </w:rPr>
        <w:t>，废物代码为</w:t>
      </w:r>
      <w:r>
        <w:rPr>
          <w:rFonts w:hint="default"/>
          <w:color w:val="auto"/>
          <w:highlight w:val="none"/>
          <w:lang w:val="en-US" w:eastAsia="zh-CN"/>
        </w:rPr>
        <w:t>841-001- 01</w:t>
      </w:r>
      <w:r>
        <w:rPr>
          <w:rFonts w:hint="eastAsia"/>
          <w:color w:val="auto"/>
          <w:highlight w:val="none"/>
          <w:lang w:val="en-US" w:eastAsia="zh-CN"/>
        </w:rPr>
        <w:t>。</w:t>
      </w:r>
    </w:p>
    <w:p>
      <w:pPr>
        <w:bidi w:val="0"/>
        <w:rPr>
          <w:color w:val="auto"/>
        </w:rPr>
      </w:pPr>
      <w:r>
        <w:rPr>
          <w:color w:val="auto"/>
        </w:rPr>
        <w:t>栅渣产生量按0.2kg/m</w:t>
      </w:r>
      <w:r>
        <w:rPr>
          <w:color w:val="auto"/>
          <w:vertAlign w:val="superscript"/>
        </w:rPr>
        <w:t>3</w:t>
      </w:r>
      <w:r>
        <w:rPr>
          <w:color w:val="auto"/>
        </w:rPr>
        <w:t>污水计，污泥产生量按0.4kg/m</w:t>
      </w:r>
      <w:r>
        <w:rPr>
          <w:color w:val="auto"/>
          <w:vertAlign w:val="superscript"/>
        </w:rPr>
        <w:t>3</w:t>
      </w:r>
      <w:r>
        <w:rPr>
          <w:color w:val="auto"/>
        </w:rPr>
        <w:t>污水计，则本项目栅渣产生量为0.</w:t>
      </w:r>
      <w:r>
        <w:rPr>
          <w:rFonts w:hint="eastAsia" w:ascii="Times New Roman" w:eastAsia="宋体"/>
          <w:color w:val="auto"/>
          <w:lang w:val="en-US" w:eastAsia="zh-CN"/>
        </w:rPr>
        <w:t>1</w:t>
      </w:r>
      <w:r>
        <w:rPr>
          <w:color w:val="auto"/>
        </w:rPr>
        <w:t>t/a、污泥产生量为0.</w:t>
      </w:r>
      <w:r>
        <w:rPr>
          <w:rFonts w:hint="eastAsia" w:ascii="Times New Roman" w:eastAsia="宋体"/>
          <w:color w:val="auto"/>
          <w:lang w:val="en-US" w:eastAsia="zh-CN"/>
        </w:rPr>
        <w:t>2</w:t>
      </w:r>
      <w:r>
        <w:rPr>
          <w:color w:val="auto"/>
        </w:rPr>
        <w:t>t/a（含水率约80%）。评价建议将栅渣收集后用密封容器贮存在医疗废物暂存间，定期交由有资质的单位进行处置；污泥在清掏前委托有资质的单位进行污泥监测，达到《医疗机构水污染物排放标准》（GB18466-2005）表4医疗机构污泥控制标准后再进行清掏，清掏出的污泥交由有资质的单位进行处置。</w:t>
      </w:r>
    </w:p>
    <w:p>
      <w:pPr>
        <w:bidi w:val="0"/>
        <w:rPr>
          <w:color w:val="auto"/>
        </w:rPr>
      </w:pPr>
      <w:r>
        <w:rPr>
          <w:color w:val="auto"/>
        </w:rPr>
        <w:t>综上所述，本项目运营期间固废产生情况详见下表。</w:t>
      </w:r>
    </w:p>
    <w:p>
      <w:pPr>
        <w:pStyle w:val="22"/>
        <w:bidi w:val="0"/>
        <w:rPr>
          <w:b/>
          <w:bCs/>
          <w:color w:val="auto"/>
        </w:rPr>
      </w:pPr>
      <w:r>
        <w:rPr>
          <w:b/>
          <w:bCs/>
          <w:color w:val="auto"/>
        </w:rPr>
        <w:t>表3.</w:t>
      </w:r>
      <w:r>
        <w:rPr>
          <w:rFonts w:hint="eastAsia"/>
          <w:b/>
          <w:bCs/>
          <w:color w:val="auto"/>
          <w:lang w:val="en-US" w:eastAsia="zh-CN"/>
        </w:rPr>
        <w:t>5</w:t>
      </w:r>
      <w:r>
        <w:rPr>
          <w:b/>
          <w:bCs/>
          <w:color w:val="auto"/>
        </w:rPr>
        <w:t>-</w:t>
      </w:r>
      <w:r>
        <w:rPr>
          <w:rFonts w:hint="eastAsia"/>
          <w:b/>
          <w:bCs/>
          <w:color w:val="auto"/>
          <w:lang w:val="en-US" w:eastAsia="zh-CN"/>
        </w:rPr>
        <w:t>9</w:t>
      </w:r>
      <w:r>
        <w:rPr>
          <w:b/>
          <w:bCs/>
          <w:color w:val="auto"/>
        </w:rPr>
        <w:t>项目运营期产生固体废物分类目录</w:t>
      </w:r>
    </w:p>
    <w:tbl>
      <w:tblPr>
        <w:tblStyle w:val="23"/>
        <w:tblW w:w="852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513"/>
        <w:gridCol w:w="2"/>
        <w:gridCol w:w="774"/>
        <w:gridCol w:w="1206"/>
        <w:gridCol w:w="2"/>
        <w:gridCol w:w="1185"/>
        <w:gridCol w:w="2"/>
        <w:gridCol w:w="3325"/>
        <w:gridCol w:w="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571" w:hRule="atLeast"/>
          <w:jc w:val="center"/>
        </w:trPr>
        <w:tc>
          <w:tcPr>
            <w:tcW w:w="510" w:type="dxa"/>
            <w:tcBorders>
              <w:tl2br w:val="nil"/>
              <w:tr2bl w:val="nil"/>
            </w:tcBorders>
            <w:textDirection w:val="tbRlV"/>
            <w:vAlign w:val="center"/>
          </w:tcPr>
          <w:p>
            <w:pPr>
              <w:pStyle w:val="22"/>
              <w:bidi w:val="0"/>
              <w:jc w:val="center"/>
              <w:rPr>
                <w:b/>
                <w:bCs/>
                <w:color w:val="auto"/>
                <w:highlight w:val="none"/>
              </w:rPr>
            </w:pPr>
            <w:r>
              <w:rPr>
                <w:b/>
                <w:bCs/>
                <w:color w:val="auto"/>
                <w:highlight w:val="none"/>
              </w:rPr>
              <w:t>序号</w:t>
            </w:r>
          </w:p>
        </w:tc>
        <w:tc>
          <w:tcPr>
            <w:tcW w:w="1513" w:type="dxa"/>
            <w:tcBorders>
              <w:tl2br w:val="nil"/>
              <w:tr2bl w:val="nil"/>
            </w:tcBorders>
            <w:vAlign w:val="center"/>
          </w:tcPr>
          <w:p>
            <w:pPr>
              <w:pStyle w:val="22"/>
              <w:bidi w:val="0"/>
              <w:jc w:val="center"/>
              <w:rPr>
                <w:b/>
                <w:bCs/>
                <w:color w:val="auto"/>
                <w:highlight w:val="none"/>
              </w:rPr>
            </w:pPr>
            <w:r>
              <w:rPr>
                <w:b/>
                <w:bCs/>
                <w:color w:val="auto"/>
                <w:highlight w:val="none"/>
              </w:rPr>
              <w:t>名称</w:t>
            </w:r>
          </w:p>
        </w:tc>
        <w:tc>
          <w:tcPr>
            <w:tcW w:w="776" w:type="dxa"/>
            <w:gridSpan w:val="2"/>
            <w:tcBorders>
              <w:tl2br w:val="nil"/>
              <w:tr2bl w:val="nil"/>
            </w:tcBorders>
            <w:vAlign w:val="center"/>
          </w:tcPr>
          <w:p>
            <w:pPr>
              <w:pStyle w:val="22"/>
              <w:bidi w:val="0"/>
              <w:jc w:val="center"/>
              <w:rPr>
                <w:b/>
                <w:bCs/>
                <w:color w:val="auto"/>
                <w:highlight w:val="none"/>
              </w:rPr>
            </w:pPr>
            <w:r>
              <w:rPr>
                <w:b/>
                <w:bCs/>
                <w:color w:val="auto"/>
                <w:highlight w:val="none"/>
              </w:rPr>
              <w:t>排放量</w:t>
            </w:r>
          </w:p>
          <w:p>
            <w:pPr>
              <w:pStyle w:val="22"/>
              <w:bidi w:val="0"/>
              <w:jc w:val="center"/>
              <w:rPr>
                <w:b/>
                <w:bCs/>
                <w:color w:val="auto"/>
                <w:highlight w:val="none"/>
              </w:rPr>
            </w:pPr>
            <w:r>
              <w:rPr>
                <w:b/>
                <w:bCs/>
                <w:color w:val="auto"/>
                <w:highlight w:val="none"/>
              </w:rPr>
              <w:t>（t/a）</w:t>
            </w:r>
          </w:p>
        </w:tc>
        <w:tc>
          <w:tcPr>
            <w:tcW w:w="1206" w:type="dxa"/>
            <w:tcBorders>
              <w:tl2br w:val="nil"/>
              <w:tr2bl w:val="nil"/>
            </w:tcBorders>
            <w:vAlign w:val="center"/>
          </w:tcPr>
          <w:p>
            <w:pPr>
              <w:pStyle w:val="22"/>
              <w:bidi w:val="0"/>
              <w:jc w:val="center"/>
              <w:rPr>
                <w:b/>
                <w:bCs/>
                <w:color w:val="auto"/>
                <w:highlight w:val="none"/>
              </w:rPr>
            </w:pPr>
            <w:r>
              <w:rPr>
                <w:b/>
                <w:bCs/>
                <w:color w:val="auto"/>
                <w:highlight w:val="none"/>
              </w:rPr>
              <w:t>固废性质</w:t>
            </w:r>
          </w:p>
        </w:tc>
        <w:tc>
          <w:tcPr>
            <w:tcW w:w="1187" w:type="dxa"/>
            <w:gridSpan w:val="2"/>
            <w:tcBorders>
              <w:tl2br w:val="nil"/>
              <w:tr2bl w:val="nil"/>
            </w:tcBorders>
            <w:vAlign w:val="center"/>
          </w:tcPr>
          <w:p>
            <w:pPr>
              <w:pStyle w:val="22"/>
              <w:bidi w:val="0"/>
              <w:jc w:val="center"/>
              <w:rPr>
                <w:b/>
                <w:bCs/>
                <w:color w:val="auto"/>
                <w:highlight w:val="none"/>
              </w:rPr>
            </w:pPr>
            <w:r>
              <w:rPr>
                <w:b/>
                <w:bCs/>
                <w:color w:val="auto"/>
                <w:highlight w:val="none"/>
              </w:rPr>
              <w:t>废物代码</w:t>
            </w:r>
          </w:p>
        </w:tc>
        <w:tc>
          <w:tcPr>
            <w:tcW w:w="3327" w:type="dxa"/>
            <w:gridSpan w:val="2"/>
            <w:tcBorders>
              <w:tl2br w:val="nil"/>
              <w:tr2bl w:val="nil"/>
            </w:tcBorders>
            <w:vAlign w:val="center"/>
          </w:tcPr>
          <w:p>
            <w:pPr>
              <w:pStyle w:val="22"/>
              <w:bidi w:val="0"/>
              <w:jc w:val="center"/>
              <w:rPr>
                <w:b/>
                <w:bCs/>
                <w:color w:val="auto"/>
                <w:highlight w:val="none"/>
              </w:rPr>
            </w:pPr>
            <w:r>
              <w:rPr>
                <w:b/>
                <w:bCs/>
                <w:color w:val="auto"/>
                <w:highlight w:val="none"/>
              </w:rPr>
              <w:t>采取的处置措施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jc w:val="center"/>
        </w:trPr>
        <w:tc>
          <w:tcPr>
            <w:tcW w:w="510" w:type="dxa"/>
            <w:tcBorders>
              <w:tl2br w:val="nil"/>
              <w:tr2bl w:val="nil"/>
            </w:tcBorders>
            <w:vAlign w:val="center"/>
          </w:tcPr>
          <w:p>
            <w:pPr>
              <w:pStyle w:val="22"/>
              <w:bidi w:val="0"/>
              <w:jc w:val="center"/>
              <w:rPr>
                <w:rFonts w:hint="eastAsia"/>
                <w:color w:val="auto"/>
                <w:highlight w:val="none"/>
                <w:lang w:eastAsia="zh-CN"/>
              </w:rPr>
            </w:pPr>
            <w:r>
              <w:rPr>
                <w:rFonts w:hint="eastAsia"/>
                <w:color w:val="auto"/>
                <w:highlight w:val="none"/>
                <w:lang w:val="en-US" w:eastAsia="zh-CN"/>
              </w:rPr>
              <w:t>1</w:t>
            </w:r>
          </w:p>
        </w:tc>
        <w:tc>
          <w:tcPr>
            <w:tcW w:w="1515" w:type="dxa"/>
            <w:gridSpan w:val="2"/>
            <w:tcBorders>
              <w:tl2br w:val="nil"/>
              <w:tr2bl w:val="nil"/>
            </w:tcBorders>
            <w:vAlign w:val="center"/>
          </w:tcPr>
          <w:p>
            <w:pPr>
              <w:pStyle w:val="22"/>
              <w:bidi w:val="0"/>
              <w:jc w:val="center"/>
              <w:rPr>
                <w:color w:val="auto"/>
                <w:highlight w:val="none"/>
              </w:rPr>
            </w:pPr>
            <w:r>
              <w:rPr>
                <w:color w:val="auto"/>
                <w:highlight w:val="none"/>
              </w:rPr>
              <w:t>生活办公垃圾</w:t>
            </w:r>
          </w:p>
        </w:tc>
        <w:tc>
          <w:tcPr>
            <w:tcW w:w="774"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7.5</w:t>
            </w:r>
          </w:p>
        </w:tc>
        <w:tc>
          <w:tcPr>
            <w:tcW w:w="1208" w:type="dxa"/>
            <w:gridSpan w:val="2"/>
            <w:tcBorders>
              <w:tl2br w:val="nil"/>
              <w:tr2bl w:val="nil"/>
            </w:tcBorders>
            <w:vAlign w:val="center"/>
          </w:tcPr>
          <w:p>
            <w:pPr>
              <w:pStyle w:val="22"/>
              <w:bidi w:val="0"/>
              <w:jc w:val="center"/>
              <w:rPr>
                <w:color w:val="auto"/>
                <w:highlight w:val="none"/>
              </w:rPr>
            </w:pPr>
            <w:r>
              <w:rPr>
                <w:color w:val="auto"/>
                <w:highlight w:val="none"/>
              </w:rPr>
              <w:t>一般固废</w:t>
            </w:r>
          </w:p>
        </w:tc>
        <w:tc>
          <w:tcPr>
            <w:tcW w:w="1187" w:type="dxa"/>
            <w:gridSpan w:val="2"/>
            <w:tcBorders>
              <w:tl2br w:val="nil"/>
              <w:tr2bl w:val="nil"/>
            </w:tcBorders>
            <w:vAlign w:val="center"/>
          </w:tcPr>
          <w:p>
            <w:pPr>
              <w:pStyle w:val="22"/>
              <w:bidi w:val="0"/>
              <w:jc w:val="center"/>
              <w:rPr>
                <w:color w:val="auto"/>
                <w:highlight w:val="none"/>
              </w:rPr>
            </w:pPr>
            <w:r>
              <w:rPr>
                <w:color w:val="auto"/>
                <w:highlight w:val="none"/>
              </w:rPr>
              <w:t>——</w:t>
            </w:r>
          </w:p>
        </w:tc>
        <w:tc>
          <w:tcPr>
            <w:tcW w:w="3327" w:type="dxa"/>
            <w:gridSpan w:val="2"/>
            <w:tcBorders>
              <w:tl2br w:val="nil"/>
              <w:tr2bl w:val="nil"/>
            </w:tcBorders>
            <w:vAlign w:val="center"/>
          </w:tcPr>
          <w:p>
            <w:pPr>
              <w:pStyle w:val="22"/>
              <w:bidi w:val="0"/>
              <w:jc w:val="center"/>
              <w:rPr>
                <w:color w:val="auto"/>
                <w:highlight w:val="none"/>
              </w:rPr>
            </w:pPr>
            <w:r>
              <w:rPr>
                <w:color w:val="auto"/>
                <w:highlight w:val="none"/>
              </w:rPr>
              <w:t>在项目区设置垃圾箱集中收集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jc w:val="center"/>
        </w:trPr>
        <w:tc>
          <w:tcPr>
            <w:tcW w:w="510"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2</w:t>
            </w:r>
          </w:p>
        </w:tc>
        <w:tc>
          <w:tcPr>
            <w:tcW w:w="1515" w:type="dxa"/>
            <w:gridSpan w:val="2"/>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医疗废物</w:t>
            </w:r>
          </w:p>
        </w:tc>
        <w:tc>
          <w:tcPr>
            <w:tcW w:w="774"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0.75</w:t>
            </w:r>
          </w:p>
        </w:tc>
        <w:tc>
          <w:tcPr>
            <w:tcW w:w="1208" w:type="dxa"/>
            <w:gridSpan w:val="2"/>
            <w:tcBorders>
              <w:tl2br w:val="nil"/>
              <w:tr2bl w:val="nil"/>
            </w:tcBorders>
            <w:vAlign w:val="center"/>
          </w:tcPr>
          <w:p>
            <w:pPr>
              <w:pStyle w:val="22"/>
              <w:bidi w:val="0"/>
              <w:jc w:val="center"/>
              <w:rPr>
                <w:color w:val="auto"/>
                <w:highlight w:val="none"/>
              </w:rPr>
            </w:pPr>
            <w:r>
              <w:rPr>
                <w:color w:val="auto"/>
                <w:highlight w:val="none"/>
              </w:rPr>
              <w:t>危险废物</w:t>
            </w:r>
          </w:p>
        </w:tc>
        <w:tc>
          <w:tcPr>
            <w:tcW w:w="1187" w:type="dxa"/>
            <w:gridSpan w:val="2"/>
            <w:tcBorders>
              <w:tl2br w:val="nil"/>
              <w:tr2bl w:val="nil"/>
            </w:tcBorders>
            <w:vAlign w:val="center"/>
          </w:tcPr>
          <w:p>
            <w:pPr>
              <w:pStyle w:val="22"/>
              <w:bidi w:val="0"/>
              <w:jc w:val="center"/>
              <w:rPr>
                <w:color w:val="auto"/>
                <w:highlight w:val="none"/>
              </w:rPr>
            </w:pPr>
            <w:r>
              <w:rPr>
                <w:color w:val="auto"/>
                <w:highlight w:val="none"/>
              </w:rPr>
              <w:t>8</w:t>
            </w:r>
            <w:r>
              <w:rPr>
                <w:rFonts w:hint="eastAsia"/>
                <w:color w:val="auto"/>
                <w:highlight w:val="none"/>
                <w:lang w:val="en-US" w:eastAsia="zh-CN"/>
              </w:rPr>
              <w:t>4</w:t>
            </w:r>
            <w:r>
              <w:rPr>
                <w:color w:val="auto"/>
                <w:highlight w:val="none"/>
              </w:rPr>
              <w:t>1-001-01</w:t>
            </w:r>
          </w:p>
          <w:p>
            <w:pPr>
              <w:pStyle w:val="22"/>
              <w:bidi w:val="0"/>
              <w:jc w:val="center"/>
              <w:rPr>
                <w:color w:val="auto"/>
                <w:highlight w:val="none"/>
              </w:rPr>
            </w:pPr>
            <w:r>
              <w:rPr>
                <w:color w:val="auto"/>
                <w:highlight w:val="none"/>
              </w:rPr>
              <w:t>8</w:t>
            </w:r>
            <w:r>
              <w:rPr>
                <w:rFonts w:hint="eastAsia"/>
                <w:color w:val="auto"/>
                <w:highlight w:val="none"/>
                <w:lang w:val="en-US" w:eastAsia="zh-CN"/>
              </w:rPr>
              <w:t>4</w:t>
            </w:r>
            <w:r>
              <w:rPr>
                <w:color w:val="auto"/>
                <w:highlight w:val="none"/>
              </w:rPr>
              <w:t>1-002-01</w:t>
            </w:r>
          </w:p>
          <w:p>
            <w:pPr>
              <w:pStyle w:val="22"/>
              <w:bidi w:val="0"/>
              <w:jc w:val="center"/>
              <w:rPr>
                <w:color w:val="auto"/>
                <w:highlight w:val="none"/>
              </w:rPr>
            </w:pPr>
            <w:r>
              <w:rPr>
                <w:color w:val="auto"/>
                <w:highlight w:val="none"/>
              </w:rPr>
              <w:t>8</w:t>
            </w:r>
            <w:r>
              <w:rPr>
                <w:rFonts w:hint="eastAsia"/>
                <w:color w:val="auto"/>
                <w:highlight w:val="none"/>
                <w:lang w:val="en-US" w:eastAsia="zh-CN"/>
              </w:rPr>
              <w:t>4</w:t>
            </w:r>
            <w:r>
              <w:rPr>
                <w:color w:val="auto"/>
                <w:highlight w:val="none"/>
              </w:rPr>
              <w:t>1-004-01</w:t>
            </w:r>
          </w:p>
          <w:p>
            <w:pPr>
              <w:pStyle w:val="22"/>
              <w:bidi w:val="0"/>
              <w:jc w:val="center"/>
              <w:rPr>
                <w:color w:val="auto"/>
                <w:highlight w:val="none"/>
              </w:rPr>
            </w:pPr>
            <w:r>
              <w:rPr>
                <w:color w:val="auto"/>
                <w:highlight w:val="none"/>
              </w:rPr>
              <w:t>8</w:t>
            </w:r>
            <w:r>
              <w:rPr>
                <w:rFonts w:hint="eastAsia"/>
                <w:color w:val="auto"/>
                <w:highlight w:val="none"/>
                <w:lang w:val="en-US" w:eastAsia="zh-CN"/>
              </w:rPr>
              <w:t>4</w:t>
            </w:r>
            <w:r>
              <w:rPr>
                <w:color w:val="auto"/>
                <w:highlight w:val="none"/>
              </w:rPr>
              <w:t>1-005-01</w:t>
            </w:r>
          </w:p>
        </w:tc>
        <w:tc>
          <w:tcPr>
            <w:tcW w:w="3327" w:type="dxa"/>
            <w:gridSpan w:val="2"/>
            <w:tcBorders>
              <w:tl2br w:val="nil"/>
              <w:tr2bl w:val="nil"/>
            </w:tcBorders>
            <w:vAlign w:val="center"/>
          </w:tcPr>
          <w:p>
            <w:pPr>
              <w:pStyle w:val="22"/>
              <w:bidi w:val="0"/>
              <w:jc w:val="center"/>
              <w:rPr>
                <w:color w:val="auto"/>
                <w:highlight w:val="none"/>
              </w:rPr>
            </w:pPr>
            <w:r>
              <w:rPr>
                <w:color w:val="auto"/>
                <w:highlight w:val="none"/>
              </w:rPr>
              <w:t>灭活后，暂存于危废暂存间，委托有危废资质单位处理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1" w:hRule="atLeast"/>
          <w:jc w:val="center"/>
        </w:trPr>
        <w:tc>
          <w:tcPr>
            <w:tcW w:w="510" w:type="dxa"/>
            <w:tcBorders>
              <w:tl2br w:val="nil"/>
              <w:tr2bl w:val="nil"/>
            </w:tcBorders>
            <w:vAlign w:val="center"/>
          </w:tcPr>
          <w:p>
            <w:pPr>
              <w:pStyle w:val="22"/>
              <w:bidi w:val="0"/>
              <w:jc w:val="center"/>
              <w:rPr>
                <w:rFonts w:hint="eastAsia"/>
                <w:color w:val="auto"/>
                <w:highlight w:val="none"/>
                <w:lang w:eastAsia="zh-CN"/>
              </w:rPr>
            </w:pPr>
            <w:r>
              <w:rPr>
                <w:rFonts w:hint="eastAsia"/>
                <w:color w:val="auto"/>
                <w:highlight w:val="none"/>
                <w:lang w:val="en-US" w:eastAsia="zh-CN"/>
              </w:rPr>
              <w:t>3</w:t>
            </w:r>
          </w:p>
        </w:tc>
        <w:tc>
          <w:tcPr>
            <w:tcW w:w="1515" w:type="dxa"/>
            <w:gridSpan w:val="2"/>
            <w:tcBorders>
              <w:tl2br w:val="nil"/>
              <w:tr2bl w:val="nil"/>
            </w:tcBorders>
            <w:vAlign w:val="center"/>
          </w:tcPr>
          <w:p>
            <w:pPr>
              <w:pStyle w:val="22"/>
              <w:bidi w:val="0"/>
              <w:jc w:val="center"/>
              <w:rPr>
                <w:color w:val="auto"/>
                <w:highlight w:val="none"/>
              </w:rPr>
            </w:pPr>
            <w:r>
              <w:rPr>
                <w:color w:val="auto"/>
                <w:highlight w:val="none"/>
              </w:rPr>
              <w:t>废活性炭</w:t>
            </w:r>
          </w:p>
        </w:tc>
        <w:tc>
          <w:tcPr>
            <w:tcW w:w="774" w:type="dxa"/>
            <w:tcBorders>
              <w:tl2br w:val="nil"/>
              <w:tr2bl w:val="nil"/>
            </w:tcBorders>
            <w:vAlign w:val="center"/>
          </w:tcPr>
          <w:p>
            <w:pPr>
              <w:pStyle w:val="22"/>
              <w:bidi w:val="0"/>
              <w:jc w:val="center"/>
              <w:rPr>
                <w:rFonts w:hint="default" w:eastAsia="宋体"/>
                <w:color w:val="auto"/>
                <w:highlight w:val="none"/>
                <w:lang w:val="en-US" w:eastAsia="zh-CN"/>
              </w:rPr>
            </w:pPr>
            <w:r>
              <w:rPr>
                <w:rFonts w:hint="eastAsia"/>
                <w:color w:val="auto"/>
                <w:highlight w:val="none"/>
                <w:lang w:val="en-US" w:eastAsia="zh-CN"/>
              </w:rPr>
              <w:t>0.15</w:t>
            </w:r>
          </w:p>
        </w:tc>
        <w:tc>
          <w:tcPr>
            <w:tcW w:w="1208" w:type="dxa"/>
            <w:gridSpan w:val="2"/>
            <w:tcBorders>
              <w:tl2br w:val="nil"/>
              <w:tr2bl w:val="nil"/>
            </w:tcBorders>
            <w:vAlign w:val="center"/>
          </w:tcPr>
          <w:p>
            <w:pPr>
              <w:pStyle w:val="22"/>
              <w:bidi w:val="0"/>
              <w:ind w:firstLine="0" w:firstLineChars="0"/>
              <w:jc w:val="center"/>
              <w:rPr>
                <w:color w:val="auto"/>
                <w:highlight w:val="none"/>
              </w:rPr>
            </w:pPr>
            <w:r>
              <w:rPr>
                <w:color w:val="auto"/>
              </w:rPr>
              <w:t>HW4</w:t>
            </w:r>
            <w:r>
              <w:rPr>
                <w:rFonts w:hint="eastAsia"/>
                <w:color w:val="auto"/>
                <w:lang w:val="en-US" w:eastAsia="zh-CN"/>
              </w:rPr>
              <w:t>9</w:t>
            </w:r>
            <w:r>
              <w:rPr>
                <w:color w:val="auto"/>
              </w:rPr>
              <w:t>其他非特定行业</w:t>
            </w:r>
          </w:p>
        </w:tc>
        <w:tc>
          <w:tcPr>
            <w:tcW w:w="1187" w:type="dxa"/>
            <w:gridSpan w:val="2"/>
            <w:tcBorders>
              <w:tl2br w:val="nil"/>
              <w:tr2bl w:val="nil"/>
            </w:tcBorders>
            <w:vAlign w:val="center"/>
          </w:tcPr>
          <w:p>
            <w:pPr>
              <w:pStyle w:val="22"/>
              <w:bidi w:val="0"/>
              <w:ind w:firstLine="0" w:firstLineChars="0"/>
              <w:jc w:val="center"/>
              <w:rPr>
                <w:color w:val="auto"/>
                <w:highlight w:val="none"/>
              </w:rPr>
            </w:pPr>
            <w:r>
              <w:rPr>
                <w:rFonts w:hint="default"/>
                <w:color w:val="auto"/>
                <w:highlight w:val="none"/>
                <w:lang w:val="en-US" w:eastAsia="zh-CN"/>
              </w:rPr>
              <w:t>900-041-49</w:t>
            </w:r>
          </w:p>
        </w:tc>
        <w:tc>
          <w:tcPr>
            <w:tcW w:w="3327" w:type="dxa"/>
            <w:gridSpan w:val="2"/>
            <w:tcBorders>
              <w:tl2br w:val="nil"/>
              <w:tr2bl w:val="nil"/>
            </w:tcBorders>
            <w:vAlign w:val="center"/>
          </w:tcPr>
          <w:p>
            <w:pPr>
              <w:pStyle w:val="22"/>
              <w:bidi w:val="0"/>
              <w:jc w:val="center"/>
              <w:rPr>
                <w:color w:val="auto"/>
                <w:highlight w:val="none"/>
              </w:rPr>
            </w:pPr>
            <w:r>
              <w:rPr>
                <w:color w:val="auto"/>
                <w:highlight w:val="none"/>
              </w:rPr>
              <w:t>暂存于危废暂存间，委托有危废资</w:t>
            </w:r>
          </w:p>
          <w:p>
            <w:pPr>
              <w:pStyle w:val="22"/>
              <w:bidi w:val="0"/>
              <w:jc w:val="center"/>
              <w:rPr>
                <w:color w:val="auto"/>
                <w:highlight w:val="none"/>
              </w:rPr>
            </w:pPr>
            <w:r>
              <w:rPr>
                <w:color w:val="auto"/>
                <w:highlight w:val="none"/>
              </w:rPr>
              <w:t>质单位处理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jc w:val="center"/>
        </w:trPr>
        <w:tc>
          <w:tcPr>
            <w:tcW w:w="510" w:type="dxa"/>
            <w:tcBorders>
              <w:tl2br w:val="nil"/>
              <w:tr2bl w:val="nil"/>
            </w:tcBorders>
            <w:vAlign w:val="center"/>
          </w:tcPr>
          <w:p>
            <w:pPr>
              <w:pStyle w:val="22"/>
              <w:bidi w:val="0"/>
              <w:jc w:val="center"/>
              <w:rPr>
                <w:rFonts w:hint="eastAsia"/>
                <w:color w:val="auto"/>
                <w:highlight w:val="none"/>
                <w:lang w:eastAsia="zh-CN"/>
              </w:rPr>
            </w:pPr>
            <w:r>
              <w:rPr>
                <w:rFonts w:hint="eastAsia"/>
                <w:color w:val="auto"/>
                <w:highlight w:val="none"/>
                <w:lang w:val="en-US" w:eastAsia="zh-CN"/>
              </w:rPr>
              <w:t>4</w:t>
            </w:r>
          </w:p>
        </w:tc>
        <w:tc>
          <w:tcPr>
            <w:tcW w:w="1515" w:type="dxa"/>
            <w:gridSpan w:val="2"/>
            <w:tcBorders>
              <w:tl2br w:val="nil"/>
              <w:tr2bl w:val="nil"/>
            </w:tcBorders>
            <w:vAlign w:val="center"/>
          </w:tcPr>
          <w:p>
            <w:pPr>
              <w:pStyle w:val="22"/>
              <w:bidi w:val="0"/>
              <w:jc w:val="center"/>
              <w:rPr>
                <w:color w:val="auto"/>
                <w:highlight w:val="none"/>
              </w:rPr>
            </w:pPr>
            <w:r>
              <w:rPr>
                <w:color w:val="auto"/>
                <w:highlight w:val="none"/>
              </w:rPr>
              <w:t>废离子交换树脂</w:t>
            </w:r>
          </w:p>
        </w:tc>
        <w:tc>
          <w:tcPr>
            <w:tcW w:w="774" w:type="dxa"/>
            <w:tcBorders>
              <w:tl2br w:val="nil"/>
              <w:tr2bl w:val="nil"/>
            </w:tcBorders>
            <w:vAlign w:val="center"/>
          </w:tcPr>
          <w:p>
            <w:pPr>
              <w:pStyle w:val="22"/>
              <w:bidi w:val="0"/>
              <w:jc w:val="center"/>
              <w:rPr>
                <w:color w:val="auto"/>
                <w:highlight w:val="none"/>
              </w:rPr>
            </w:pPr>
            <w:r>
              <w:rPr>
                <w:color w:val="auto"/>
                <w:highlight w:val="none"/>
              </w:rPr>
              <w:t>0.003</w:t>
            </w:r>
          </w:p>
        </w:tc>
        <w:tc>
          <w:tcPr>
            <w:tcW w:w="1208" w:type="dxa"/>
            <w:gridSpan w:val="2"/>
            <w:tcBorders>
              <w:tl2br w:val="nil"/>
              <w:tr2bl w:val="nil"/>
            </w:tcBorders>
            <w:vAlign w:val="center"/>
          </w:tcPr>
          <w:p>
            <w:pPr>
              <w:pStyle w:val="22"/>
              <w:bidi w:val="0"/>
              <w:ind w:firstLine="0" w:firstLineChars="0"/>
              <w:jc w:val="center"/>
              <w:rPr>
                <w:color w:val="auto"/>
                <w:highlight w:val="none"/>
              </w:rPr>
            </w:pPr>
            <w:r>
              <w:rPr>
                <w:color w:val="auto"/>
              </w:rPr>
              <w:t>一般固废</w:t>
            </w:r>
          </w:p>
        </w:tc>
        <w:tc>
          <w:tcPr>
            <w:tcW w:w="1187" w:type="dxa"/>
            <w:gridSpan w:val="2"/>
            <w:tcBorders>
              <w:tl2br w:val="nil"/>
              <w:tr2bl w:val="nil"/>
            </w:tcBorders>
            <w:vAlign w:val="center"/>
          </w:tcPr>
          <w:p>
            <w:pPr>
              <w:pStyle w:val="22"/>
              <w:bidi w:val="0"/>
              <w:ind w:firstLine="0" w:firstLineChars="0"/>
              <w:jc w:val="center"/>
              <w:rPr>
                <w:color w:val="auto"/>
                <w:highlight w:val="none"/>
              </w:rPr>
            </w:pPr>
            <w:r>
              <w:rPr>
                <w:color w:val="auto"/>
              </w:rPr>
              <w:t>——</w:t>
            </w:r>
          </w:p>
        </w:tc>
        <w:tc>
          <w:tcPr>
            <w:tcW w:w="3327" w:type="dxa"/>
            <w:gridSpan w:val="2"/>
            <w:tcBorders>
              <w:tl2br w:val="nil"/>
              <w:tr2bl w:val="nil"/>
            </w:tcBorders>
            <w:vAlign w:val="center"/>
          </w:tcPr>
          <w:p>
            <w:pPr>
              <w:pStyle w:val="22"/>
              <w:bidi w:val="0"/>
              <w:jc w:val="center"/>
              <w:rPr>
                <w:color w:val="auto"/>
                <w:highlight w:val="none"/>
              </w:rPr>
            </w:pPr>
            <w:r>
              <w:rPr>
                <w:color w:val="auto"/>
                <w:highlight w:val="none"/>
              </w:rPr>
              <w:t>经收集后由专门厂家回收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3" w:hRule="atLeast"/>
          <w:jc w:val="center"/>
        </w:trPr>
        <w:tc>
          <w:tcPr>
            <w:tcW w:w="510" w:type="dxa"/>
            <w:tcBorders>
              <w:tl2br w:val="nil"/>
              <w:tr2bl w:val="nil"/>
            </w:tcBorders>
            <w:vAlign w:val="center"/>
          </w:tcPr>
          <w:p>
            <w:pPr>
              <w:pStyle w:val="22"/>
              <w:bidi w:val="0"/>
              <w:jc w:val="center"/>
              <w:rPr>
                <w:rFonts w:hint="eastAsia"/>
                <w:color w:val="auto"/>
                <w:highlight w:val="none"/>
                <w:lang w:eastAsia="zh-CN"/>
              </w:rPr>
            </w:pPr>
            <w:r>
              <w:rPr>
                <w:rFonts w:hint="eastAsia"/>
                <w:color w:val="auto"/>
                <w:highlight w:val="none"/>
                <w:lang w:val="en-US" w:eastAsia="zh-CN"/>
              </w:rPr>
              <w:t>5</w:t>
            </w:r>
          </w:p>
        </w:tc>
        <w:tc>
          <w:tcPr>
            <w:tcW w:w="1515" w:type="dxa"/>
            <w:gridSpan w:val="2"/>
            <w:tcBorders>
              <w:tl2br w:val="nil"/>
              <w:tr2bl w:val="nil"/>
            </w:tcBorders>
            <w:vAlign w:val="center"/>
          </w:tcPr>
          <w:p>
            <w:pPr>
              <w:pStyle w:val="22"/>
              <w:bidi w:val="0"/>
              <w:jc w:val="center"/>
              <w:rPr>
                <w:color w:val="auto"/>
                <w:highlight w:val="none"/>
              </w:rPr>
            </w:pPr>
            <w:r>
              <w:rPr>
                <w:rFonts w:hint="eastAsia"/>
                <w:color w:val="auto"/>
                <w:highlight w:val="none"/>
                <w:lang w:val="en-US" w:eastAsia="zh-CN"/>
              </w:rPr>
              <w:t>水处理栅渣及污泥</w:t>
            </w:r>
          </w:p>
        </w:tc>
        <w:tc>
          <w:tcPr>
            <w:tcW w:w="774" w:type="dxa"/>
            <w:tcBorders>
              <w:tl2br w:val="nil"/>
              <w:tr2bl w:val="nil"/>
            </w:tcBorders>
            <w:vAlign w:val="center"/>
          </w:tcPr>
          <w:p>
            <w:pPr>
              <w:pStyle w:val="22"/>
              <w:bidi w:val="0"/>
              <w:jc w:val="center"/>
              <w:rPr>
                <w:rFonts w:hint="eastAsia" w:eastAsia="宋体"/>
                <w:color w:val="auto"/>
                <w:highlight w:val="none"/>
                <w:lang w:eastAsia="zh-CN"/>
              </w:rPr>
            </w:pPr>
            <w:r>
              <w:rPr>
                <w:color w:val="auto"/>
                <w:highlight w:val="none"/>
              </w:rPr>
              <w:t>0.</w:t>
            </w:r>
            <w:r>
              <w:rPr>
                <w:rFonts w:hint="eastAsia"/>
                <w:color w:val="auto"/>
                <w:highlight w:val="none"/>
                <w:lang w:val="en-US" w:eastAsia="zh-CN"/>
              </w:rPr>
              <w:t>3</w:t>
            </w:r>
          </w:p>
        </w:tc>
        <w:tc>
          <w:tcPr>
            <w:tcW w:w="1208" w:type="dxa"/>
            <w:gridSpan w:val="2"/>
            <w:tcBorders>
              <w:tl2br w:val="nil"/>
              <w:tr2bl w:val="nil"/>
            </w:tcBorders>
            <w:vAlign w:val="center"/>
          </w:tcPr>
          <w:p>
            <w:pPr>
              <w:pStyle w:val="22"/>
              <w:bidi w:val="0"/>
              <w:ind w:firstLine="0" w:firstLineChars="0"/>
              <w:jc w:val="center"/>
              <w:rPr>
                <w:color w:val="auto"/>
                <w:highlight w:val="none"/>
              </w:rPr>
            </w:pPr>
            <w:r>
              <w:rPr>
                <w:color w:val="auto"/>
              </w:rPr>
              <w:t>HW4</w:t>
            </w:r>
            <w:r>
              <w:rPr>
                <w:rFonts w:hint="eastAsia"/>
                <w:color w:val="auto"/>
                <w:lang w:val="en-US" w:eastAsia="zh-CN"/>
              </w:rPr>
              <w:t>9</w:t>
            </w:r>
            <w:r>
              <w:rPr>
                <w:color w:val="auto"/>
              </w:rPr>
              <w:t>其他非特定行业</w:t>
            </w:r>
          </w:p>
        </w:tc>
        <w:tc>
          <w:tcPr>
            <w:tcW w:w="1187" w:type="dxa"/>
            <w:gridSpan w:val="2"/>
            <w:tcBorders>
              <w:tl2br w:val="nil"/>
              <w:tr2bl w:val="nil"/>
            </w:tcBorders>
            <w:vAlign w:val="center"/>
          </w:tcPr>
          <w:p>
            <w:pPr>
              <w:pStyle w:val="22"/>
              <w:bidi w:val="0"/>
              <w:ind w:firstLine="0" w:firstLineChars="0"/>
              <w:jc w:val="center"/>
              <w:rPr>
                <w:color w:val="auto"/>
                <w:highlight w:val="none"/>
              </w:rPr>
            </w:pPr>
            <w:r>
              <w:rPr>
                <w:rFonts w:hint="default"/>
                <w:color w:val="auto"/>
                <w:highlight w:val="none"/>
                <w:lang w:val="en-US" w:eastAsia="zh-CN"/>
              </w:rPr>
              <w:t>841-001- 01</w:t>
            </w:r>
          </w:p>
        </w:tc>
        <w:tc>
          <w:tcPr>
            <w:tcW w:w="3327" w:type="dxa"/>
            <w:gridSpan w:val="2"/>
            <w:tcBorders>
              <w:tl2br w:val="nil"/>
              <w:tr2bl w:val="nil"/>
            </w:tcBorders>
            <w:vAlign w:val="center"/>
          </w:tcPr>
          <w:p>
            <w:pPr>
              <w:pStyle w:val="22"/>
              <w:bidi w:val="0"/>
              <w:jc w:val="center"/>
              <w:rPr>
                <w:color w:val="auto"/>
                <w:highlight w:val="none"/>
              </w:rPr>
            </w:pPr>
            <w:r>
              <w:rPr>
                <w:color w:val="auto"/>
                <w:highlight w:val="none"/>
              </w:rPr>
              <w:t>消毒后，暂存于危废暂存间，委托有</w:t>
            </w:r>
          </w:p>
          <w:p>
            <w:pPr>
              <w:pStyle w:val="22"/>
              <w:bidi w:val="0"/>
              <w:jc w:val="center"/>
              <w:rPr>
                <w:color w:val="auto"/>
                <w:highlight w:val="none"/>
              </w:rPr>
            </w:pPr>
            <w:r>
              <w:rPr>
                <w:color w:val="auto"/>
                <w:highlight w:val="none"/>
              </w:rPr>
              <w:t>危废资质单位处理</w:t>
            </w:r>
          </w:p>
        </w:tc>
      </w:tr>
    </w:tbl>
    <w:p>
      <w:pPr>
        <w:pStyle w:val="22"/>
        <w:bidi w:val="0"/>
        <w:jc w:val="left"/>
        <w:rPr>
          <w:b w:val="0"/>
          <w:bCs w:val="0"/>
          <w:color w:val="auto"/>
          <w:highlight w:val="none"/>
        </w:rPr>
      </w:pPr>
      <w:r>
        <w:rPr>
          <w:b w:val="0"/>
          <w:bCs w:val="0"/>
          <w:color w:val="auto"/>
        </w:rPr>
        <w:t>备注：危废进行分类密闭收集后，分类堆存，暂存至危废暂存间，禁止将不相容（相互反应）的危险废物在同一容器内混装，各类危废应按性质不同分类进行贮存</w:t>
      </w:r>
      <w:r>
        <w:rPr>
          <w:b w:val="0"/>
          <w:bCs w:val="0"/>
          <w:color w:val="auto"/>
          <w:highlight w:val="none"/>
        </w:rPr>
        <w:t>。</w:t>
      </w:r>
    </w:p>
    <w:p>
      <w:pPr>
        <w:pStyle w:val="6"/>
        <w:bidi w:val="0"/>
        <w:outlineLvl w:val="1"/>
        <w:rPr>
          <w:color w:val="auto"/>
          <w:highlight w:val="none"/>
        </w:rPr>
      </w:pPr>
      <w:bookmarkStart w:id="73" w:name="_Toc17516"/>
      <w:r>
        <w:rPr>
          <w:color w:val="auto"/>
          <w:highlight w:val="none"/>
        </w:rPr>
        <w:t>3.</w:t>
      </w:r>
      <w:r>
        <w:rPr>
          <w:rFonts w:hint="eastAsia"/>
          <w:color w:val="auto"/>
          <w:highlight w:val="none"/>
          <w:lang w:val="en-US" w:eastAsia="zh-CN"/>
        </w:rPr>
        <w:t>5</w:t>
      </w:r>
      <w:r>
        <w:rPr>
          <w:color w:val="auto"/>
          <w:highlight w:val="none"/>
        </w:rPr>
        <w:t>.5运营期“三废”产排情况汇总</w:t>
      </w:r>
      <w:bookmarkEnd w:id="73"/>
    </w:p>
    <w:p>
      <w:pPr>
        <w:bidi w:val="0"/>
        <w:jc w:val="center"/>
        <w:rPr>
          <w:b/>
          <w:bCs/>
          <w:color w:val="auto"/>
          <w:sz w:val="21"/>
          <w:szCs w:val="21"/>
        </w:rPr>
      </w:pPr>
      <w:r>
        <w:rPr>
          <w:b/>
          <w:bCs/>
          <w:color w:val="auto"/>
          <w:sz w:val="21"/>
          <w:szCs w:val="21"/>
        </w:rPr>
        <w:t>表3.</w:t>
      </w:r>
      <w:r>
        <w:rPr>
          <w:rFonts w:hint="eastAsia"/>
          <w:b/>
          <w:bCs/>
          <w:color w:val="auto"/>
          <w:sz w:val="21"/>
          <w:szCs w:val="21"/>
          <w:lang w:val="en-US" w:eastAsia="zh-CN"/>
        </w:rPr>
        <w:t>5</w:t>
      </w:r>
      <w:r>
        <w:rPr>
          <w:b/>
          <w:bCs/>
          <w:color w:val="auto"/>
          <w:sz w:val="21"/>
          <w:szCs w:val="21"/>
        </w:rPr>
        <w:t>-</w:t>
      </w:r>
      <w:r>
        <w:rPr>
          <w:rFonts w:hint="eastAsia"/>
          <w:b/>
          <w:bCs/>
          <w:color w:val="auto"/>
          <w:sz w:val="21"/>
          <w:szCs w:val="21"/>
          <w:lang w:val="en-US" w:eastAsia="zh-CN"/>
        </w:rPr>
        <w:t>10</w:t>
      </w:r>
      <w:r>
        <w:rPr>
          <w:b/>
          <w:bCs/>
          <w:color w:val="auto"/>
          <w:sz w:val="21"/>
          <w:szCs w:val="21"/>
        </w:rPr>
        <w:t>项目运营期产生“三废”情况表</w:t>
      </w:r>
    </w:p>
    <w:p>
      <w:pPr>
        <w:pStyle w:val="2"/>
        <w:rPr>
          <w:b/>
          <w:bCs/>
          <w:color w:val="auto"/>
          <w:sz w:val="21"/>
          <w:szCs w:val="21"/>
        </w:rPr>
        <w:sectPr>
          <w:footerReference r:id="rId7" w:type="default"/>
          <w:pgSz w:w="11906" w:h="16838"/>
          <w:pgMar w:top="1440" w:right="1800" w:bottom="1440" w:left="1800" w:header="1020" w:footer="992" w:gutter="0"/>
          <w:pgBorders>
            <w:top w:val="none" w:sz="0" w:space="0"/>
            <w:left w:val="none" w:sz="0" w:space="0"/>
            <w:bottom w:val="none" w:sz="0" w:space="0"/>
            <w:right w:val="none" w:sz="0" w:space="0"/>
          </w:pgBorders>
          <w:pgNumType w:fmt="decimal" w:start="1"/>
          <w:cols w:space="425" w:num="1"/>
          <w:docGrid w:type="lines" w:linePitch="312" w:charSpace="0"/>
        </w:sectPr>
      </w:pPr>
    </w:p>
    <w:tbl>
      <w:tblPr>
        <w:tblStyle w:val="23"/>
        <w:tblW w:w="14198" w:type="dxa"/>
        <w:tblInd w:w="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2"/>
        <w:gridCol w:w="1702"/>
        <w:gridCol w:w="1844"/>
        <w:gridCol w:w="1986"/>
        <w:gridCol w:w="5821"/>
        <w:gridCol w:w="20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22" w:type="dxa"/>
            <w:tcBorders>
              <w:tl2br w:val="nil"/>
              <w:tr2bl w:val="nil"/>
            </w:tcBorders>
            <w:vAlign w:val="center"/>
          </w:tcPr>
          <w:p>
            <w:pPr>
              <w:pStyle w:val="22"/>
              <w:bidi w:val="0"/>
              <w:jc w:val="center"/>
              <w:rPr>
                <w:b/>
                <w:bCs/>
                <w:color w:val="auto"/>
              </w:rPr>
            </w:pPr>
            <w:r>
              <w:rPr>
                <w:b/>
                <w:bCs/>
                <w:color w:val="auto"/>
              </w:rPr>
              <w:t>类型</w:t>
            </w:r>
          </w:p>
        </w:tc>
        <w:tc>
          <w:tcPr>
            <w:tcW w:w="1702" w:type="dxa"/>
            <w:tcBorders>
              <w:tl2br w:val="nil"/>
              <w:tr2bl w:val="nil"/>
            </w:tcBorders>
            <w:vAlign w:val="center"/>
          </w:tcPr>
          <w:p>
            <w:pPr>
              <w:pStyle w:val="22"/>
              <w:bidi w:val="0"/>
              <w:jc w:val="center"/>
              <w:rPr>
                <w:b/>
                <w:bCs/>
                <w:color w:val="auto"/>
              </w:rPr>
            </w:pPr>
            <w:r>
              <w:rPr>
                <w:b/>
                <w:bCs/>
                <w:color w:val="auto"/>
              </w:rPr>
              <w:t>污染源</w:t>
            </w:r>
          </w:p>
        </w:tc>
        <w:tc>
          <w:tcPr>
            <w:tcW w:w="1844" w:type="dxa"/>
            <w:tcBorders>
              <w:tl2br w:val="nil"/>
              <w:tr2bl w:val="nil"/>
            </w:tcBorders>
            <w:vAlign w:val="center"/>
          </w:tcPr>
          <w:p>
            <w:pPr>
              <w:pStyle w:val="22"/>
              <w:bidi w:val="0"/>
              <w:jc w:val="center"/>
              <w:rPr>
                <w:b/>
                <w:bCs/>
                <w:color w:val="auto"/>
              </w:rPr>
            </w:pPr>
            <w:r>
              <w:rPr>
                <w:b/>
                <w:bCs/>
                <w:color w:val="auto"/>
              </w:rPr>
              <w:t>污染物名称</w:t>
            </w:r>
          </w:p>
        </w:tc>
        <w:tc>
          <w:tcPr>
            <w:tcW w:w="1986" w:type="dxa"/>
            <w:tcBorders>
              <w:tl2br w:val="nil"/>
              <w:tr2bl w:val="nil"/>
            </w:tcBorders>
            <w:vAlign w:val="center"/>
          </w:tcPr>
          <w:p>
            <w:pPr>
              <w:pStyle w:val="22"/>
              <w:bidi w:val="0"/>
              <w:jc w:val="center"/>
              <w:rPr>
                <w:b/>
                <w:bCs/>
                <w:color w:val="auto"/>
              </w:rPr>
            </w:pPr>
            <w:r>
              <w:rPr>
                <w:b/>
                <w:bCs/>
                <w:color w:val="auto"/>
              </w:rPr>
              <w:t>产生浓度及产生量</w:t>
            </w:r>
          </w:p>
        </w:tc>
        <w:tc>
          <w:tcPr>
            <w:tcW w:w="5821" w:type="dxa"/>
            <w:tcBorders>
              <w:tl2br w:val="nil"/>
              <w:tr2bl w:val="nil"/>
            </w:tcBorders>
            <w:vAlign w:val="center"/>
          </w:tcPr>
          <w:p>
            <w:pPr>
              <w:pStyle w:val="22"/>
              <w:bidi w:val="0"/>
              <w:jc w:val="center"/>
              <w:rPr>
                <w:b/>
                <w:bCs/>
                <w:color w:val="auto"/>
              </w:rPr>
            </w:pPr>
            <w:r>
              <w:rPr>
                <w:b/>
                <w:bCs/>
                <w:color w:val="auto"/>
              </w:rPr>
              <w:t>措施</w:t>
            </w:r>
          </w:p>
        </w:tc>
        <w:tc>
          <w:tcPr>
            <w:tcW w:w="2023" w:type="dxa"/>
            <w:tcBorders>
              <w:tl2br w:val="nil"/>
              <w:tr2bl w:val="nil"/>
            </w:tcBorders>
            <w:vAlign w:val="center"/>
          </w:tcPr>
          <w:p>
            <w:pPr>
              <w:pStyle w:val="22"/>
              <w:bidi w:val="0"/>
              <w:jc w:val="center"/>
              <w:rPr>
                <w:b/>
                <w:bCs/>
                <w:color w:val="auto"/>
              </w:rPr>
            </w:pPr>
            <w:r>
              <w:rPr>
                <w:b/>
                <w:bCs/>
                <w:color w:val="auto"/>
              </w:rPr>
              <w:t>排放浓度及排放量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822" w:type="dxa"/>
            <w:vMerge w:val="restart"/>
            <w:tcBorders>
              <w:tl2br w:val="nil"/>
              <w:tr2bl w:val="nil"/>
            </w:tcBorders>
            <w:vAlign w:val="center"/>
          </w:tcPr>
          <w:p>
            <w:pPr>
              <w:pStyle w:val="22"/>
              <w:bidi w:val="0"/>
              <w:jc w:val="center"/>
              <w:rPr>
                <w:color w:val="auto"/>
              </w:rPr>
            </w:pPr>
            <w:r>
              <w:rPr>
                <w:color w:val="auto"/>
              </w:rPr>
              <w:t>废气</w:t>
            </w:r>
          </w:p>
        </w:tc>
        <w:tc>
          <w:tcPr>
            <w:tcW w:w="1702"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消毒异味</w:t>
            </w:r>
          </w:p>
        </w:tc>
        <w:tc>
          <w:tcPr>
            <w:tcW w:w="1844" w:type="dxa"/>
            <w:tcBorders>
              <w:tl2br w:val="nil"/>
              <w:tr2bl w:val="nil"/>
            </w:tcBorders>
            <w:vAlign w:val="center"/>
          </w:tcPr>
          <w:p>
            <w:pPr>
              <w:pStyle w:val="22"/>
              <w:bidi w:val="0"/>
              <w:jc w:val="center"/>
              <w:rPr>
                <w:color w:val="auto"/>
              </w:rPr>
            </w:pPr>
          </w:p>
        </w:tc>
        <w:tc>
          <w:tcPr>
            <w:tcW w:w="1986" w:type="dxa"/>
            <w:tcBorders>
              <w:tl2br w:val="nil"/>
              <w:tr2bl w:val="nil"/>
            </w:tcBorders>
            <w:vAlign w:val="center"/>
          </w:tcPr>
          <w:p>
            <w:pPr>
              <w:pStyle w:val="22"/>
              <w:bidi w:val="0"/>
              <w:jc w:val="center"/>
              <w:rPr>
                <w:rFonts w:hint="default"/>
                <w:color w:val="auto"/>
                <w:lang w:val="en-US" w:eastAsia="zh-CN"/>
              </w:rPr>
            </w:pPr>
            <w:r>
              <w:rPr>
                <w:rFonts w:hint="eastAsia"/>
                <w:color w:val="auto"/>
                <w:lang w:val="en-US" w:eastAsia="zh-CN"/>
              </w:rPr>
              <w:t>少量</w:t>
            </w:r>
          </w:p>
        </w:tc>
        <w:tc>
          <w:tcPr>
            <w:tcW w:w="5821" w:type="dxa"/>
            <w:tcBorders>
              <w:tl2br w:val="nil"/>
              <w:tr2bl w:val="nil"/>
            </w:tcBorders>
            <w:vAlign w:val="center"/>
          </w:tcPr>
          <w:p>
            <w:pPr>
              <w:pStyle w:val="22"/>
              <w:bidi w:val="0"/>
              <w:jc w:val="center"/>
              <w:rPr>
                <w:color w:val="auto"/>
              </w:rPr>
            </w:pPr>
            <w:r>
              <w:rPr>
                <w:rFonts w:ascii="宋体" w:hAnsi="宋体" w:eastAsia="宋体" w:cs="宋体"/>
                <w:color w:val="auto"/>
                <w:spacing w:val="-2"/>
                <w:sz w:val="21"/>
                <w:szCs w:val="21"/>
              </w:rPr>
              <w:t>楼层内加强通风</w:t>
            </w:r>
          </w:p>
        </w:tc>
        <w:tc>
          <w:tcPr>
            <w:tcW w:w="2023" w:type="dxa"/>
            <w:tcBorders>
              <w:tl2br w:val="nil"/>
              <w:tr2bl w:val="nil"/>
            </w:tcBorders>
            <w:vAlign w:val="center"/>
          </w:tcPr>
          <w:p>
            <w:pPr>
              <w:pStyle w:val="22"/>
              <w:bidi w:val="0"/>
              <w:jc w:val="center"/>
              <w:rPr>
                <w:rFonts w:hint="eastAsia"/>
                <w:color w:val="auto"/>
                <w:lang w:val="en-US" w:eastAsia="zh-CN"/>
              </w:rPr>
            </w:pPr>
            <w:r>
              <w:rPr>
                <w:rFonts w:hint="eastAsia"/>
                <w:color w:val="auto"/>
                <w:lang w:val="en-US" w:eastAsia="zh-CN"/>
              </w:rPr>
              <w:t>少量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822" w:type="dxa"/>
            <w:vMerge w:val="continue"/>
            <w:tcBorders>
              <w:tl2br w:val="nil"/>
              <w:tr2bl w:val="nil"/>
            </w:tcBorders>
            <w:vAlign w:val="center"/>
          </w:tcPr>
          <w:p>
            <w:pPr>
              <w:pStyle w:val="22"/>
              <w:bidi w:val="0"/>
              <w:jc w:val="center"/>
              <w:rPr>
                <w:color w:val="auto"/>
              </w:rPr>
            </w:pPr>
          </w:p>
        </w:tc>
        <w:tc>
          <w:tcPr>
            <w:tcW w:w="1702" w:type="dxa"/>
            <w:vMerge w:val="restart"/>
            <w:tcBorders>
              <w:tl2br w:val="nil"/>
              <w:tr2bl w:val="nil"/>
            </w:tcBorders>
            <w:vAlign w:val="center"/>
          </w:tcPr>
          <w:p>
            <w:pPr>
              <w:pStyle w:val="22"/>
              <w:bidi w:val="0"/>
              <w:jc w:val="center"/>
              <w:rPr>
                <w:color w:val="auto"/>
              </w:rPr>
            </w:pPr>
            <w:r>
              <w:rPr>
                <w:color w:val="auto"/>
              </w:rPr>
              <w:t>污水处理站</w:t>
            </w:r>
          </w:p>
        </w:tc>
        <w:tc>
          <w:tcPr>
            <w:tcW w:w="1844" w:type="dxa"/>
            <w:tcBorders>
              <w:tl2br w:val="nil"/>
              <w:tr2bl w:val="nil"/>
            </w:tcBorders>
            <w:vAlign w:val="center"/>
          </w:tcPr>
          <w:p>
            <w:pPr>
              <w:pStyle w:val="22"/>
              <w:bidi w:val="0"/>
              <w:jc w:val="center"/>
              <w:rPr>
                <w:color w:val="auto"/>
              </w:rPr>
            </w:pPr>
            <w:r>
              <w:rPr>
                <w:color w:val="auto"/>
              </w:rPr>
              <w:t>NH</w:t>
            </w:r>
            <w:r>
              <w:rPr>
                <w:color w:val="auto"/>
                <w:vertAlign w:val="subscript"/>
              </w:rPr>
              <w:t>3</w:t>
            </w:r>
          </w:p>
        </w:tc>
        <w:tc>
          <w:tcPr>
            <w:tcW w:w="1986" w:type="dxa"/>
            <w:tcBorders>
              <w:tl2br w:val="nil"/>
              <w:tr2bl w:val="nil"/>
            </w:tcBorders>
            <w:vAlign w:val="center"/>
          </w:tcPr>
          <w:p>
            <w:pPr>
              <w:pStyle w:val="22"/>
              <w:bidi w:val="0"/>
              <w:jc w:val="center"/>
              <w:rPr>
                <w:color w:val="auto"/>
              </w:rPr>
            </w:pPr>
            <w:r>
              <w:rPr>
                <w:rFonts w:hint="eastAsia"/>
                <w:color w:val="auto"/>
                <w:lang w:val="en-US" w:eastAsia="zh-CN"/>
              </w:rPr>
              <w:t>0.248</w:t>
            </w:r>
            <w:r>
              <w:rPr>
                <w:color w:val="auto"/>
              </w:rPr>
              <w:t>kg/a</w:t>
            </w:r>
          </w:p>
        </w:tc>
        <w:tc>
          <w:tcPr>
            <w:tcW w:w="5821" w:type="dxa"/>
            <w:vMerge w:val="restart"/>
            <w:tcBorders>
              <w:tl2br w:val="nil"/>
              <w:tr2bl w:val="nil"/>
            </w:tcBorders>
            <w:vAlign w:val="center"/>
          </w:tcPr>
          <w:p>
            <w:pPr>
              <w:pStyle w:val="22"/>
              <w:bidi w:val="0"/>
              <w:jc w:val="center"/>
              <w:rPr>
                <w:color w:val="auto"/>
              </w:rPr>
            </w:pPr>
            <w:r>
              <w:rPr>
                <w:color w:val="auto"/>
              </w:rPr>
              <w:t>污水处理设施及构筑物均进行密闭，各部分产生的废气经集中收集后通过活性炭吸附后排放</w:t>
            </w:r>
          </w:p>
        </w:tc>
        <w:tc>
          <w:tcPr>
            <w:tcW w:w="2023" w:type="dxa"/>
            <w:tcBorders>
              <w:tl2br w:val="nil"/>
              <w:tr2bl w:val="nil"/>
            </w:tcBorders>
            <w:vAlign w:val="center"/>
          </w:tcPr>
          <w:p>
            <w:pPr>
              <w:pStyle w:val="22"/>
              <w:bidi w:val="0"/>
              <w:jc w:val="center"/>
              <w:rPr>
                <w:color w:val="auto"/>
              </w:rPr>
            </w:pPr>
            <w:r>
              <w:rPr>
                <w:rFonts w:hint="eastAsia"/>
                <w:color w:val="auto"/>
                <w:lang w:val="en-US" w:eastAsia="zh-CN"/>
              </w:rPr>
              <w:t>0.05</w:t>
            </w:r>
            <w:r>
              <w:rPr>
                <w:color w:val="auto"/>
              </w:rPr>
              <w:t>kg/a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22" w:type="dxa"/>
            <w:vMerge w:val="continue"/>
            <w:tcBorders>
              <w:tl2br w:val="nil"/>
              <w:tr2bl w:val="nil"/>
            </w:tcBorders>
            <w:vAlign w:val="center"/>
          </w:tcPr>
          <w:p>
            <w:pPr>
              <w:pStyle w:val="22"/>
              <w:bidi w:val="0"/>
              <w:jc w:val="center"/>
              <w:rPr>
                <w:color w:val="auto"/>
              </w:rPr>
            </w:pPr>
          </w:p>
        </w:tc>
        <w:tc>
          <w:tcPr>
            <w:tcW w:w="1702" w:type="dxa"/>
            <w:vMerge w:val="continue"/>
            <w:tcBorders>
              <w:tl2br w:val="nil"/>
              <w:tr2bl w:val="nil"/>
            </w:tcBorders>
            <w:vAlign w:val="center"/>
          </w:tcPr>
          <w:p>
            <w:pPr>
              <w:pStyle w:val="22"/>
              <w:bidi w:val="0"/>
              <w:jc w:val="center"/>
              <w:rPr>
                <w:color w:val="auto"/>
              </w:rPr>
            </w:pPr>
          </w:p>
        </w:tc>
        <w:tc>
          <w:tcPr>
            <w:tcW w:w="1844" w:type="dxa"/>
            <w:tcBorders>
              <w:tl2br w:val="nil"/>
              <w:tr2bl w:val="nil"/>
            </w:tcBorders>
            <w:vAlign w:val="center"/>
          </w:tcPr>
          <w:p>
            <w:pPr>
              <w:pStyle w:val="22"/>
              <w:bidi w:val="0"/>
              <w:jc w:val="center"/>
              <w:rPr>
                <w:color w:val="auto"/>
              </w:rPr>
            </w:pPr>
            <w:r>
              <w:rPr>
                <w:color w:val="auto"/>
              </w:rPr>
              <w:t>H2S</w:t>
            </w:r>
          </w:p>
        </w:tc>
        <w:tc>
          <w:tcPr>
            <w:tcW w:w="1986" w:type="dxa"/>
            <w:tcBorders>
              <w:tl2br w:val="nil"/>
              <w:tr2bl w:val="nil"/>
            </w:tcBorders>
            <w:vAlign w:val="center"/>
          </w:tcPr>
          <w:p>
            <w:pPr>
              <w:pStyle w:val="22"/>
              <w:bidi w:val="0"/>
              <w:jc w:val="center"/>
              <w:rPr>
                <w:color w:val="auto"/>
              </w:rPr>
            </w:pPr>
            <w:r>
              <w:rPr>
                <w:rFonts w:hint="eastAsia"/>
                <w:color w:val="auto"/>
                <w:lang w:val="en-US" w:eastAsia="zh-CN"/>
              </w:rPr>
              <w:t>0.0096</w:t>
            </w:r>
            <w:r>
              <w:rPr>
                <w:color w:val="auto"/>
              </w:rPr>
              <w:t>kg/a</w:t>
            </w:r>
          </w:p>
        </w:tc>
        <w:tc>
          <w:tcPr>
            <w:tcW w:w="5821" w:type="dxa"/>
            <w:vMerge w:val="continue"/>
            <w:tcBorders>
              <w:tl2br w:val="nil"/>
              <w:tr2bl w:val="nil"/>
            </w:tcBorders>
            <w:vAlign w:val="center"/>
          </w:tcPr>
          <w:p>
            <w:pPr>
              <w:pStyle w:val="22"/>
              <w:bidi w:val="0"/>
              <w:jc w:val="center"/>
              <w:rPr>
                <w:color w:val="auto"/>
              </w:rPr>
            </w:pPr>
          </w:p>
        </w:tc>
        <w:tc>
          <w:tcPr>
            <w:tcW w:w="2023" w:type="dxa"/>
            <w:tcBorders>
              <w:tl2br w:val="nil"/>
              <w:tr2bl w:val="nil"/>
            </w:tcBorders>
            <w:vAlign w:val="center"/>
          </w:tcPr>
          <w:p>
            <w:pPr>
              <w:pStyle w:val="22"/>
              <w:bidi w:val="0"/>
              <w:jc w:val="center"/>
              <w:rPr>
                <w:color w:val="auto"/>
              </w:rPr>
            </w:pPr>
            <w:r>
              <w:rPr>
                <w:color w:val="auto"/>
              </w:rPr>
              <w:t>0.</w:t>
            </w:r>
            <w:r>
              <w:rPr>
                <w:rFonts w:hint="eastAsia"/>
                <w:color w:val="auto"/>
                <w:lang w:val="en-US" w:eastAsia="zh-CN"/>
              </w:rPr>
              <w:t>002</w:t>
            </w:r>
            <w:r>
              <w:rPr>
                <w:color w:val="auto"/>
              </w:rPr>
              <w:t>kg/a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9" w:hRule="atLeast"/>
        </w:trPr>
        <w:tc>
          <w:tcPr>
            <w:tcW w:w="822" w:type="dxa"/>
            <w:vMerge w:val="continue"/>
            <w:tcBorders>
              <w:tl2br w:val="nil"/>
              <w:tr2bl w:val="nil"/>
            </w:tcBorders>
            <w:vAlign w:val="center"/>
          </w:tcPr>
          <w:p>
            <w:pPr>
              <w:pStyle w:val="22"/>
              <w:bidi w:val="0"/>
              <w:jc w:val="center"/>
              <w:rPr>
                <w:color w:val="auto"/>
              </w:rPr>
            </w:pPr>
          </w:p>
        </w:tc>
        <w:tc>
          <w:tcPr>
            <w:tcW w:w="1702" w:type="dxa"/>
            <w:tcBorders>
              <w:tl2br w:val="nil"/>
              <w:tr2bl w:val="nil"/>
            </w:tcBorders>
            <w:vAlign w:val="center"/>
          </w:tcPr>
          <w:p>
            <w:pPr>
              <w:pStyle w:val="22"/>
              <w:bidi w:val="0"/>
              <w:jc w:val="center"/>
              <w:rPr>
                <w:color w:val="auto"/>
              </w:rPr>
            </w:pPr>
            <w:r>
              <w:rPr>
                <w:color w:val="auto"/>
              </w:rPr>
              <w:t>实验室</w:t>
            </w:r>
          </w:p>
        </w:tc>
        <w:tc>
          <w:tcPr>
            <w:tcW w:w="1844" w:type="dxa"/>
            <w:tcBorders>
              <w:tl2br w:val="nil"/>
              <w:tr2bl w:val="nil"/>
            </w:tcBorders>
            <w:vAlign w:val="center"/>
          </w:tcPr>
          <w:p>
            <w:pPr>
              <w:pStyle w:val="22"/>
              <w:bidi w:val="0"/>
              <w:jc w:val="center"/>
              <w:rPr>
                <w:color w:val="auto"/>
              </w:rPr>
            </w:pPr>
            <w:r>
              <w:rPr>
                <w:color w:val="auto"/>
              </w:rPr>
              <w:t>酸碱试剂、有机试剂、病原微生物等</w:t>
            </w:r>
          </w:p>
        </w:tc>
        <w:tc>
          <w:tcPr>
            <w:tcW w:w="1986" w:type="dxa"/>
            <w:tcBorders>
              <w:tl2br w:val="nil"/>
              <w:tr2bl w:val="nil"/>
            </w:tcBorders>
            <w:vAlign w:val="center"/>
          </w:tcPr>
          <w:p>
            <w:pPr>
              <w:pStyle w:val="22"/>
              <w:bidi w:val="0"/>
              <w:jc w:val="center"/>
              <w:rPr>
                <w:color w:val="auto"/>
              </w:rPr>
            </w:pPr>
            <w:r>
              <w:rPr>
                <w:color w:val="auto"/>
              </w:rPr>
              <w:t>微量</w:t>
            </w:r>
          </w:p>
        </w:tc>
        <w:tc>
          <w:tcPr>
            <w:tcW w:w="5821" w:type="dxa"/>
            <w:tcBorders>
              <w:tl2br w:val="nil"/>
              <w:tr2bl w:val="nil"/>
            </w:tcBorders>
            <w:vAlign w:val="center"/>
          </w:tcPr>
          <w:p>
            <w:pPr>
              <w:pStyle w:val="22"/>
              <w:bidi w:val="0"/>
              <w:jc w:val="center"/>
              <w:rPr>
                <w:color w:val="auto"/>
              </w:rPr>
            </w:pPr>
            <w:r>
              <w:rPr>
                <w:color w:val="auto"/>
              </w:rPr>
              <w:t>理化实验室</w:t>
            </w:r>
            <w:r>
              <w:rPr>
                <w:rFonts w:hint="eastAsia"/>
                <w:color w:val="auto"/>
                <w:lang w:val="en-US" w:eastAsia="zh-CN"/>
              </w:rPr>
              <w:t>废气</w:t>
            </w:r>
            <w:r>
              <w:rPr>
                <w:color w:val="auto"/>
              </w:rPr>
              <w:t>集气罩收集，</w:t>
            </w:r>
            <w:r>
              <w:rPr>
                <w:rFonts w:hint="eastAsia"/>
                <w:color w:val="auto"/>
                <w:lang w:val="en-US" w:eastAsia="zh-CN"/>
              </w:rPr>
              <w:t>经</w:t>
            </w:r>
            <w:r>
              <w:rPr>
                <w:color w:val="auto"/>
              </w:rPr>
              <w:t>活性炭吸附后</w:t>
            </w:r>
            <w:r>
              <w:rPr>
                <w:rFonts w:hint="eastAsia"/>
                <w:color w:val="auto"/>
                <w:lang w:val="en-US" w:eastAsia="zh-CN"/>
              </w:rPr>
              <w:t>通过专用电控风道引至屋顶排放；</w:t>
            </w:r>
          </w:p>
          <w:p>
            <w:pPr>
              <w:pStyle w:val="22"/>
              <w:bidi w:val="0"/>
              <w:jc w:val="center"/>
              <w:rPr>
                <w:color w:val="auto"/>
              </w:rPr>
            </w:pPr>
            <w:r>
              <w:rPr>
                <w:color w:val="auto"/>
              </w:rPr>
              <w:t>微生物实验室均设置生物安全柜，所有涉及病原微生物的操作均在生物安全柜中进行，可能含有病原微生物的气溶胶只有从其上部的排风口经高效过滤后外排，实验室排风系统均设置高效过滤器，实验室内气体经室内高效过滤器处理后通过专用排气筒送至楼顶排放。</w:t>
            </w:r>
          </w:p>
        </w:tc>
        <w:tc>
          <w:tcPr>
            <w:tcW w:w="2023" w:type="dxa"/>
            <w:tcBorders>
              <w:tl2br w:val="nil"/>
              <w:tr2bl w:val="nil"/>
            </w:tcBorders>
            <w:vAlign w:val="center"/>
          </w:tcPr>
          <w:p>
            <w:pPr>
              <w:pStyle w:val="22"/>
              <w:bidi w:val="0"/>
              <w:jc w:val="center"/>
              <w:rPr>
                <w:color w:val="auto"/>
              </w:rPr>
            </w:pPr>
            <w:r>
              <w:rPr>
                <w:color w:val="auto"/>
              </w:rPr>
              <w:t>微量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822" w:type="dxa"/>
            <w:vMerge w:val="continue"/>
            <w:tcBorders>
              <w:tl2br w:val="nil"/>
              <w:tr2bl w:val="nil"/>
            </w:tcBorders>
            <w:vAlign w:val="center"/>
          </w:tcPr>
          <w:p>
            <w:pPr>
              <w:pStyle w:val="22"/>
              <w:bidi w:val="0"/>
              <w:jc w:val="center"/>
              <w:rPr>
                <w:color w:val="auto"/>
              </w:rPr>
            </w:pPr>
          </w:p>
        </w:tc>
        <w:tc>
          <w:tcPr>
            <w:tcW w:w="1702" w:type="dxa"/>
            <w:tcBorders>
              <w:tl2br w:val="nil"/>
              <w:tr2bl w:val="nil"/>
            </w:tcBorders>
            <w:vAlign w:val="center"/>
          </w:tcPr>
          <w:p>
            <w:pPr>
              <w:pStyle w:val="22"/>
              <w:bidi w:val="0"/>
              <w:jc w:val="center"/>
              <w:rPr>
                <w:color w:val="auto"/>
              </w:rPr>
            </w:pPr>
            <w:r>
              <w:rPr>
                <w:color w:val="auto"/>
              </w:rPr>
              <w:t>医疗废物暂存间</w:t>
            </w:r>
          </w:p>
        </w:tc>
        <w:tc>
          <w:tcPr>
            <w:tcW w:w="1844" w:type="dxa"/>
            <w:tcBorders>
              <w:tl2br w:val="nil"/>
              <w:tr2bl w:val="nil"/>
            </w:tcBorders>
            <w:vAlign w:val="center"/>
          </w:tcPr>
          <w:p>
            <w:pPr>
              <w:pStyle w:val="22"/>
              <w:bidi w:val="0"/>
              <w:jc w:val="center"/>
              <w:rPr>
                <w:color w:val="auto"/>
              </w:rPr>
            </w:pPr>
            <w:r>
              <w:rPr>
                <w:color w:val="auto"/>
              </w:rPr>
              <w:t>臭气</w:t>
            </w:r>
          </w:p>
        </w:tc>
        <w:tc>
          <w:tcPr>
            <w:tcW w:w="1986" w:type="dxa"/>
            <w:tcBorders>
              <w:tl2br w:val="nil"/>
              <w:tr2bl w:val="nil"/>
            </w:tcBorders>
            <w:vAlign w:val="center"/>
          </w:tcPr>
          <w:p>
            <w:pPr>
              <w:pStyle w:val="22"/>
              <w:bidi w:val="0"/>
              <w:jc w:val="center"/>
              <w:rPr>
                <w:color w:val="auto"/>
              </w:rPr>
            </w:pPr>
            <w:r>
              <w:rPr>
                <w:color w:val="auto"/>
              </w:rPr>
              <w:t>微量</w:t>
            </w:r>
          </w:p>
        </w:tc>
        <w:tc>
          <w:tcPr>
            <w:tcW w:w="5821" w:type="dxa"/>
            <w:tcBorders>
              <w:tl2br w:val="nil"/>
              <w:tr2bl w:val="nil"/>
            </w:tcBorders>
            <w:vAlign w:val="center"/>
          </w:tcPr>
          <w:p>
            <w:pPr>
              <w:pStyle w:val="22"/>
              <w:bidi w:val="0"/>
              <w:jc w:val="center"/>
              <w:rPr>
                <w:color w:val="auto"/>
              </w:rPr>
            </w:pPr>
            <w:r>
              <w:rPr>
                <w:color w:val="auto"/>
              </w:rPr>
              <w:t>暂存间有严密的封闭措施，消毒处理后通过排气扇将暂存间废气排出</w:t>
            </w:r>
          </w:p>
        </w:tc>
        <w:tc>
          <w:tcPr>
            <w:tcW w:w="2023" w:type="dxa"/>
            <w:tcBorders>
              <w:tl2br w:val="nil"/>
              <w:tr2bl w:val="nil"/>
            </w:tcBorders>
            <w:vAlign w:val="center"/>
          </w:tcPr>
          <w:p>
            <w:pPr>
              <w:pStyle w:val="22"/>
              <w:bidi w:val="0"/>
              <w:jc w:val="center"/>
              <w:rPr>
                <w:color w:val="auto"/>
              </w:rPr>
            </w:pPr>
            <w:r>
              <w:rPr>
                <w:color w:val="auto"/>
              </w:rPr>
              <w:t>微量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0" w:hRule="atLeast"/>
        </w:trPr>
        <w:tc>
          <w:tcPr>
            <w:tcW w:w="822" w:type="dxa"/>
            <w:vMerge w:val="restart"/>
            <w:tcBorders>
              <w:tl2br w:val="nil"/>
              <w:tr2bl w:val="nil"/>
            </w:tcBorders>
            <w:vAlign w:val="center"/>
          </w:tcPr>
          <w:p>
            <w:pPr>
              <w:pStyle w:val="22"/>
              <w:bidi w:val="0"/>
              <w:jc w:val="center"/>
              <w:rPr>
                <w:color w:val="auto"/>
              </w:rPr>
            </w:pPr>
            <w:r>
              <w:rPr>
                <w:color w:val="auto"/>
              </w:rPr>
              <w:t>废水</w:t>
            </w:r>
          </w:p>
        </w:tc>
        <w:tc>
          <w:tcPr>
            <w:tcW w:w="1702" w:type="dxa"/>
            <w:vMerge w:val="restart"/>
            <w:tcBorders>
              <w:tl2br w:val="nil"/>
              <w:tr2bl w:val="nil"/>
            </w:tcBorders>
            <w:vAlign w:val="center"/>
          </w:tcPr>
          <w:p>
            <w:pPr>
              <w:pStyle w:val="22"/>
              <w:bidi w:val="0"/>
              <w:jc w:val="center"/>
              <w:rPr>
                <w:color w:val="auto"/>
              </w:rPr>
            </w:pPr>
            <w:r>
              <w:rPr>
                <w:color w:val="auto"/>
              </w:rPr>
              <w:t>办公楼生活污水</w:t>
            </w:r>
          </w:p>
        </w:tc>
        <w:tc>
          <w:tcPr>
            <w:tcW w:w="1844" w:type="dxa"/>
            <w:vMerge w:val="restart"/>
            <w:tcBorders>
              <w:tl2br w:val="nil"/>
              <w:tr2bl w:val="nil"/>
            </w:tcBorders>
            <w:vAlign w:val="center"/>
          </w:tcPr>
          <w:p>
            <w:pPr>
              <w:pStyle w:val="22"/>
              <w:bidi w:val="0"/>
              <w:jc w:val="both"/>
              <w:rPr>
                <w:rFonts w:hint="eastAsia" w:eastAsia="宋体"/>
                <w:color w:val="auto"/>
                <w:lang w:eastAsia="zh-CN"/>
              </w:rPr>
            </w:pPr>
            <w:r>
              <w:rPr>
                <w:color w:val="auto"/>
              </w:rPr>
              <w:t>COD</w:t>
            </w:r>
            <w:r>
              <w:rPr>
                <w:rFonts w:hint="eastAsia"/>
                <w:color w:val="auto"/>
                <w:lang w:eastAsia="zh-CN"/>
              </w:rPr>
              <w:t>、</w:t>
            </w:r>
            <w:r>
              <w:rPr>
                <w:color w:val="auto"/>
              </w:rPr>
              <w:t>BOD</w:t>
            </w:r>
            <w:r>
              <w:rPr>
                <w:color w:val="auto"/>
                <w:vertAlign w:val="subscript"/>
              </w:rPr>
              <w:t>5</w:t>
            </w:r>
            <w:r>
              <w:rPr>
                <w:rFonts w:hint="eastAsia"/>
                <w:color w:val="auto"/>
                <w:lang w:eastAsia="zh-CN"/>
              </w:rPr>
              <w:t>、</w:t>
            </w:r>
            <w:r>
              <w:rPr>
                <w:color w:val="auto"/>
              </w:rPr>
              <w:t>SS</w:t>
            </w:r>
            <w:r>
              <w:rPr>
                <w:rFonts w:hint="eastAsia"/>
                <w:color w:val="auto"/>
                <w:lang w:eastAsia="zh-CN"/>
              </w:rPr>
              <w:t>、</w:t>
            </w:r>
          </w:p>
          <w:p>
            <w:pPr>
              <w:pStyle w:val="22"/>
              <w:bidi w:val="0"/>
              <w:jc w:val="center"/>
              <w:rPr>
                <w:color w:val="auto"/>
              </w:rPr>
            </w:pPr>
            <w:r>
              <w:rPr>
                <w:color w:val="auto"/>
              </w:rPr>
              <w:t>NH</w:t>
            </w:r>
            <w:r>
              <w:rPr>
                <w:color w:val="auto"/>
                <w:vertAlign w:val="subscript"/>
              </w:rPr>
              <w:t>3</w:t>
            </w:r>
            <w:r>
              <w:rPr>
                <w:color w:val="auto"/>
              </w:rPr>
              <w:t>-N</w:t>
            </w:r>
          </w:p>
        </w:tc>
        <w:tc>
          <w:tcPr>
            <w:tcW w:w="1986" w:type="dxa"/>
            <w:tcBorders>
              <w:tl2br w:val="nil"/>
              <w:tr2bl w:val="nil"/>
            </w:tcBorders>
            <w:vAlign w:val="center"/>
          </w:tcPr>
          <w:p>
            <w:pPr>
              <w:pStyle w:val="22"/>
              <w:bidi w:val="0"/>
              <w:jc w:val="center"/>
              <w:rPr>
                <w:color w:val="auto"/>
              </w:rPr>
            </w:pPr>
            <w:r>
              <w:rPr>
                <w:rFonts w:hint="eastAsia"/>
                <w:color w:val="auto"/>
                <w:lang w:val="en-US" w:eastAsia="zh-CN"/>
              </w:rPr>
              <w:t>48</w:t>
            </w:r>
            <w:r>
              <w:rPr>
                <w:rFonts w:ascii="Times New Roman" w:hAnsi="Times New Roman" w:eastAsia="Times New Roman" w:cs="Times New Roman"/>
                <w:color w:val="auto"/>
                <w:spacing w:val="-2"/>
                <w:sz w:val="21"/>
                <w:szCs w:val="21"/>
              </w:rPr>
              <w:t>m</w:t>
            </w:r>
            <w:r>
              <w:rPr>
                <w:rFonts w:ascii="Times New Roman" w:hAnsi="Times New Roman" w:eastAsia="Times New Roman" w:cs="Times New Roman"/>
                <w:color w:val="auto"/>
                <w:spacing w:val="-2"/>
                <w:position w:val="6"/>
                <w:sz w:val="14"/>
                <w:szCs w:val="14"/>
              </w:rPr>
              <w:t>3</w:t>
            </w:r>
            <w:r>
              <w:rPr>
                <w:rFonts w:ascii="Times New Roman" w:hAnsi="Times New Roman" w:eastAsia="Times New Roman" w:cs="Times New Roman"/>
                <w:color w:val="auto"/>
                <w:spacing w:val="-2"/>
                <w:sz w:val="21"/>
                <w:szCs w:val="21"/>
              </w:rPr>
              <w:t>/a</w:t>
            </w:r>
          </w:p>
        </w:tc>
        <w:tc>
          <w:tcPr>
            <w:tcW w:w="5821" w:type="dxa"/>
            <w:vMerge w:val="restart"/>
            <w:tcBorders>
              <w:tl2br w:val="nil"/>
              <w:tr2bl w:val="nil"/>
            </w:tcBorders>
            <w:vAlign w:val="center"/>
          </w:tcPr>
          <w:p>
            <w:pPr>
              <w:pStyle w:val="22"/>
              <w:bidi w:val="0"/>
              <w:jc w:val="center"/>
              <w:rPr>
                <w:color w:val="auto"/>
              </w:rPr>
            </w:pPr>
            <w:r>
              <w:rPr>
                <w:color w:val="auto"/>
              </w:rPr>
              <w:t>化粪池处理</w:t>
            </w:r>
          </w:p>
        </w:tc>
        <w:tc>
          <w:tcPr>
            <w:tcW w:w="2023" w:type="dxa"/>
            <w:vMerge w:val="restart"/>
            <w:tcBorders>
              <w:tl2br w:val="nil"/>
              <w:tr2bl w:val="nil"/>
            </w:tcBorders>
            <w:vAlign w:val="center"/>
          </w:tcPr>
          <w:p>
            <w:pPr>
              <w:pStyle w:val="22"/>
              <w:bidi w:val="0"/>
              <w:jc w:val="center"/>
              <w:rPr>
                <w:color w:val="auto"/>
              </w:rPr>
            </w:pPr>
            <w:r>
              <w:rPr>
                <w:rFonts w:hint="eastAsia"/>
                <w:color w:val="auto"/>
                <w:lang w:val="en-US" w:eastAsia="zh-CN"/>
              </w:rPr>
              <w:t>48</w:t>
            </w:r>
            <w:r>
              <w:rPr>
                <w:rFonts w:ascii="Times New Roman" w:hAnsi="Times New Roman" w:eastAsia="Times New Roman" w:cs="Times New Roman"/>
                <w:color w:val="auto"/>
                <w:spacing w:val="-2"/>
                <w:sz w:val="21"/>
                <w:szCs w:val="21"/>
              </w:rPr>
              <w:t>m</w:t>
            </w:r>
            <w:r>
              <w:rPr>
                <w:rFonts w:ascii="Times New Roman" w:hAnsi="Times New Roman" w:eastAsia="Times New Roman" w:cs="Times New Roman"/>
                <w:color w:val="auto"/>
                <w:spacing w:val="-2"/>
                <w:position w:val="6"/>
                <w:sz w:val="14"/>
                <w:szCs w:val="14"/>
              </w:rPr>
              <w:t>3</w:t>
            </w:r>
            <w:r>
              <w:rPr>
                <w:rFonts w:ascii="Times New Roman" w:hAnsi="Times New Roman" w:eastAsia="Times New Roman" w:cs="Times New Roman"/>
                <w:color w:val="auto"/>
                <w:spacing w:val="-2"/>
                <w:sz w:val="21"/>
                <w:szCs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3" w:hRule="atLeast"/>
        </w:trPr>
        <w:tc>
          <w:tcPr>
            <w:tcW w:w="822" w:type="dxa"/>
            <w:vMerge w:val="continue"/>
            <w:tcBorders>
              <w:tl2br w:val="nil"/>
              <w:tr2bl w:val="nil"/>
            </w:tcBorders>
            <w:vAlign w:val="center"/>
          </w:tcPr>
          <w:p>
            <w:pPr>
              <w:pStyle w:val="22"/>
              <w:bidi w:val="0"/>
              <w:jc w:val="center"/>
              <w:rPr>
                <w:color w:val="auto"/>
              </w:rPr>
            </w:pPr>
          </w:p>
        </w:tc>
        <w:tc>
          <w:tcPr>
            <w:tcW w:w="1702" w:type="dxa"/>
            <w:tcBorders>
              <w:tl2br w:val="nil"/>
              <w:tr2bl w:val="nil"/>
            </w:tcBorders>
            <w:vAlign w:val="center"/>
          </w:tcPr>
          <w:p>
            <w:pPr>
              <w:pStyle w:val="22"/>
              <w:bidi w:val="0"/>
              <w:jc w:val="center"/>
              <w:rPr>
                <w:rFonts w:hint="eastAsia" w:eastAsia="宋体"/>
                <w:color w:val="auto"/>
                <w:lang w:eastAsia="zh-CN"/>
              </w:rPr>
            </w:pPr>
            <w:r>
              <w:rPr>
                <w:color w:val="auto"/>
              </w:rPr>
              <w:t>纯水制备浓水</w:t>
            </w:r>
            <w:r>
              <w:rPr>
                <w:rFonts w:hint="eastAsia"/>
                <w:color w:val="auto"/>
                <w:lang w:eastAsia="zh-CN"/>
              </w:rPr>
              <w:t>、</w:t>
            </w:r>
          </w:p>
          <w:p>
            <w:pPr>
              <w:pStyle w:val="22"/>
              <w:bidi w:val="0"/>
              <w:jc w:val="center"/>
              <w:rPr>
                <w:color w:val="auto"/>
              </w:rPr>
            </w:pPr>
            <w:r>
              <w:rPr>
                <w:color w:val="auto"/>
              </w:rPr>
              <w:t>微生物实验室废</w:t>
            </w:r>
          </w:p>
          <w:p>
            <w:pPr>
              <w:pStyle w:val="22"/>
              <w:bidi w:val="0"/>
              <w:jc w:val="center"/>
              <w:rPr>
                <w:color w:val="auto"/>
              </w:rPr>
            </w:pPr>
            <w:r>
              <w:rPr>
                <w:color w:val="auto"/>
              </w:rPr>
              <w:t>水</w:t>
            </w:r>
            <w:r>
              <w:rPr>
                <w:rFonts w:hint="eastAsia"/>
                <w:color w:val="auto"/>
                <w:lang w:eastAsia="zh-CN"/>
              </w:rPr>
              <w:t>、</w:t>
            </w:r>
            <w:r>
              <w:rPr>
                <w:color w:val="auto"/>
              </w:rPr>
              <w:t>理化实验室废水</w:t>
            </w:r>
          </w:p>
        </w:tc>
        <w:tc>
          <w:tcPr>
            <w:tcW w:w="1844" w:type="dxa"/>
            <w:tcBorders>
              <w:tl2br w:val="nil"/>
              <w:tr2bl w:val="nil"/>
            </w:tcBorders>
            <w:vAlign w:val="center"/>
          </w:tcPr>
          <w:p>
            <w:pPr>
              <w:pStyle w:val="22"/>
              <w:bidi w:val="0"/>
              <w:jc w:val="both"/>
              <w:rPr>
                <w:color w:val="auto"/>
              </w:rPr>
            </w:pPr>
            <w:r>
              <w:rPr>
                <w:color w:val="auto"/>
              </w:rPr>
              <w:t>全盐类</w:t>
            </w:r>
            <w:r>
              <w:rPr>
                <w:rFonts w:hint="eastAsia"/>
                <w:color w:val="auto"/>
                <w:lang w:eastAsia="zh-CN"/>
              </w:rPr>
              <w:t>、</w:t>
            </w:r>
            <w:r>
              <w:rPr>
                <w:color w:val="auto"/>
              </w:rPr>
              <w:t>COD</w:t>
            </w:r>
            <w:r>
              <w:rPr>
                <w:rFonts w:hint="eastAsia"/>
                <w:color w:val="auto"/>
                <w:lang w:eastAsia="zh-CN"/>
              </w:rPr>
              <w:t>、</w:t>
            </w:r>
            <w:r>
              <w:rPr>
                <w:color w:val="auto"/>
              </w:rPr>
              <w:t>BOD</w:t>
            </w:r>
            <w:r>
              <w:rPr>
                <w:color w:val="auto"/>
                <w:vertAlign w:val="subscript"/>
              </w:rPr>
              <w:t>5</w:t>
            </w:r>
          </w:p>
          <w:p>
            <w:pPr>
              <w:pStyle w:val="22"/>
              <w:bidi w:val="0"/>
              <w:jc w:val="center"/>
              <w:rPr>
                <w:color w:val="auto"/>
              </w:rPr>
            </w:pPr>
            <w:r>
              <w:rPr>
                <w:color w:val="auto"/>
              </w:rPr>
              <w:t>SS</w:t>
            </w:r>
            <w:r>
              <w:rPr>
                <w:rFonts w:hint="eastAsia"/>
                <w:color w:val="auto"/>
                <w:lang w:eastAsia="zh-CN"/>
              </w:rPr>
              <w:t>、</w:t>
            </w:r>
            <w:r>
              <w:rPr>
                <w:color w:val="auto"/>
              </w:rPr>
              <w:t>NH</w:t>
            </w:r>
            <w:r>
              <w:rPr>
                <w:color w:val="auto"/>
                <w:vertAlign w:val="subscript"/>
              </w:rPr>
              <w:t>3</w:t>
            </w:r>
            <w:r>
              <w:rPr>
                <w:color w:val="auto"/>
              </w:rPr>
              <w:t>-N</w:t>
            </w:r>
          </w:p>
          <w:p>
            <w:pPr>
              <w:pStyle w:val="22"/>
              <w:bidi w:val="0"/>
              <w:jc w:val="center"/>
              <w:rPr>
                <w:color w:val="auto"/>
              </w:rPr>
            </w:pPr>
            <w:r>
              <w:rPr>
                <w:color w:val="auto"/>
              </w:rPr>
              <w:t>粪大肠菌群</w:t>
            </w:r>
          </w:p>
        </w:tc>
        <w:tc>
          <w:tcPr>
            <w:tcW w:w="1986"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444</w:t>
            </w:r>
            <w:r>
              <w:rPr>
                <w:rFonts w:ascii="Times New Roman" w:hAnsi="Times New Roman" w:eastAsia="Times New Roman" w:cs="Times New Roman"/>
                <w:color w:val="auto"/>
                <w:spacing w:val="-2"/>
                <w:sz w:val="21"/>
                <w:szCs w:val="21"/>
              </w:rPr>
              <w:t>m</w:t>
            </w:r>
            <w:r>
              <w:rPr>
                <w:rFonts w:ascii="Times New Roman" w:hAnsi="Times New Roman" w:eastAsia="Times New Roman" w:cs="Times New Roman"/>
                <w:color w:val="auto"/>
                <w:spacing w:val="-2"/>
                <w:position w:val="6"/>
                <w:sz w:val="14"/>
                <w:szCs w:val="14"/>
              </w:rPr>
              <w:t>3</w:t>
            </w:r>
            <w:r>
              <w:rPr>
                <w:rFonts w:ascii="Times New Roman" w:hAnsi="Times New Roman" w:eastAsia="Times New Roman" w:cs="Times New Roman"/>
                <w:color w:val="auto"/>
                <w:spacing w:val="-2"/>
                <w:sz w:val="21"/>
                <w:szCs w:val="21"/>
              </w:rPr>
              <w:t>/a</w:t>
            </w:r>
          </w:p>
        </w:tc>
        <w:tc>
          <w:tcPr>
            <w:tcW w:w="5821" w:type="dxa"/>
            <w:tcBorders>
              <w:tl2br w:val="nil"/>
              <w:tr2bl w:val="nil"/>
            </w:tcBorders>
            <w:vAlign w:val="center"/>
          </w:tcPr>
          <w:p>
            <w:pPr>
              <w:pStyle w:val="22"/>
              <w:bidi w:val="0"/>
              <w:jc w:val="center"/>
              <w:rPr>
                <w:color w:val="auto"/>
              </w:rPr>
            </w:pPr>
            <w:r>
              <w:rPr>
                <w:color w:val="auto"/>
              </w:rPr>
              <w:t>进入自建污水处理站处理</w:t>
            </w:r>
          </w:p>
        </w:tc>
        <w:tc>
          <w:tcPr>
            <w:tcW w:w="2023" w:type="dxa"/>
            <w:tcBorders>
              <w:tl2br w:val="nil"/>
              <w:tr2bl w:val="nil"/>
            </w:tcBorders>
            <w:vAlign w:val="center"/>
          </w:tcPr>
          <w:p>
            <w:pPr>
              <w:pStyle w:val="22"/>
              <w:bidi w:val="0"/>
              <w:jc w:val="center"/>
              <w:rPr>
                <w:color w:val="auto"/>
              </w:rPr>
            </w:pPr>
            <w:r>
              <w:rPr>
                <w:rFonts w:hint="eastAsia"/>
                <w:color w:val="auto"/>
                <w:lang w:val="en-US" w:eastAsia="zh-CN"/>
              </w:rPr>
              <w:t>444</w:t>
            </w:r>
            <w:r>
              <w:rPr>
                <w:rFonts w:ascii="Times New Roman" w:hAnsi="Times New Roman" w:eastAsia="Times New Roman" w:cs="Times New Roman"/>
                <w:color w:val="auto"/>
                <w:spacing w:val="-2"/>
                <w:sz w:val="21"/>
                <w:szCs w:val="21"/>
              </w:rPr>
              <w:t>m</w:t>
            </w:r>
            <w:r>
              <w:rPr>
                <w:rFonts w:ascii="Times New Roman" w:hAnsi="Times New Roman" w:eastAsia="Times New Roman" w:cs="Times New Roman"/>
                <w:color w:val="auto"/>
                <w:spacing w:val="-2"/>
                <w:position w:val="6"/>
                <w:sz w:val="14"/>
                <w:szCs w:val="14"/>
              </w:rPr>
              <w:t>3</w:t>
            </w:r>
            <w:r>
              <w:rPr>
                <w:rFonts w:ascii="Times New Roman" w:hAnsi="Times New Roman" w:eastAsia="Times New Roman" w:cs="Times New Roman"/>
                <w:color w:val="auto"/>
                <w:spacing w:val="-2"/>
                <w:sz w:val="21"/>
                <w:szCs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822" w:type="dxa"/>
            <w:tcBorders>
              <w:tl2br w:val="nil"/>
              <w:tr2bl w:val="nil"/>
            </w:tcBorders>
            <w:vAlign w:val="center"/>
          </w:tcPr>
          <w:p>
            <w:pPr>
              <w:pStyle w:val="22"/>
              <w:bidi w:val="0"/>
              <w:jc w:val="center"/>
              <w:rPr>
                <w:color w:val="auto"/>
              </w:rPr>
            </w:pPr>
            <w:r>
              <w:rPr>
                <w:color w:val="auto"/>
              </w:rPr>
              <w:t>噪声</w:t>
            </w:r>
          </w:p>
        </w:tc>
        <w:tc>
          <w:tcPr>
            <w:tcW w:w="1702" w:type="dxa"/>
            <w:tcBorders>
              <w:tl2br w:val="nil"/>
              <w:tr2bl w:val="nil"/>
            </w:tcBorders>
            <w:vAlign w:val="center"/>
          </w:tcPr>
          <w:p>
            <w:pPr>
              <w:pStyle w:val="22"/>
              <w:bidi w:val="0"/>
              <w:jc w:val="center"/>
              <w:rPr>
                <w:color w:val="auto"/>
              </w:rPr>
            </w:pPr>
            <w:r>
              <w:rPr>
                <w:color w:val="auto"/>
              </w:rPr>
              <w:t>机械设备、人群噪声、车辆</w:t>
            </w:r>
          </w:p>
        </w:tc>
        <w:tc>
          <w:tcPr>
            <w:tcW w:w="1844" w:type="dxa"/>
            <w:tcBorders>
              <w:tl2br w:val="nil"/>
              <w:tr2bl w:val="nil"/>
            </w:tcBorders>
            <w:vAlign w:val="center"/>
          </w:tcPr>
          <w:p>
            <w:pPr>
              <w:pStyle w:val="22"/>
              <w:bidi w:val="0"/>
              <w:jc w:val="center"/>
              <w:rPr>
                <w:color w:val="auto"/>
              </w:rPr>
            </w:pPr>
            <w:r>
              <w:rPr>
                <w:color w:val="auto"/>
              </w:rPr>
              <w:t>等效A声级</w:t>
            </w:r>
          </w:p>
        </w:tc>
        <w:tc>
          <w:tcPr>
            <w:tcW w:w="1986" w:type="dxa"/>
            <w:tcBorders>
              <w:tl2br w:val="nil"/>
              <w:tr2bl w:val="nil"/>
            </w:tcBorders>
            <w:vAlign w:val="center"/>
          </w:tcPr>
          <w:p>
            <w:pPr>
              <w:pStyle w:val="22"/>
              <w:bidi w:val="0"/>
              <w:jc w:val="center"/>
              <w:rPr>
                <w:color w:val="auto"/>
              </w:rPr>
            </w:pPr>
            <w:r>
              <w:rPr>
                <w:color w:val="auto"/>
              </w:rPr>
              <w:t>60～90dB(A)</w:t>
            </w:r>
          </w:p>
        </w:tc>
        <w:tc>
          <w:tcPr>
            <w:tcW w:w="5821" w:type="dxa"/>
            <w:tcBorders>
              <w:tl2br w:val="nil"/>
              <w:tr2bl w:val="nil"/>
            </w:tcBorders>
            <w:vAlign w:val="center"/>
          </w:tcPr>
          <w:p>
            <w:pPr>
              <w:pStyle w:val="22"/>
              <w:bidi w:val="0"/>
              <w:jc w:val="center"/>
              <w:rPr>
                <w:color w:val="auto"/>
              </w:rPr>
            </w:pPr>
            <w:r>
              <w:rPr>
                <w:color w:val="auto"/>
              </w:rPr>
              <w:t>机械设备采取隔声、减振、隔音等措施，人群噪声采取张贴禁止喧哗标语，车辆噪声采取限速、禁止鸣笛措施</w:t>
            </w:r>
          </w:p>
        </w:tc>
        <w:tc>
          <w:tcPr>
            <w:tcW w:w="2023" w:type="dxa"/>
            <w:tcBorders>
              <w:tl2br w:val="nil"/>
              <w:tr2bl w:val="nil"/>
            </w:tcBorders>
            <w:vAlign w:val="center"/>
          </w:tcPr>
          <w:p>
            <w:pPr>
              <w:pStyle w:val="22"/>
              <w:bidi w:val="0"/>
              <w:jc w:val="center"/>
              <w:rPr>
                <w:color w:val="auto"/>
              </w:rPr>
            </w:pPr>
            <w:r>
              <w:rPr>
                <w:color w:val="auto"/>
              </w:rPr>
              <w:t>达标排放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22" w:type="dxa"/>
            <w:vMerge w:val="restart"/>
            <w:tcBorders>
              <w:tl2br w:val="nil"/>
              <w:tr2bl w:val="nil"/>
            </w:tcBorders>
            <w:vAlign w:val="center"/>
          </w:tcPr>
          <w:p>
            <w:pPr>
              <w:pStyle w:val="22"/>
              <w:bidi w:val="0"/>
              <w:jc w:val="center"/>
              <w:rPr>
                <w:color w:val="auto"/>
              </w:rPr>
            </w:pPr>
            <w:r>
              <w:rPr>
                <w:color w:val="auto"/>
              </w:rPr>
              <w:t>固体</w:t>
            </w:r>
          </w:p>
          <w:p>
            <w:pPr>
              <w:pStyle w:val="22"/>
              <w:bidi w:val="0"/>
              <w:jc w:val="center"/>
              <w:rPr>
                <w:color w:val="auto"/>
              </w:rPr>
            </w:pPr>
            <w:r>
              <w:rPr>
                <w:color w:val="auto"/>
              </w:rPr>
              <w:t>废物</w:t>
            </w:r>
          </w:p>
        </w:tc>
        <w:tc>
          <w:tcPr>
            <w:tcW w:w="1702" w:type="dxa"/>
            <w:vMerge w:val="restart"/>
            <w:tcBorders>
              <w:tl2br w:val="nil"/>
              <w:tr2bl w:val="nil"/>
            </w:tcBorders>
            <w:vAlign w:val="center"/>
          </w:tcPr>
          <w:p>
            <w:pPr>
              <w:pStyle w:val="22"/>
              <w:bidi w:val="0"/>
              <w:jc w:val="center"/>
              <w:rPr>
                <w:color w:val="auto"/>
              </w:rPr>
            </w:pPr>
            <w:r>
              <w:rPr>
                <w:color w:val="auto"/>
              </w:rPr>
              <w:t>医疗废物</w:t>
            </w:r>
          </w:p>
        </w:tc>
        <w:tc>
          <w:tcPr>
            <w:tcW w:w="1844" w:type="dxa"/>
            <w:vMerge w:val="restart"/>
            <w:tcBorders>
              <w:tl2br w:val="nil"/>
              <w:tr2bl w:val="nil"/>
            </w:tcBorders>
            <w:vAlign w:val="center"/>
          </w:tcPr>
          <w:p>
            <w:pPr>
              <w:pStyle w:val="22"/>
              <w:bidi w:val="0"/>
              <w:jc w:val="center"/>
              <w:rPr>
                <w:color w:val="auto"/>
              </w:rPr>
            </w:pPr>
            <w:r>
              <w:rPr>
                <w:color w:val="auto"/>
              </w:rPr>
              <w:t>危险废物</w:t>
            </w:r>
          </w:p>
        </w:tc>
        <w:tc>
          <w:tcPr>
            <w:tcW w:w="1986" w:type="dxa"/>
            <w:vMerge w:val="restart"/>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0.75</w:t>
            </w:r>
          </w:p>
        </w:tc>
        <w:tc>
          <w:tcPr>
            <w:tcW w:w="5821" w:type="dxa"/>
            <w:vMerge w:val="restart"/>
            <w:tcBorders>
              <w:tl2br w:val="nil"/>
              <w:tr2bl w:val="nil"/>
            </w:tcBorders>
            <w:vAlign w:val="center"/>
          </w:tcPr>
          <w:p>
            <w:pPr>
              <w:pStyle w:val="22"/>
              <w:bidi w:val="0"/>
              <w:jc w:val="center"/>
              <w:rPr>
                <w:color w:val="auto"/>
              </w:rPr>
            </w:pPr>
            <w:r>
              <w:rPr>
                <w:color w:val="auto"/>
              </w:rPr>
              <w:t>密闭容器收集，暂存于医疗废物暂存间，定期交由有资质的单位进行处置；污泥清掏前委托有资质的单位进行污泥监测，达到《医疗机构水污染物排放标准》（GB18466-2005）表4医疗机构污泥控制标准后再进行清掏，清掏出的污泥交由有资质的单位进行处置。</w:t>
            </w:r>
          </w:p>
        </w:tc>
        <w:tc>
          <w:tcPr>
            <w:tcW w:w="2023" w:type="dxa"/>
            <w:tcBorders>
              <w:tl2br w:val="nil"/>
              <w:tr2bl w:val="nil"/>
            </w:tcBorders>
            <w:vAlign w:val="center"/>
          </w:tcPr>
          <w:p>
            <w:pPr>
              <w:pStyle w:val="22"/>
              <w:bidi w:val="0"/>
              <w:jc w:val="center"/>
              <w:rPr>
                <w:color w:val="auto"/>
              </w:rPr>
            </w:pPr>
            <w:r>
              <w:rPr>
                <w:color w:val="auto"/>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822" w:type="dxa"/>
            <w:vMerge w:val="continue"/>
            <w:tcBorders>
              <w:tl2br w:val="nil"/>
              <w:tr2bl w:val="nil"/>
            </w:tcBorders>
            <w:vAlign w:val="center"/>
          </w:tcPr>
          <w:p>
            <w:pPr>
              <w:pStyle w:val="22"/>
              <w:bidi w:val="0"/>
              <w:jc w:val="center"/>
              <w:rPr>
                <w:color w:val="auto"/>
              </w:rPr>
            </w:pPr>
          </w:p>
        </w:tc>
        <w:tc>
          <w:tcPr>
            <w:tcW w:w="1702" w:type="dxa"/>
            <w:vMerge w:val="continue"/>
            <w:tcBorders>
              <w:tl2br w:val="nil"/>
              <w:tr2bl w:val="nil"/>
            </w:tcBorders>
            <w:vAlign w:val="center"/>
          </w:tcPr>
          <w:p>
            <w:pPr>
              <w:pStyle w:val="22"/>
              <w:bidi w:val="0"/>
              <w:jc w:val="center"/>
              <w:rPr>
                <w:color w:val="auto"/>
              </w:rPr>
            </w:pPr>
          </w:p>
        </w:tc>
        <w:tc>
          <w:tcPr>
            <w:tcW w:w="1844" w:type="dxa"/>
            <w:vMerge w:val="continue"/>
            <w:tcBorders>
              <w:tl2br w:val="nil"/>
              <w:tr2bl w:val="nil"/>
            </w:tcBorders>
            <w:vAlign w:val="center"/>
          </w:tcPr>
          <w:p>
            <w:pPr>
              <w:pStyle w:val="22"/>
              <w:bidi w:val="0"/>
              <w:jc w:val="center"/>
              <w:rPr>
                <w:color w:val="auto"/>
              </w:rPr>
            </w:pPr>
          </w:p>
        </w:tc>
        <w:tc>
          <w:tcPr>
            <w:tcW w:w="1986" w:type="dxa"/>
            <w:vMerge w:val="continue"/>
            <w:tcBorders>
              <w:tl2br w:val="nil"/>
              <w:tr2bl w:val="nil"/>
            </w:tcBorders>
            <w:vAlign w:val="center"/>
          </w:tcPr>
          <w:p>
            <w:pPr>
              <w:pStyle w:val="22"/>
              <w:bidi w:val="0"/>
              <w:jc w:val="center"/>
              <w:rPr>
                <w:color w:val="auto"/>
              </w:rPr>
            </w:pPr>
          </w:p>
        </w:tc>
        <w:tc>
          <w:tcPr>
            <w:tcW w:w="5821" w:type="dxa"/>
            <w:vMerge w:val="continue"/>
            <w:tcBorders>
              <w:tl2br w:val="nil"/>
              <w:tr2bl w:val="nil"/>
            </w:tcBorders>
            <w:vAlign w:val="center"/>
          </w:tcPr>
          <w:p>
            <w:pPr>
              <w:pStyle w:val="22"/>
              <w:bidi w:val="0"/>
              <w:jc w:val="center"/>
              <w:rPr>
                <w:color w:val="auto"/>
              </w:rPr>
            </w:pPr>
          </w:p>
        </w:tc>
        <w:tc>
          <w:tcPr>
            <w:tcW w:w="2023" w:type="dxa"/>
            <w:tcBorders>
              <w:tl2br w:val="nil"/>
              <w:tr2bl w:val="nil"/>
            </w:tcBorders>
            <w:vAlign w:val="center"/>
          </w:tcPr>
          <w:p>
            <w:pPr>
              <w:pStyle w:val="22"/>
              <w:bidi w:val="0"/>
              <w:jc w:val="center"/>
              <w:rPr>
                <w:color w:val="auto"/>
              </w:rPr>
            </w:pPr>
            <w:r>
              <w:rPr>
                <w:color w:val="auto"/>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822" w:type="dxa"/>
            <w:vMerge w:val="continue"/>
            <w:tcBorders>
              <w:tl2br w:val="nil"/>
              <w:tr2bl w:val="nil"/>
            </w:tcBorders>
            <w:vAlign w:val="center"/>
          </w:tcPr>
          <w:p>
            <w:pPr>
              <w:pStyle w:val="22"/>
              <w:bidi w:val="0"/>
              <w:jc w:val="center"/>
              <w:rPr>
                <w:color w:val="auto"/>
              </w:rPr>
            </w:pPr>
          </w:p>
        </w:tc>
        <w:tc>
          <w:tcPr>
            <w:tcW w:w="1702" w:type="dxa"/>
            <w:tcBorders>
              <w:tl2br w:val="nil"/>
              <w:tr2bl w:val="nil"/>
            </w:tcBorders>
            <w:vAlign w:val="center"/>
          </w:tcPr>
          <w:p>
            <w:pPr>
              <w:pStyle w:val="22"/>
              <w:bidi w:val="0"/>
              <w:jc w:val="center"/>
              <w:rPr>
                <w:color w:val="auto"/>
              </w:rPr>
            </w:pPr>
            <w:r>
              <w:rPr>
                <w:color w:val="auto"/>
              </w:rPr>
              <w:t>栅渣、污泥</w:t>
            </w:r>
          </w:p>
        </w:tc>
        <w:tc>
          <w:tcPr>
            <w:tcW w:w="1844" w:type="dxa"/>
            <w:tcBorders>
              <w:tl2br w:val="nil"/>
              <w:tr2bl w:val="nil"/>
            </w:tcBorders>
            <w:vAlign w:val="center"/>
          </w:tcPr>
          <w:p>
            <w:pPr>
              <w:pStyle w:val="22"/>
              <w:bidi w:val="0"/>
              <w:jc w:val="center"/>
              <w:rPr>
                <w:color w:val="auto"/>
              </w:rPr>
            </w:pPr>
            <w:r>
              <w:rPr>
                <w:color w:val="auto"/>
              </w:rPr>
              <w:t>危险废物</w:t>
            </w:r>
          </w:p>
        </w:tc>
        <w:tc>
          <w:tcPr>
            <w:tcW w:w="1986"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0.3</w:t>
            </w:r>
          </w:p>
        </w:tc>
        <w:tc>
          <w:tcPr>
            <w:tcW w:w="5821" w:type="dxa"/>
            <w:vMerge w:val="continue"/>
            <w:tcBorders>
              <w:tl2br w:val="nil"/>
              <w:tr2bl w:val="nil"/>
            </w:tcBorders>
            <w:vAlign w:val="center"/>
          </w:tcPr>
          <w:p>
            <w:pPr>
              <w:pStyle w:val="22"/>
              <w:bidi w:val="0"/>
              <w:jc w:val="center"/>
              <w:rPr>
                <w:color w:val="auto"/>
              </w:rPr>
            </w:pPr>
          </w:p>
        </w:tc>
        <w:tc>
          <w:tcPr>
            <w:tcW w:w="2023" w:type="dxa"/>
            <w:tcBorders>
              <w:tl2br w:val="nil"/>
              <w:tr2bl w:val="nil"/>
            </w:tcBorders>
            <w:vAlign w:val="center"/>
          </w:tcPr>
          <w:p>
            <w:pPr>
              <w:pStyle w:val="22"/>
              <w:bidi w:val="0"/>
              <w:jc w:val="center"/>
              <w:rPr>
                <w:color w:val="auto"/>
              </w:rPr>
            </w:pPr>
            <w:r>
              <w:rPr>
                <w:color w:val="auto"/>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22" w:type="dxa"/>
            <w:vMerge w:val="continue"/>
            <w:tcBorders>
              <w:tl2br w:val="nil"/>
              <w:tr2bl w:val="nil"/>
            </w:tcBorders>
            <w:vAlign w:val="center"/>
          </w:tcPr>
          <w:p>
            <w:pPr>
              <w:pStyle w:val="22"/>
              <w:bidi w:val="0"/>
              <w:jc w:val="center"/>
              <w:rPr>
                <w:color w:val="auto"/>
              </w:rPr>
            </w:pPr>
          </w:p>
        </w:tc>
        <w:tc>
          <w:tcPr>
            <w:tcW w:w="1702" w:type="dxa"/>
            <w:vMerge w:val="restart"/>
            <w:tcBorders>
              <w:tl2br w:val="nil"/>
              <w:tr2bl w:val="nil"/>
            </w:tcBorders>
            <w:vAlign w:val="center"/>
          </w:tcPr>
          <w:p>
            <w:pPr>
              <w:pStyle w:val="22"/>
              <w:bidi w:val="0"/>
              <w:jc w:val="center"/>
              <w:rPr>
                <w:color w:val="auto"/>
              </w:rPr>
            </w:pPr>
            <w:r>
              <w:rPr>
                <w:color w:val="auto"/>
              </w:rPr>
              <w:t>废活性炭</w:t>
            </w:r>
          </w:p>
        </w:tc>
        <w:tc>
          <w:tcPr>
            <w:tcW w:w="1844" w:type="dxa"/>
            <w:vMerge w:val="restart"/>
            <w:tcBorders>
              <w:tl2br w:val="nil"/>
              <w:tr2bl w:val="nil"/>
            </w:tcBorders>
            <w:vAlign w:val="center"/>
          </w:tcPr>
          <w:p>
            <w:pPr>
              <w:pStyle w:val="22"/>
              <w:bidi w:val="0"/>
              <w:jc w:val="center"/>
              <w:rPr>
                <w:color w:val="auto"/>
              </w:rPr>
            </w:pPr>
            <w:r>
              <w:rPr>
                <w:color w:val="auto"/>
              </w:rPr>
              <w:t>危险废物</w:t>
            </w:r>
          </w:p>
        </w:tc>
        <w:tc>
          <w:tcPr>
            <w:tcW w:w="1986" w:type="dxa"/>
            <w:vMerge w:val="restart"/>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0.01</w:t>
            </w:r>
          </w:p>
        </w:tc>
        <w:tc>
          <w:tcPr>
            <w:tcW w:w="5821" w:type="dxa"/>
            <w:vMerge w:val="restart"/>
            <w:tcBorders>
              <w:tl2br w:val="nil"/>
              <w:tr2bl w:val="nil"/>
            </w:tcBorders>
            <w:vAlign w:val="center"/>
          </w:tcPr>
          <w:p>
            <w:pPr>
              <w:pStyle w:val="22"/>
              <w:bidi w:val="0"/>
              <w:jc w:val="center"/>
              <w:rPr>
                <w:color w:val="auto"/>
              </w:rPr>
            </w:pPr>
            <w:r>
              <w:rPr>
                <w:color w:val="auto"/>
                <w:highlight w:val="none"/>
              </w:rPr>
              <w:t>暂存于危废暂存间，委托有危废资质单位处理</w:t>
            </w:r>
          </w:p>
        </w:tc>
        <w:tc>
          <w:tcPr>
            <w:tcW w:w="2023" w:type="dxa"/>
            <w:tcBorders>
              <w:tl2br w:val="nil"/>
              <w:tr2bl w:val="nil"/>
            </w:tcBorders>
            <w:vAlign w:val="center"/>
          </w:tcPr>
          <w:p>
            <w:pPr>
              <w:pStyle w:val="22"/>
              <w:bidi w:val="0"/>
              <w:jc w:val="center"/>
              <w:rPr>
                <w:color w:val="auto"/>
              </w:rPr>
            </w:pPr>
            <w:r>
              <w:rPr>
                <w:color w:val="auto"/>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822" w:type="dxa"/>
            <w:vMerge w:val="continue"/>
            <w:tcBorders>
              <w:tl2br w:val="nil"/>
              <w:tr2bl w:val="nil"/>
            </w:tcBorders>
            <w:vAlign w:val="center"/>
          </w:tcPr>
          <w:p>
            <w:pPr>
              <w:pStyle w:val="22"/>
              <w:bidi w:val="0"/>
              <w:jc w:val="center"/>
              <w:rPr>
                <w:color w:val="auto"/>
              </w:rPr>
            </w:pPr>
          </w:p>
        </w:tc>
        <w:tc>
          <w:tcPr>
            <w:tcW w:w="1702" w:type="dxa"/>
            <w:vMerge w:val="continue"/>
            <w:tcBorders>
              <w:tl2br w:val="nil"/>
              <w:tr2bl w:val="nil"/>
            </w:tcBorders>
            <w:vAlign w:val="center"/>
          </w:tcPr>
          <w:p>
            <w:pPr>
              <w:pStyle w:val="22"/>
              <w:bidi w:val="0"/>
              <w:jc w:val="center"/>
              <w:rPr>
                <w:color w:val="auto"/>
              </w:rPr>
            </w:pPr>
          </w:p>
        </w:tc>
        <w:tc>
          <w:tcPr>
            <w:tcW w:w="1844" w:type="dxa"/>
            <w:vMerge w:val="continue"/>
            <w:tcBorders>
              <w:tl2br w:val="nil"/>
              <w:tr2bl w:val="nil"/>
            </w:tcBorders>
            <w:vAlign w:val="center"/>
          </w:tcPr>
          <w:p>
            <w:pPr>
              <w:pStyle w:val="22"/>
              <w:bidi w:val="0"/>
              <w:jc w:val="center"/>
              <w:rPr>
                <w:color w:val="auto"/>
              </w:rPr>
            </w:pPr>
          </w:p>
        </w:tc>
        <w:tc>
          <w:tcPr>
            <w:tcW w:w="1986" w:type="dxa"/>
            <w:vMerge w:val="continue"/>
            <w:tcBorders>
              <w:tl2br w:val="nil"/>
              <w:tr2bl w:val="nil"/>
            </w:tcBorders>
            <w:vAlign w:val="center"/>
          </w:tcPr>
          <w:p>
            <w:pPr>
              <w:pStyle w:val="22"/>
              <w:bidi w:val="0"/>
              <w:jc w:val="center"/>
              <w:rPr>
                <w:color w:val="auto"/>
              </w:rPr>
            </w:pPr>
          </w:p>
        </w:tc>
        <w:tc>
          <w:tcPr>
            <w:tcW w:w="5821" w:type="dxa"/>
            <w:vMerge w:val="continue"/>
            <w:tcBorders>
              <w:tl2br w:val="nil"/>
              <w:tr2bl w:val="nil"/>
            </w:tcBorders>
            <w:vAlign w:val="center"/>
          </w:tcPr>
          <w:p>
            <w:pPr>
              <w:pStyle w:val="22"/>
              <w:bidi w:val="0"/>
              <w:jc w:val="center"/>
              <w:rPr>
                <w:color w:val="auto"/>
              </w:rPr>
            </w:pPr>
          </w:p>
        </w:tc>
        <w:tc>
          <w:tcPr>
            <w:tcW w:w="2023" w:type="dxa"/>
            <w:tcBorders>
              <w:tl2br w:val="nil"/>
              <w:tr2bl w:val="nil"/>
            </w:tcBorders>
            <w:vAlign w:val="center"/>
          </w:tcPr>
          <w:p>
            <w:pPr>
              <w:pStyle w:val="22"/>
              <w:bidi w:val="0"/>
              <w:jc w:val="center"/>
              <w:rPr>
                <w:color w:val="auto"/>
              </w:rPr>
            </w:pPr>
            <w:r>
              <w:rPr>
                <w:color w:val="auto"/>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822" w:type="dxa"/>
            <w:vMerge w:val="continue"/>
            <w:tcBorders>
              <w:tl2br w:val="nil"/>
              <w:tr2bl w:val="nil"/>
            </w:tcBorders>
            <w:vAlign w:val="center"/>
          </w:tcPr>
          <w:p>
            <w:pPr>
              <w:pStyle w:val="22"/>
              <w:bidi w:val="0"/>
              <w:jc w:val="center"/>
              <w:rPr>
                <w:color w:val="auto"/>
              </w:rPr>
            </w:pPr>
          </w:p>
        </w:tc>
        <w:tc>
          <w:tcPr>
            <w:tcW w:w="1702" w:type="dxa"/>
            <w:vMerge w:val="continue"/>
            <w:tcBorders>
              <w:tl2br w:val="nil"/>
              <w:tr2bl w:val="nil"/>
            </w:tcBorders>
            <w:vAlign w:val="center"/>
          </w:tcPr>
          <w:p>
            <w:pPr>
              <w:pStyle w:val="22"/>
              <w:bidi w:val="0"/>
              <w:jc w:val="center"/>
              <w:rPr>
                <w:color w:val="auto"/>
              </w:rPr>
            </w:pPr>
          </w:p>
        </w:tc>
        <w:tc>
          <w:tcPr>
            <w:tcW w:w="1844" w:type="dxa"/>
            <w:vMerge w:val="continue"/>
            <w:tcBorders>
              <w:tl2br w:val="nil"/>
              <w:tr2bl w:val="nil"/>
            </w:tcBorders>
            <w:vAlign w:val="center"/>
          </w:tcPr>
          <w:p>
            <w:pPr>
              <w:pStyle w:val="22"/>
              <w:bidi w:val="0"/>
              <w:jc w:val="center"/>
              <w:rPr>
                <w:color w:val="auto"/>
              </w:rPr>
            </w:pPr>
          </w:p>
        </w:tc>
        <w:tc>
          <w:tcPr>
            <w:tcW w:w="1986" w:type="dxa"/>
            <w:vMerge w:val="continue"/>
            <w:tcBorders>
              <w:tl2br w:val="nil"/>
              <w:tr2bl w:val="nil"/>
            </w:tcBorders>
            <w:vAlign w:val="center"/>
          </w:tcPr>
          <w:p>
            <w:pPr>
              <w:pStyle w:val="22"/>
              <w:bidi w:val="0"/>
              <w:jc w:val="center"/>
              <w:rPr>
                <w:color w:val="auto"/>
              </w:rPr>
            </w:pPr>
          </w:p>
        </w:tc>
        <w:tc>
          <w:tcPr>
            <w:tcW w:w="5821" w:type="dxa"/>
            <w:vMerge w:val="continue"/>
            <w:tcBorders>
              <w:tl2br w:val="nil"/>
              <w:tr2bl w:val="nil"/>
            </w:tcBorders>
            <w:vAlign w:val="center"/>
          </w:tcPr>
          <w:p>
            <w:pPr>
              <w:pStyle w:val="22"/>
              <w:bidi w:val="0"/>
              <w:jc w:val="center"/>
              <w:rPr>
                <w:color w:val="auto"/>
              </w:rPr>
            </w:pPr>
          </w:p>
        </w:tc>
        <w:tc>
          <w:tcPr>
            <w:tcW w:w="2023" w:type="dxa"/>
            <w:tcBorders>
              <w:tl2br w:val="nil"/>
              <w:tr2bl w:val="nil"/>
            </w:tcBorders>
            <w:vAlign w:val="center"/>
          </w:tcPr>
          <w:p>
            <w:pPr>
              <w:pStyle w:val="22"/>
              <w:bidi w:val="0"/>
              <w:jc w:val="center"/>
              <w:rPr>
                <w:color w:val="auto"/>
              </w:rPr>
            </w:pPr>
            <w:r>
              <w:rPr>
                <w:color w:val="auto"/>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822" w:type="dxa"/>
            <w:vMerge w:val="continue"/>
            <w:tcBorders>
              <w:tl2br w:val="nil"/>
              <w:tr2bl w:val="nil"/>
            </w:tcBorders>
            <w:vAlign w:val="center"/>
          </w:tcPr>
          <w:p>
            <w:pPr>
              <w:pStyle w:val="22"/>
              <w:bidi w:val="0"/>
              <w:jc w:val="center"/>
              <w:rPr>
                <w:color w:val="auto"/>
              </w:rPr>
            </w:pPr>
          </w:p>
        </w:tc>
        <w:tc>
          <w:tcPr>
            <w:tcW w:w="1702" w:type="dxa"/>
            <w:tcBorders>
              <w:tl2br w:val="nil"/>
              <w:tr2bl w:val="nil"/>
            </w:tcBorders>
            <w:vAlign w:val="center"/>
          </w:tcPr>
          <w:p>
            <w:pPr>
              <w:pStyle w:val="22"/>
              <w:bidi w:val="0"/>
              <w:jc w:val="center"/>
              <w:rPr>
                <w:color w:val="auto"/>
              </w:rPr>
            </w:pPr>
            <w:r>
              <w:rPr>
                <w:color w:val="auto"/>
              </w:rPr>
              <w:t>废离子树脂</w:t>
            </w:r>
          </w:p>
        </w:tc>
        <w:tc>
          <w:tcPr>
            <w:tcW w:w="1844" w:type="dxa"/>
            <w:tcBorders>
              <w:tl2br w:val="nil"/>
              <w:tr2bl w:val="nil"/>
            </w:tcBorders>
            <w:vAlign w:val="center"/>
          </w:tcPr>
          <w:p>
            <w:pPr>
              <w:pStyle w:val="22"/>
              <w:bidi w:val="0"/>
              <w:jc w:val="center"/>
              <w:rPr>
                <w:color w:val="auto"/>
              </w:rPr>
            </w:pPr>
            <w:r>
              <w:rPr>
                <w:color w:val="auto"/>
              </w:rPr>
              <w:t>一般固废</w:t>
            </w:r>
          </w:p>
        </w:tc>
        <w:tc>
          <w:tcPr>
            <w:tcW w:w="1986"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0.003</w:t>
            </w:r>
          </w:p>
        </w:tc>
        <w:tc>
          <w:tcPr>
            <w:tcW w:w="5821" w:type="dxa"/>
            <w:tcBorders>
              <w:tl2br w:val="nil"/>
              <w:tr2bl w:val="nil"/>
            </w:tcBorders>
            <w:vAlign w:val="center"/>
          </w:tcPr>
          <w:p>
            <w:pPr>
              <w:pStyle w:val="22"/>
              <w:bidi w:val="0"/>
              <w:jc w:val="center"/>
              <w:rPr>
                <w:color w:val="auto"/>
              </w:rPr>
            </w:pPr>
            <w:r>
              <w:rPr>
                <w:color w:val="auto"/>
              </w:rPr>
              <w:t>经收集后由专门厂家回收</w:t>
            </w:r>
          </w:p>
        </w:tc>
        <w:tc>
          <w:tcPr>
            <w:tcW w:w="2023" w:type="dxa"/>
            <w:tcBorders>
              <w:tl2br w:val="nil"/>
              <w:tr2bl w:val="nil"/>
            </w:tcBorders>
            <w:vAlign w:val="center"/>
          </w:tcPr>
          <w:p>
            <w:pPr>
              <w:pStyle w:val="22"/>
              <w:bidi w:val="0"/>
              <w:jc w:val="center"/>
              <w:rPr>
                <w:color w:val="auto"/>
              </w:rPr>
            </w:pPr>
            <w:r>
              <w:rPr>
                <w:color w:val="auto"/>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822" w:type="dxa"/>
            <w:vMerge w:val="continue"/>
            <w:tcBorders>
              <w:tl2br w:val="nil"/>
              <w:tr2bl w:val="nil"/>
            </w:tcBorders>
            <w:vAlign w:val="center"/>
          </w:tcPr>
          <w:p>
            <w:pPr>
              <w:pStyle w:val="22"/>
              <w:bidi w:val="0"/>
              <w:jc w:val="center"/>
              <w:rPr>
                <w:color w:val="auto"/>
              </w:rPr>
            </w:pPr>
          </w:p>
        </w:tc>
        <w:tc>
          <w:tcPr>
            <w:tcW w:w="1702" w:type="dxa"/>
            <w:tcBorders>
              <w:tl2br w:val="nil"/>
              <w:tr2bl w:val="nil"/>
            </w:tcBorders>
            <w:vAlign w:val="center"/>
          </w:tcPr>
          <w:p>
            <w:pPr>
              <w:pStyle w:val="22"/>
              <w:bidi w:val="0"/>
              <w:jc w:val="center"/>
              <w:rPr>
                <w:color w:val="auto"/>
              </w:rPr>
            </w:pPr>
            <w:r>
              <w:rPr>
                <w:color w:val="auto"/>
              </w:rPr>
              <w:t>生活垃圾</w:t>
            </w:r>
          </w:p>
        </w:tc>
        <w:tc>
          <w:tcPr>
            <w:tcW w:w="1844" w:type="dxa"/>
            <w:tcBorders>
              <w:tl2br w:val="nil"/>
              <w:tr2bl w:val="nil"/>
            </w:tcBorders>
            <w:vAlign w:val="center"/>
          </w:tcPr>
          <w:p>
            <w:pPr>
              <w:pStyle w:val="22"/>
              <w:bidi w:val="0"/>
              <w:jc w:val="center"/>
              <w:rPr>
                <w:color w:val="auto"/>
              </w:rPr>
            </w:pPr>
            <w:r>
              <w:rPr>
                <w:color w:val="auto"/>
              </w:rPr>
              <w:t>一般固废</w:t>
            </w:r>
          </w:p>
        </w:tc>
        <w:tc>
          <w:tcPr>
            <w:tcW w:w="1986" w:type="dxa"/>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1</w:t>
            </w:r>
          </w:p>
        </w:tc>
        <w:tc>
          <w:tcPr>
            <w:tcW w:w="5821" w:type="dxa"/>
            <w:tcBorders>
              <w:tl2br w:val="nil"/>
              <w:tr2bl w:val="nil"/>
            </w:tcBorders>
            <w:vAlign w:val="center"/>
          </w:tcPr>
          <w:p>
            <w:pPr>
              <w:pStyle w:val="22"/>
              <w:bidi w:val="0"/>
              <w:jc w:val="center"/>
              <w:rPr>
                <w:color w:val="auto"/>
              </w:rPr>
            </w:pPr>
            <w:r>
              <w:rPr>
                <w:color w:val="auto"/>
              </w:rPr>
              <w:t>由市政环卫部门统一收集后送至垃圾填埋场处理</w:t>
            </w:r>
          </w:p>
        </w:tc>
        <w:tc>
          <w:tcPr>
            <w:tcW w:w="2023" w:type="dxa"/>
            <w:tcBorders>
              <w:tl2br w:val="nil"/>
              <w:tr2bl w:val="nil"/>
            </w:tcBorders>
            <w:vAlign w:val="center"/>
          </w:tcPr>
          <w:p>
            <w:pPr>
              <w:pStyle w:val="22"/>
              <w:bidi w:val="0"/>
              <w:jc w:val="center"/>
              <w:rPr>
                <w:color w:val="auto"/>
              </w:rPr>
            </w:pPr>
            <w:r>
              <w:rPr>
                <w:color w:val="auto"/>
              </w:rPr>
              <w:t>0</w:t>
            </w:r>
          </w:p>
        </w:tc>
      </w:tr>
    </w:tbl>
    <w:p>
      <w:pPr>
        <w:pStyle w:val="3"/>
        <w:rPr>
          <w:color w:val="auto"/>
        </w:rPr>
        <w:sectPr>
          <w:footerReference r:id="rId8" w:type="default"/>
          <w:pgSz w:w="16838" w:h="11906" w:orient="landscape"/>
          <w:pgMar w:top="1800" w:right="1440" w:bottom="1800" w:left="1440" w:header="1020" w:footer="992" w:gutter="0"/>
          <w:pgBorders>
            <w:top w:val="none" w:sz="0" w:space="0"/>
            <w:left w:val="none" w:sz="0" w:space="0"/>
            <w:bottom w:val="none" w:sz="0" w:space="0"/>
            <w:right w:val="none" w:sz="0" w:space="0"/>
          </w:pgBorders>
          <w:pgNumType w:fmt="decimal" w:start="47"/>
          <w:cols w:space="425" w:num="1"/>
          <w:docGrid w:type="lines" w:linePitch="312" w:charSpace="0"/>
        </w:sectPr>
      </w:pPr>
    </w:p>
    <w:p>
      <w:pPr>
        <w:pStyle w:val="4"/>
        <w:bidi w:val="0"/>
        <w:jc w:val="center"/>
        <w:rPr>
          <w:color w:val="auto"/>
        </w:rPr>
      </w:pPr>
      <w:bookmarkStart w:id="74" w:name="_Toc17586"/>
      <w:r>
        <w:rPr>
          <w:color w:val="auto"/>
        </w:rPr>
        <w:t>4环境现状调查与评价</w:t>
      </w:r>
      <w:bookmarkEnd w:id="74"/>
    </w:p>
    <w:p>
      <w:pPr>
        <w:pStyle w:val="5"/>
        <w:bidi w:val="0"/>
        <w:outlineLvl w:val="0"/>
        <w:rPr>
          <w:color w:val="auto"/>
        </w:rPr>
      </w:pPr>
      <w:bookmarkStart w:id="75" w:name="_Toc8637"/>
      <w:r>
        <w:rPr>
          <w:color w:val="auto"/>
        </w:rPr>
        <w:t>4.1自然环境概况</w:t>
      </w:r>
      <w:bookmarkEnd w:id="75"/>
    </w:p>
    <w:p>
      <w:pPr>
        <w:pStyle w:val="6"/>
        <w:bidi w:val="0"/>
        <w:outlineLvl w:val="1"/>
        <w:rPr>
          <w:color w:val="auto"/>
        </w:rPr>
      </w:pPr>
      <w:bookmarkStart w:id="76" w:name="_Toc118"/>
      <w:r>
        <w:rPr>
          <w:color w:val="auto"/>
        </w:rPr>
        <w:t>4.1.1地理位置</w:t>
      </w:r>
      <w:bookmarkEnd w:id="76"/>
    </w:p>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皮山县地处新疆维吾尔自治区西南，位于塔克拉玛干沙漠南缘，喀喇昆仑山北麓，北纬35°22′～39°01′，东经77°31′～79°38′；县境东西宽67.5km～144.5km，南北长423km。东与和田县、墨玉县相连，西邻叶城县，南在喀喇昆仑山与印度、巴基斯坦在克什尔的实际控制区接界，北濒麦盖提县、巴楚县。县城距首府乌鲁水齐1811.6km（西行公路），直距1038km；距喀什地区叶城县82km，距和田地区墨玉县164km，距和田市188km。</w:t>
      </w:r>
    </w:p>
    <w:p>
      <w:pPr>
        <w:bidi w:val="0"/>
        <w:rPr>
          <w:color w:val="auto"/>
        </w:rPr>
      </w:pPr>
      <w:r>
        <w:rPr>
          <w:color w:val="auto"/>
        </w:rPr>
        <w:t>通讯方面，项目区有线电视、电话、网络可通全国各地，通讯条件优越。</w:t>
      </w:r>
    </w:p>
    <w:p>
      <w:pPr>
        <w:pStyle w:val="6"/>
        <w:bidi w:val="0"/>
        <w:outlineLvl w:val="1"/>
        <w:rPr>
          <w:rFonts w:hint="eastAsia"/>
          <w:color w:val="auto"/>
          <w:lang w:val="en-US" w:eastAsia="zh-CN"/>
        </w:rPr>
      </w:pPr>
      <w:bookmarkStart w:id="77" w:name="_Toc5232"/>
      <w:r>
        <w:rPr>
          <w:rFonts w:hint="eastAsia"/>
          <w:color w:val="auto"/>
          <w:lang w:val="en-US" w:eastAsia="zh-CN"/>
        </w:rPr>
        <w:t>4.1.2地形地貌</w:t>
      </w:r>
      <w:bookmarkEnd w:id="77"/>
    </w:p>
    <w:p>
      <w:pPr>
        <w:bidi w:val="0"/>
        <w:rPr>
          <w:rFonts w:hint="eastAsia"/>
          <w:color w:val="auto"/>
          <w:lang w:val="en-US" w:eastAsia="zh-CN"/>
        </w:rPr>
      </w:pPr>
      <w:r>
        <w:rPr>
          <w:rFonts w:hint="eastAsia"/>
          <w:color w:val="auto"/>
          <w:lang w:val="en-US" w:eastAsia="zh-CN"/>
        </w:rPr>
        <w:t>皮山县地处喀喇昆仑山北麓，区域地貌轮廓受昆仑山纬向构造体系的控制，随着新构造运动，特别是承袭老构造的剧烈活动，使昆仑山不断抬升，前山带遭受强烈的侵蚀、剥蚀，而山前则处于相对沉降阶段，在流水地质作用下，大量的碎屑物质被搬运到山前坳陷带沉积，形成了广阔的山前平原区。海拔高程由南部山区的5500m，向北呈阶梯状依次递降成低山丘陵、山前倾斜砾质平原、细土平原、沙漠，相对高差达3800m。由于大地构造近东西向展布，因此，区内地貌形态由南至北呈东西向条带状展布，可分为：侵蚀高中山地貌，剥蚀低山丘陵地貌，山前堆积地貌，风积地貌四种类型，</w:t>
      </w:r>
    </w:p>
    <w:p>
      <w:pPr>
        <w:bidi w:val="0"/>
        <w:rPr>
          <w:rFonts w:hint="eastAsia"/>
          <w:color w:val="auto"/>
          <w:lang w:val="en-US" w:eastAsia="zh-CN"/>
        </w:rPr>
      </w:pPr>
      <w:r>
        <w:rPr>
          <w:rFonts w:hint="eastAsia"/>
          <w:color w:val="auto"/>
          <w:lang w:val="en-US" w:eastAsia="zh-CN"/>
        </w:rPr>
        <w:t>各地貌特征分述如下：</w:t>
      </w:r>
    </w:p>
    <w:p>
      <w:pPr>
        <w:bidi w:val="0"/>
        <w:rPr>
          <w:rFonts w:hint="eastAsia"/>
          <w:color w:val="auto"/>
          <w:lang w:val="en-US" w:eastAsia="zh-CN"/>
        </w:rPr>
      </w:pPr>
      <w:r>
        <w:rPr>
          <w:rFonts w:hint="eastAsia"/>
          <w:color w:val="auto"/>
          <w:lang w:val="en-US" w:eastAsia="zh-CN"/>
        </w:rPr>
        <w:t>（1）侵蚀高中山地貌</w:t>
      </w:r>
    </w:p>
    <w:p>
      <w:pPr>
        <w:bidi w:val="0"/>
        <w:rPr>
          <w:rFonts w:hint="eastAsia"/>
          <w:color w:val="auto"/>
          <w:lang w:val="en-US" w:eastAsia="zh-CN"/>
        </w:rPr>
      </w:pPr>
      <w:r>
        <w:rPr>
          <w:rFonts w:hint="eastAsia"/>
          <w:color w:val="auto"/>
          <w:lang w:val="en-US" w:eastAsia="zh-CN"/>
        </w:rPr>
        <w:t>分布于昆仑山前山主干断裂以南，由古老的变质岩系组成，山势高耸走向近东西，海拔5500～2500m，河流侵蚀切割作用强烈，多发育“V”字型河谷，河床一般下切几十米至上百米，形成侵蚀堆积阶地，基岩裸露，植物生长极少。</w:t>
      </w:r>
    </w:p>
    <w:p>
      <w:pPr>
        <w:bidi w:val="0"/>
        <w:rPr>
          <w:rFonts w:hint="eastAsia"/>
          <w:color w:val="auto"/>
          <w:lang w:val="en-US" w:eastAsia="zh-CN"/>
        </w:rPr>
      </w:pPr>
      <w:r>
        <w:rPr>
          <w:rFonts w:hint="eastAsia"/>
          <w:color w:val="auto"/>
          <w:lang w:val="en-US" w:eastAsia="zh-CN"/>
        </w:rPr>
        <w:t>（2）剥蚀低山丘陵地貌</w:t>
      </w:r>
    </w:p>
    <w:p>
      <w:pPr>
        <w:bidi w:val="0"/>
        <w:rPr>
          <w:rFonts w:hint="eastAsia"/>
          <w:color w:val="auto"/>
          <w:lang w:val="en-US" w:eastAsia="zh-CN"/>
        </w:rPr>
      </w:pPr>
      <w:r>
        <w:rPr>
          <w:rFonts w:hint="eastAsia"/>
          <w:color w:val="auto"/>
          <w:lang w:val="en-US" w:eastAsia="zh-CN"/>
        </w:rPr>
        <w:t>①丘陵山区</w:t>
      </w:r>
    </w:p>
    <w:p>
      <w:pPr>
        <w:bidi w:val="0"/>
        <w:rPr>
          <w:rFonts w:hint="eastAsia"/>
          <w:color w:val="auto"/>
          <w:lang w:val="en-US" w:eastAsia="zh-CN"/>
        </w:rPr>
      </w:pPr>
      <w:r>
        <w:rPr>
          <w:rFonts w:hint="eastAsia"/>
          <w:color w:val="auto"/>
          <w:lang w:val="en-US" w:eastAsia="zh-CN"/>
        </w:rPr>
        <w:t>分布在克里阳乡、桑株乡和杜瓦镇一带，海拔2500～2000m，为产状单一、波状起伏的垅岗地形，垅岗近东西向延伸，被南北向冲沟切穿，沟深一般十余米，发育有二级阶地。在皮山河、桑株河和杜瓦河出山口两侧，由于新构造运动抬升，中更新统冲积砾石层直接覆盖在垅岗之上，高出现代河床150余米，形成4～5米高阶地。</w:t>
      </w:r>
    </w:p>
    <w:p>
      <w:pPr>
        <w:bidi w:val="0"/>
        <w:rPr>
          <w:rFonts w:hint="eastAsia"/>
          <w:color w:val="auto"/>
          <w:lang w:val="en-US" w:eastAsia="zh-CN"/>
        </w:rPr>
      </w:pPr>
      <w:r>
        <w:rPr>
          <w:rFonts w:hint="eastAsia"/>
          <w:color w:val="auto"/>
          <w:lang w:val="en-US" w:eastAsia="zh-CN"/>
        </w:rPr>
        <w:t>②山间洼地</w:t>
      </w:r>
    </w:p>
    <w:p>
      <w:pPr>
        <w:bidi w:val="0"/>
        <w:rPr>
          <w:rFonts w:hint="eastAsia"/>
          <w:color w:val="auto"/>
          <w:lang w:val="en-US" w:eastAsia="zh-CN"/>
        </w:rPr>
      </w:pPr>
      <w:r>
        <w:rPr>
          <w:rFonts w:hint="eastAsia"/>
          <w:color w:val="auto"/>
          <w:lang w:val="en-US" w:eastAsia="zh-CN"/>
        </w:rPr>
        <w:t>主要分布于皮山河流域克里阳乡北部、阔什塔格乡、巴什兰干乡一带。地形较为平坦开阔，海拔2000～2500m，向北微倾，近东西向延伸，东西长近40km，南北宽6～15km，面积约657.3km</w:t>
      </w:r>
      <w:r>
        <w:rPr>
          <w:rFonts w:hint="eastAsia"/>
          <w:color w:val="auto"/>
          <w:vertAlign w:val="superscript"/>
          <w:lang w:val="en-US" w:eastAsia="zh-CN"/>
        </w:rPr>
        <w:t>2</w:t>
      </w:r>
      <w:r>
        <w:rPr>
          <w:rFonts w:hint="eastAsia"/>
          <w:color w:val="auto"/>
          <w:lang w:val="en-US" w:eastAsia="zh-CN"/>
        </w:rPr>
        <w:t>。表层覆盖剥蚀作用的砂砾石，植物生长较少，主要为耐旱碱草。</w:t>
      </w:r>
    </w:p>
    <w:p>
      <w:pPr>
        <w:bidi w:val="0"/>
        <w:rPr>
          <w:rFonts w:hint="eastAsia"/>
          <w:color w:val="auto"/>
          <w:lang w:val="en-US" w:eastAsia="zh-CN"/>
        </w:rPr>
      </w:pPr>
      <w:r>
        <w:rPr>
          <w:rFonts w:hint="eastAsia"/>
          <w:color w:val="auto"/>
          <w:lang w:val="en-US" w:eastAsia="zh-CN"/>
        </w:rPr>
        <w:t>（3）山前堆积地貌</w:t>
      </w:r>
    </w:p>
    <w:p>
      <w:pPr>
        <w:bidi w:val="0"/>
        <w:rPr>
          <w:rFonts w:hint="eastAsia"/>
          <w:color w:val="auto"/>
          <w:lang w:val="en-US" w:eastAsia="zh-CN"/>
        </w:rPr>
      </w:pPr>
      <w:r>
        <w:rPr>
          <w:rFonts w:hint="eastAsia"/>
          <w:color w:val="auto"/>
          <w:lang w:val="en-US" w:eastAsia="zh-CN"/>
        </w:rPr>
        <w:t>①山前冲洪积砾质平原</w:t>
      </w:r>
    </w:p>
    <w:p>
      <w:pPr>
        <w:bidi w:val="0"/>
        <w:rPr>
          <w:rFonts w:hint="eastAsia"/>
          <w:color w:val="auto"/>
          <w:lang w:val="en-US" w:eastAsia="zh-CN"/>
        </w:rPr>
      </w:pPr>
      <w:r>
        <w:rPr>
          <w:rFonts w:hint="eastAsia"/>
          <w:color w:val="auto"/>
          <w:lang w:val="en-US" w:eastAsia="zh-CN"/>
        </w:rPr>
        <w:t>分布于低山丘陵区下游至G315国道一线附近，由皮山河、桑株河、普斯开河、杜瓦河等河流堆积作用形成的冲洪积扇，海拔2000～1500m，地形平坦开阔，地面坡降1%-2%。地表沉积物以砂砾石、砂质或粘质土为主，南高北低，呈微斜状，植被沿现代河床滩地发育，其它地段植被稀少，地下水埋深一般很大，呈现大片荒漠戈壁景观。居民点沿现代河床滩地分布，相对集中，分布有皮山河流域的皮西那乡、巴什兰干乡、克里阳乡、阔什塔格乡，桑株河流域的桑株乡，杜瓦河流域的杜瓦镇等片区。</w:t>
      </w:r>
    </w:p>
    <w:p>
      <w:pPr>
        <w:bidi w:val="0"/>
        <w:rPr>
          <w:rFonts w:hint="eastAsia"/>
          <w:color w:val="auto"/>
          <w:lang w:val="en-US" w:eastAsia="zh-CN"/>
        </w:rPr>
      </w:pPr>
      <w:r>
        <w:rPr>
          <w:rFonts w:hint="eastAsia"/>
          <w:color w:val="auto"/>
          <w:lang w:val="en-US" w:eastAsia="zh-CN"/>
        </w:rPr>
        <w:t>②冲洪积细土平原</w:t>
      </w:r>
    </w:p>
    <w:p>
      <w:pPr>
        <w:bidi w:val="0"/>
        <w:rPr>
          <w:rFonts w:hint="eastAsia"/>
          <w:color w:val="auto"/>
          <w:lang w:val="en-US" w:eastAsia="zh-CN"/>
        </w:rPr>
      </w:pPr>
      <w:r>
        <w:rPr>
          <w:rFonts w:hint="eastAsia"/>
          <w:color w:val="auto"/>
          <w:lang w:val="en-US" w:eastAsia="zh-CN"/>
        </w:rPr>
        <w:t>主要分布于砾质平原以北的广阔区域，为塔克拉玛干沙漠的南缘地带，海拔1500～1350m，地形平坦，地表覆盖有5～20米的粉砂层，下部为卵砾石或砂砾石层。该地带为皮山县的主要农业区，G315国道在其南缘近东西向贯穿，地下水位埋深一般10～50m，部分地区泉水出露。居民区仍大体按照现代河床滩地分布，有皮山河流域的科克铁热克乡、固玛镇、木奎拉乡及兵团农场，桑株河流域的乔达乡、木吉乡和藏桂乡，杜瓦河流域的皮亚勒玛乡等片区。</w:t>
      </w:r>
    </w:p>
    <w:p>
      <w:pPr>
        <w:bidi w:val="0"/>
        <w:rPr>
          <w:rFonts w:hint="eastAsia"/>
          <w:color w:val="auto"/>
          <w:lang w:val="en-US" w:eastAsia="zh-CN"/>
        </w:rPr>
      </w:pPr>
      <w:r>
        <w:rPr>
          <w:rFonts w:hint="eastAsia"/>
          <w:color w:val="auto"/>
          <w:lang w:val="en-US" w:eastAsia="zh-CN"/>
        </w:rPr>
        <w:t>（4）风积地貌</w:t>
      </w:r>
    </w:p>
    <w:p>
      <w:pPr>
        <w:bidi w:val="0"/>
        <w:rPr>
          <w:rFonts w:hint="eastAsia"/>
          <w:color w:val="auto"/>
          <w:lang w:val="en-US" w:eastAsia="zh-CN"/>
        </w:rPr>
      </w:pPr>
      <w:r>
        <w:rPr>
          <w:rFonts w:hint="eastAsia"/>
          <w:color w:val="auto"/>
          <w:lang w:val="en-US" w:eastAsia="zh-CN"/>
        </w:rPr>
        <w:t>主要分布于评价区最北部，海拔1350～1200m。由全新统风积粉细砂组成，是塔克拉玛干沙漠的一部分。地表多沙垄，以新月形沙丘为主，多属半流动沙丘。风积沙漠区为荒漠，现状人类活动弱。</w:t>
      </w:r>
    </w:p>
    <w:p>
      <w:pPr>
        <w:pStyle w:val="5"/>
        <w:bidi w:val="0"/>
        <w:rPr>
          <w:rFonts w:hint="eastAsia"/>
          <w:color w:val="auto"/>
          <w:sz w:val="24"/>
          <w:szCs w:val="24"/>
          <w:lang w:val="en-US" w:eastAsia="zh-CN"/>
        </w:rPr>
      </w:pPr>
      <w:bookmarkStart w:id="78" w:name="_Toc21249"/>
      <w:r>
        <w:rPr>
          <w:rFonts w:hint="eastAsia"/>
          <w:color w:val="auto"/>
          <w:sz w:val="24"/>
          <w:szCs w:val="24"/>
          <w:lang w:val="en-US" w:eastAsia="zh-CN"/>
        </w:rPr>
        <w:t>4.1.3气候与气象</w:t>
      </w:r>
      <w:bookmarkEnd w:id="78"/>
    </w:p>
    <w:p>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皮山县地处欧亚大陆腹地，远离海洋，降水稀少，蒸发量大，气候干燥，昼夜温差大，冬季少积雪，春季多风沙和沙暴，浮尘天气频繁，属典型的温带大陆性干旱气候特征。依据不同的气象变化呈现出南部山区、中部平原、北部沙漠三种气候带。南部山区由于海拔高，雨水充沛，冬暖夏凉，气温的年、日差小，表现为典型的山区气候；中山地区除表现了山区的气候特点外，也反映了一些平原地区气候特点；中部平原农业区由于海拔相对较低，降水量减少，气温日差较大，表现了典型的大陆性干旱气候；北部沙漠地区，降水稀少，干旱炎热，蒸发量极大。</w:t>
      </w:r>
    </w:p>
    <w:p>
      <w:pPr>
        <w:pStyle w:val="6"/>
        <w:bidi w:val="0"/>
        <w:outlineLvl w:val="1"/>
        <w:rPr>
          <w:rFonts w:hint="eastAsia"/>
          <w:color w:val="auto"/>
          <w:lang w:val="en-US" w:eastAsia="zh-CN"/>
        </w:rPr>
      </w:pPr>
      <w:bookmarkStart w:id="79" w:name="_Toc18179"/>
      <w:r>
        <w:rPr>
          <w:rFonts w:hint="eastAsia"/>
          <w:color w:val="auto"/>
          <w:lang w:val="en-US" w:eastAsia="zh-CN"/>
        </w:rPr>
        <w:t>4.1.4水文及水文地质</w:t>
      </w:r>
      <w:bookmarkEnd w:id="79"/>
    </w:p>
    <w:p>
      <w:pPr>
        <w:pStyle w:val="7"/>
        <w:bidi w:val="0"/>
        <w:outlineLvl w:val="2"/>
        <w:rPr>
          <w:rFonts w:hint="eastAsia"/>
          <w:color w:val="auto"/>
          <w:lang w:val="en-US" w:eastAsia="zh-CN"/>
        </w:rPr>
      </w:pPr>
      <w:bookmarkStart w:id="80" w:name="_Toc15948"/>
      <w:r>
        <w:rPr>
          <w:rFonts w:hint="eastAsia"/>
          <w:color w:val="auto"/>
          <w:lang w:val="en-US" w:eastAsia="zh-CN"/>
        </w:rPr>
        <w:t>4.1.4.1水文</w:t>
      </w:r>
      <w:bookmarkEnd w:id="80"/>
    </w:p>
    <w:p>
      <w:pPr>
        <w:keepNext w:val="0"/>
        <w:keepLines w:val="0"/>
        <w:widowControl/>
        <w:suppressLineNumbers w:val="0"/>
        <w:jc w:val="left"/>
        <w:rPr>
          <w:color w:val="auto"/>
        </w:rPr>
      </w:pPr>
      <w:r>
        <w:rPr>
          <w:rFonts w:hint="eastAsia" w:ascii="宋体" w:hAnsi="宋体" w:eastAsia="宋体" w:cs="宋体"/>
          <w:color w:val="auto"/>
          <w:kern w:val="0"/>
          <w:sz w:val="24"/>
          <w:szCs w:val="24"/>
          <w:lang w:val="en-US" w:eastAsia="zh-CN" w:bidi="ar"/>
        </w:rPr>
        <w:t>皮山县境内主要有皮山河、桑株河、杜瓦河三条河流，现将三条河流的基本情况分述如下：</w:t>
      </w:r>
    </w:p>
    <w:p>
      <w:pPr>
        <w:keepNext w:val="0"/>
        <w:keepLines w:val="0"/>
        <w:widowControl/>
        <w:suppressLineNumbers w:val="0"/>
        <w:jc w:val="both"/>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（1）皮山河</w:t>
      </w:r>
    </w:p>
    <w:p>
      <w:pPr>
        <w:keepNext w:val="0"/>
        <w:keepLines w:val="0"/>
        <w:widowControl/>
        <w:suppressLineNumbers w:val="0"/>
        <w:jc w:val="both"/>
        <w:rPr>
          <w:rFonts w:hint="default" w:ascii="Times New Roman" w:hAnsi="Times New Roman" w:eastAsia="宋体" w:cs="Times New Roman"/>
          <w:color w:val="auto"/>
        </w:rPr>
      </w:pPr>
      <w:r>
        <w:rPr>
          <w:rFonts w:hint="default" w:ascii="Times New Roman" w:hAnsi="Times New Roman" w:eastAsia="宋体" w:cs="Times New Roman"/>
          <w:color w:val="auto"/>
          <w:kern w:val="0"/>
          <w:sz w:val="24"/>
          <w:szCs w:val="24"/>
          <w:lang w:val="en-US" w:eastAsia="zh-CN" w:bidi="ar"/>
        </w:rPr>
        <w:t>皮山河发源于昆仑山北麓，由东支阿克肖河、西支康阿孜河2条支流在塔吉克民族乡北汇合而成，到阔什塔格与布琼河汇合后，注入雅普泉水库，最后流经科克铁热克乡消失于塔克拉玛干沙漠，河流全长160km，流域面积8634k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。皮山河上皮山水文站设立于1958年6月，是该河唯一的控制性水文观测站，水文站以上控制集水面积1899km</w:t>
      </w:r>
      <w:r>
        <w:rPr>
          <w:rFonts w:hint="default" w:ascii="Times New Roman" w:hAnsi="Times New Roman" w:eastAsia="宋体" w:cs="Times New Roman"/>
          <w:color w:val="auto"/>
          <w:kern w:val="0"/>
          <w:sz w:val="24"/>
          <w:szCs w:val="24"/>
          <w:vertAlign w:val="superscript"/>
          <w:lang w:val="en-US" w:eastAsia="zh-CN" w:bidi="ar"/>
        </w:rPr>
        <w:t>2</w:t>
      </w:r>
      <w:r>
        <w:rPr>
          <w:rFonts w:hint="default" w:ascii="Times New Roman" w:hAnsi="Times New Roman" w:eastAsia="宋体" w:cs="Times New Roman"/>
          <w:color w:val="auto"/>
          <w:kern w:val="0"/>
          <w:sz w:val="24"/>
          <w:szCs w:val="24"/>
          <w:lang w:val="en-US" w:eastAsia="zh-CN" w:bidi="ar"/>
        </w:rPr>
        <w:t>，多年平均径流量3.5590亿m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皮山河以冰川和永久性积雪融水补给为主，受流域气温的制约，径流在年内分配极不均匀，四季水量分配比例为：春季（3～5月）占年径流量的13.2%，夏季（6～8月）占71.1%，秋季（9～11月）占12.6%，冬季（12～2月）占3.1%。连续最大四个月径流量（6～9月）占年径流量的79.5%。径流的年内特征主要表现为：汛期短，径流量大；枯水期长，径流量小。</w:t>
      </w:r>
    </w:p>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（2）桑株河</w:t>
      </w:r>
    </w:p>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桑株河发源于昆仑山北麓中山带，上游海拔高程5500～6300m为终年积雪的雪山。桑株河河道陡峭，水流湍急，山体岩石风化剧烈，光秃无植被，河流最终在塔克拉玛干沙漠中消失，河道全长112km，流域面积4133km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。桑株水文站由新疆水文水资源局于1959年6月设立，位于桑株河出山口附近，集水面积1107km</w:t>
      </w:r>
      <w:r>
        <w:rPr>
          <w:rFonts w:hint="default" w:ascii="Times New Roman" w:hAnsi="Times New Roman" w:cs="Times New Roman"/>
          <w:color w:val="auto"/>
          <w:vertAlign w:val="superscript"/>
          <w:lang w:val="en-US" w:eastAsia="zh-CN"/>
        </w:rPr>
        <w:t>2</w:t>
      </w:r>
      <w:r>
        <w:rPr>
          <w:rFonts w:hint="default" w:ascii="Times New Roman" w:hAnsi="Times New Roman" w:cs="Times New Roman"/>
          <w:color w:val="auto"/>
          <w:lang w:val="en-US" w:eastAsia="zh-CN"/>
        </w:rPr>
        <w:t>，多年平均径流量2.8460亿m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。桑株河以高山融雪水补给为主，降雨补给很少，径流的年际变化比较平缓，而年内分配十分集中，四季水量分配比例为</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春季</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3～5月</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占年径流量的11.9%</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夏季</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6～8月</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占74.9%</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秋季</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9～11月</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占10.6%</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冬季</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12～2月</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占2.6%。连续最大四个月径流量</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5～8月</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占年径流量的80.7%。径流的年内特征主要表现为：冬季流量以地下水补给为主，过程平稳；春季气温回升，中、低山区季节性积雪融化，每年形成一次春洪；夏季水量集中，且流量的日变化十分显著，有显著的一日一峰。</w:t>
      </w:r>
    </w:p>
    <w:p>
      <w:pPr>
        <w:bidi w:val="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（3）杜瓦河</w:t>
      </w:r>
    </w:p>
    <w:p>
      <w:pPr>
        <w:bidi w:val="0"/>
        <w:rPr>
          <w:rFonts w:hint="default" w:ascii="Times New Roman" w:hAnsi="Times New Roman" w:eastAsia="宋体" w:cs="Times New Roman"/>
          <w:color w:val="auto"/>
        </w:rPr>
      </w:pPr>
      <w:r>
        <w:rPr>
          <w:rFonts w:hint="default" w:ascii="Times New Roman" w:hAnsi="Times New Roman" w:eastAsia="宋体" w:cs="Times New Roman"/>
          <w:color w:val="auto"/>
          <w:lang w:val="en-US" w:eastAsia="zh-CN"/>
        </w:rPr>
        <w:t>杜瓦河发源于昆仑山北麓克其克牙依拉克山，河源最高海拔高程5569m，河流散失于海拔高程1330m的皮亚勒玛乡附近，河道全长118.2km，流域面积2958km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。杜瓦河上的杜瓦水文站设立于1961年，控制断面以上集水面积719km</w:t>
      </w:r>
      <w:r>
        <w:rPr>
          <w:rFonts w:hint="default" w:ascii="Times New Roman" w:hAnsi="Times New Roman" w:eastAsia="宋体" w:cs="Times New Roman"/>
          <w:color w:val="auto"/>
          <w:vertAlign w:val="superscript"/>
          <w:lang w:val="en-US" w:eastAsia="zh-CN"/>
        </w:rPr>
        <w:t>2</w:t>
      </w:r>
      <w:r>
        <w:rPr>
          <w:rFonts w:hint="default" w:ascii="Times New Roman" w:hAnsi="Times New Roman" w:eastAsia="宋体" w:cs="Times New Roman"/>
          <w:color w:val="auto"/>
          <w:lang w:val="en-US" w:eastAsia="zh-CN"/>
        </w:rPr>
        <w:t>，多年平均径流量0.4697亿m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。杜瓦河以冰雪融水补给为主，春季（3～5月）径流量占全年的23.8%，夏季（</w:t>
      </w:r>
      <w:r>
        <w:rPr>
          <w:rFonts w:hint="eastAsia" w:ascii="Times New Roman" w:hAnsi="Times New Roman" w:eastAsia="宋体" w:cs="Times New Roman"/>
          <w:color w:val="auto"/>
          <w:lang w:val="en-US" w:eastAsia="zh-CN"/>
        </w:rPr>
        <w:t>6~8</w:t>
      </w:r>
      <w:r>
        <w:rPr>
          <w:rFonts w:hint="default" w:ascii="Times New Roman" w:hAnsi="Times New Roman" w:eastAsia="宋体" w:cs="Times New Roman"/>
          <w:color w:val="auto"/>
          <w:lang w:val="en-US" w:eastAsia="zh-CN"/>
        </w:rPr>
        <w:t>月）占48.5%，秋季（9～11月）18.4%，冬季（12～2月）占9.3%。连续最大四个月径流量（5～8月）占年径流量的61.8%。径流的年内特征主要表现为：冬季流量以地下水补给为主，平均在1.0m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/s左右，过程平稳；春季因气温回升，中、低山区季节性积雪融化，每年可形成一次春洪；夏季水量集中，流量的日变化十分显著，有显著的一日一峰。</w:t>
      </w:r>
    </w:p>
    <w:p>
      <w:pPr>
        <w:pStyle w:val="7"/>
        <w:bidi w:val="0"/>
        <w:outlineLvl w:val="2"/>
        <w:rPr>
          <w:rFonts w:hint="eastAsia"/>
          <w:color w:val="auto"/>
          <w:lang w:val="en-US" w:eastAsia="zh-CN"/>
        </w:rPr>
      </w:pPr>
      <w:bookmarkStart w:id="81" w:name="_Toc30517"/>
      <w:r>
        <w:rPr>
          <w:rFonts w:hint="eastAsia"/>
          <w:color w:val="auto"/>
          <w:lang w:val="en-US" w:eastAsia="zh-CN"/>
        </w:rPr>
        <w:t>4.1.4.2地质</w:t>
      </w:r>
      <w:bookmarkEnd w:id="81"/>
    </w:p>
    <w:p>
      <w:pPr>
        <w:bidi w:val="0"/>
        <w:rPr>
          <w:color w:val="auto"/>
        </w:rPr>
      </w:pPr>
      <w:r>
        <w:rPr>
          <w:color w:val="auto"/>
        </w:rPr>
        <w:t>皮山县在地质构造上位于西昆仑山褶皱带和塔里木地台两大构造单元的和田—莎车凹陷带内。皮山县境内三大水系源于昆仑山，汇流于塔里木盆地。因此，昆仑山褶皱带经受多次强烈的造山运动以及塔里木地台相对稳定的区域构造特征，对皮山县境内三条河流流域的地貌、沉积环境、水系发育等起着重要的制约作用。昆仑山褶皱带上，具有水文地质意义和控水作用的构造形迹主要有桑株—普斯开背斜和皮西那—少拉克断裂。桑株—普斯开背斜属昆仑山山前的第二排构造，又名桑株背斜，为一窟窿形式的两翼大致对称的短轴背斜，轴向为北西—南东向，背斜轴部由二叠系碎屑岩组成，两翼由中新生界碎屑岩、碳酸岩组成，岩层倾角一般30°左右，大部分为风积砂（Q4eol）所覆，构成丘陵地形。该构造使昆仑山北麓山前地下水径流受阻溢出成泉，将昆仑山山区地下水与冲洪积平原区地下水分成两个相对独立的水文地质单元。皮西那—少拉克断裂从山前砾质平原穿过，沿山前向东延伸至少拉克，向西延伸至皮西那，全长约250km，构成了昆仑山山前区域性断裂，此断裂绝大部分被第四系所覆盖，在少拉克可见清晰断面。据分析该断裂形成于中生代，至今一直具有活动性，对该区的水文地质条件起着重要的控制作用。受其影响，断裂两侧第四纪松散沉积物厚度及地下水位埋深发生很大变化，在该断裂南侧第四纪松散沉积物厚度约50m，地下水位埋深较浅，而北侧第四纪松散沉积物厚度骤然增大至300m左右，地下水位埋深也增大至50～100m。</w:t>
      </w:r>
    </w:p>
    <w:p>
      <w:pPr>
        <w:pStyle w:val="6"/>
        <w:bidi w:val="0"/>
        <w:outlineLvl w:val="1"/>
        <w:rPr>
          <w:rFonts w:hint="eastAsia"/>
          <w:color w:val="auto"/>
          <w:lang w:val="en-US" w:eastAsia="zh-CN"/>
        </w:rPr>
      </w:pPr>
      <w:bookmarkStart w:id="82" w:name="_Toc26139"/>
      <w:r>
        <w:rPr>
          <w:rFonts w:hint="eastAsia"/>
          <w:color w:val="auto"/>
          <w:lang w:val="en-US" w:eastAsia="zh-CN"/>
        </w:rPr>
        <w:t>4.1.5生态环境</w:t>
      </w:r>
      <w:bookmarkEnd w:id="82"/>
    </w:p>
    <w:p>
      <w:pPr>
        <w:bidi w:val="0"/>
        <w:rPr>
          <w:rFonts w:hint="default" w:ascii="Times New Roman" w:hAnsi="Times New Roman" w:cs="Times New Roman"/>
          <w:color w:val="auto"/>
        </w:rPr>
      </w:pPr>
      <w:r>
        <w:rPr>
          <w:rFonts w:hint="default" w:ascii="Times New Roman" w:hAnsi="Times New Roman" w:cs="Times New Roman"/>
          <w:color w:val="auto"/>
          <w:lang w:val="en-US" w:eastAsia="zh-CN"/>
        </w:rPr>
        <w:t>皮山县的植被主要有农区的农作物和果木以及山地荒漠的各种森林树木和草原牧草。皮山县共有森林资源面积为27.89万亩，其中人工林面积16.41万亩，天然林11.48万亩；全县活立木蓄积量为45.97m</w:t>
      </w:r>
      <w:r>
        <w:rPr>
          <w:rFonts w:hint="default" w:ascii="Times New Roman" w:hAnsi="Times New Roman" w:cs="Times New Roman"/>
          <w:color w:val="auto"/>
          <w:vertAlign w:val="superscript"/>
          <w:lang w:val="en-US" w:eastAsia="zh-CN"/>
        </w:rPr>
        <w:t>3</w:t>
      </w:r>
      <w:r>
        <w:rPr>
          <w:rFonts w:hint="default" w:ascii="Times New Roman" w:hAnsi="Times New Roman" w:cs="Times New Roman"/>
          <w:color w:val="auto"/>
          <w:lang w:val="en-US" w:eastAsia="zh-CN"/>
        </w:rPr>
        <w:t>，森林覆盖率为0.44%。全县有草场面积797.57万亩，草原类型有山地、荒漠草原、山地草原、高寒草原、低地草甸等九类。草场中天然草场面积795.16万亩，人工草场2.41万亩。</w:t>
      </w:r>
    </w:p>
    <w:p>
      <w:pPr>
        <w:pStyle w:val="5"/>
        <w:bidi w:val="0"/>
        <w:outlineLvl w:val="0"/>
        <w:rPr>
          <w:rFonts w:hint="eastAsia"/>
          <w:color w:val="auto"/>
          <w:lang w:val="en-US" w:eastAsia="zh-CN"/>
        </w:rPr>
      </w:pPr>
      <w:bookmarkStart w:id="83" w:name="_Toc10934"/>
      <w:r>
        <w:rPr>
          <w:rFonts w:hint="eastAsia"/>
          <w:color w:val="auto"/>
          <w:lang w:val="en-US" w:eastAsia="zh-CN"/>
        </w:rPr>
        <w:t>4.2环境质量现状评价</w:t>
      </w:r>
      <w:bookmarkEnd w:id="83"/>
    </w:p>
    <w:p>
      <w:pPr>
        <w:pStyle w:val="6"/>
        <w:bidi w:val="0"/>
        <w:rPr>
          <w:rFonts w:hint="eastAsia"/>
          <w:color w:val="auto"/>
          <w:lang w:val="en-US" w:eastAsia="zh-CN"/>
        </w:rPr>
      </w:pPr>
      <w:bookmarkStart w:id="84" w:name="_Toc20085"/>
      <w:r>
        <w:rPr>
          <w:rFonts w:hint="eastAsia"/>
          <w:color w:val="auto"/>
          <w:lang w:val="en-US" w:eastAsia="zh-CN"/>
        </w:rPr>
        <w:t>4.2.1环境空气质量现状评价</w:t>
      </w:r>
      <w:bookmarkEnd w:id="84"/>
    </w:p>
    <w:p>
      <w:pPr>
        <w:pStyle w:val="7"/>
        <w:bidi w:val="0"/>
        <w:rPr>
          <w:color w:val="auto"/>
        </w:rPr>
      </w:pPr>
      <w:r>
        <w:rPr>
          <w:color w:val="auto"/>
        </w:rPr>
        <w:t>4.2.1.1基本污染物环境质量现状调查（区域达标判定）</w:t>
      </w:r>
    </w:p>
    <w:p>
      <w:pPr>
        <w:bidi w:val="0"/>
        <w:rPr>
          <w:color w:val="auto"/>
        </w:rPr>
      </w:pPr>
      <w:r>
        <w:rPr>
          <w:color w:val="auto"/>
        </w:rPr>
        <w:t>根据《环境影响评价技术导则大气环境》（HJ2.2-2018）中相关要求，本项目引用和田地区20</w:t>
      </w:r>
      <w:r>
        <w:rPr>
          <w:rFonts w:hint="eastAsia"/>
          <w:color w:val="auto"/>
          <w:lang w:val="en-US" w:eastAsia="zh-CN"/>
        </w:rPr>
        <w:t>20</w:t>
      </w:r>
      <w:r>
        <w:rPr>
          <w:color w:val="auto"/>
        </w:rPr>
        <w:t>年大气质量数据。统计数据中SO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、PM</w:t>
      </w:r>
      <w:r>
        <w:rPr>
          <w:color w:val="auto"/>
          <w:vertAlign w:val="subscript"/>
        </w:rPr>
        <w:t>2.5</w:t>
      </w:r>
      <w:r>
        <w:rPr>
          <w:color w:val="auto"/>
        </w:rPr>
        <w:t>年均浓度分别为21ug/m</w:t>
      </w:r>
      <w:r>
        <w:rPr>
          <w:color w:val="auto"/>
          <w:vertAlign w:val="superscript"/>
        </w:rPr>
        <w:t>3</w:t>
      </w:r>
      <w:r>
        <w:rPr>
          <w:color w:val="auto"/>
        </w:rPr>
        <w:t>、27ug/m</w:t>
      </w:r>
      <w:r>
        <w:rPr>
          <w:color w:val="auto"/>
          <w:vertAlign w:val="superscript"/>
        </w:rPr>
        <w:t>3</w:t>
      </w:r>
      <w:r>
        <w:rPr>
          <w:color w:val="auto"/>
        </w:rPr>
        <w:t>、60ug/m</w:t>
      </w:r>
      <w:r>
        <w:rPr>
          <w:color w:val="auto"/>
          <w:vertAlign w:val="superscript"/>
        </w:rPr>
        <w:t>3</w:t>
      </w:r>
      <w:r>
        <w:rPr>
          <w:color w:val="auto"/>
        </w:rPr>
        <w:t>、175ug/m</w:t>
      </w:r>
      <w:r>
        <w:rPr>
          <w:color w:val="auto"/>
          <w:vertAlign w:val="superscript"/>
        </w:rPr>
        <w:t>3</w:t>
      </w:r>
      <w:r>
        <w:rPr>
          <w:color w:val="auto"/>
        </w:rPr>
        <w:t>；CO24小时平均第95百分位数为3200ug/m</w:t>
      </w:r>
      <w:r>
        <w:rPr>
          <w:color w:val="auto"/>
          <w:vertAlign w:val="superscript"/>
        </w:rPr>
        <w:t>3</w:t>
      </w:r>
      <w:r>
        <w:rPr>
          <w:color w:val="auto"/>
        </w:rPr>
        <w:t>，O</w:t>
      </w:r>
      <w:r>
        <w:rPr>
          <w:color w:val="auto"/>
          <w:vertAlign w:val="subscript"/>
        </w:rPr>
        <w:t>3</w:t>
      </w:r>
      <w:r>
        <w:rPr>
          <w:color w:val="auto"/>
        </w:rPr>
        <w:t>日最大8小时平均第90百分位数为110ug/m</w:t>
      </w:r>
      <w:r>
        <w:rPr>
          <w:color w:val="auto"/>
          <w:vertAlign w:val="superscript"/>
        </w:rPr>
        <w:t>3</w:t>
      </w:r>
      <w:r>
        <w:rPr>
          <w:color w:val="auto"/>
        </w:rPr>
        <w:t>，超过《环境空气质量标准》（GB3095-2012）中二级标准限值的污染物为PM</w:t>
      </w:r>
      <w:r>
        <w:rPr>
          <w:color w:val="auto"/>
          <w:vertAlign w:val="subscript"/>
        </w:rPr>
        <w:t>10</w:t>
      </w:r>
      <w:r>
        <w:rPr>
          <w:color w:val="auto"/>
        </w:rPr>
        <w:t>、PM</w:t>
      </w:r>
      <w:r>
        <w:rPr>
          <w:color w:val="auto"/>
          <w:vertAlign w:val="subscript"/>
        </w:rPr>
        <w:t>2.5</w:t>
      </w:r>
      <w:r>
        <w:rPr>
          <w:color w:val="auto"/>
        </w:rPr>
        <w:t>。</w:t>
      </w:r>
    </w:p>
    <w:p>
      <w:pPr>
        <w:bidi w:val="0"/>
        <w:rPr>
          <w:color w:val="auto"/>
        </w:rPr>
      </w:pPr>
      <w:r>
        <w:rPr>
          <w:color w:val="auto"/>
        </w:rPr>
        <w:t>其结果统计见下表4.2-1。</w:t>
      </w:r>
    </w:p>
    <w:p>
      <w:pPr>
        <w:pStyle w:val="22"/>
        <w:bidi w:val="0"/>
        <w:rPr>
          <w:b/>
          <w:bCs/>
          <w:color w:val="auto"/>
        </w:rPr>
      </w:pPr>
      <w:r>
        <w:rPr>
          <w:b/>
          <w:bCs/>
          <w:color w:val="auto"/>
        </w:rPr>
        <w:t>表4.2-120</w:t>
      </w:r>
      <w:r>
        <w:rPr>
          <w:rFonts w:hint="eastAsia"/>
          <w:b/>
          <w:bCs/>
          <w:color w:val="auto"/>
          <w:lang w:val="en-US" w:eastAsia="zh-CN"/>
        </w:rPr>
        <w:t>20</w:t>
      </w:r>
      <w:r>
        <w:rPr>
          <w:b/>
          <w:bCs/>
          <w:color w:val="auto"/>
        </w:rPr>
        <w:t>年和田地区主要空气污染物指标监测结果单位：ug/m</w:t>
      </w:r>
      <w:r>
        <w:rPr>
          <w:b/>
          <w:bCs/>
          <w:color w:val="auto"/>
          <w:vertAlign w:val="superscript"/>
        </w:rPr>
        <w:t>3</w:t>
      </w:r>
    </w:p>
    <w:tbl>
      <w:tblPr>
        <w:tblStyle w:val="23"/>
        <w:tblW w:w="851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99"/>
        <w:gridCol w:w="1740"/>
        <w:gridCol w:w="1421"/>
        <w:gridCol w:w="1420"/>
        <w:gridCol w:w="1420"/>
        <w:gridCol w:w="141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jc w:val="center"/>
        </w:trPr>
        <w:tc>
          <w:tcPr>
            <w:tcW w:w="1099" w:type="dxa"/>
            <w:tcBorders>
              <w:tl2br w:val="nil"/>
              <w:tr2bl w:val="nil"/>
            </w:tcBorders>
            <w:vAlign w:val="center"/>
          </w:tcPr>
          <w:p>
            <w:pPr>
              <w:pStyle w:val="22"/>
              <w:bidi w:val="0"/>
              <w:jc w:val="center"/>
              <w:rPr>
                <w:b/>
                <w:bCs/>
                <w:color w:val="auto"/>
              </w:rPr>
            </w:pPr>
            <w:r>
              <w:rPr>
                <w:b/>
                <w:bCs/>
                <w:color w:val="auto"/>
              </w:rPr>
              <w:t>污染物</w:t>
            </w:r>
          </w:p>
        </w:tc>
        <w:tc>
          <w:tcPr>
            <w:tcW w:w="1740" w:type="dxa"/>
            <w:tcBorders>
              <w:tl2br w:val="nil"/>
              <w:tr2bl w:val="nil"/>
            </w:tcBorders>
            <w:vAlign w:val="center"/>
          </w:tcPr>
          <w:p>
            <w:pPr>
              <w:pStyle w:val="22"/>
              <w:bidi w:val="0"/>
              <w:jc w:val="center"/>
              <w:rPr>
                <w:b/>
                <w:bCs/>
                <w:color w:val="auto"/>
              </w:rPr>
            </w:pPr>
            <w:r>
              <w:rPr>
                <w:b/>
                <w:bCs/>
                <w:color w:val="auto"/>
              </w:rPr>
              <w:t>年评价指标</w:t>
            </w:r>
          </w:p>
        </w:tc>
        <w:tc>
          <w:tcPr>
            <w:tcW w:w="1421" w:type="dxa"/>
            <w:tcBorders>
              <w:tl2br w:val="nil"/>
              <w:tr2bl w:val="nil"/>
            </w:tcBorders>
            <w:vAlign w:val="center"/>
          </w:tcPr>
          <w:p>
            <w:pPr>
              <w:pStyle w:val="22"/>
              <w:bidi w:val="0"/>
              <w:jc w:val="center"/>
              <w:rPr>
                <w:b/>
                <w:bCs/>
                <w:color w:val="auto"/>
              </w:rPr>
            </w:pPr>
            <w:r>
              <w:rPr>
                <w:b/>
                <w:bCs/>
                <w:color w:val="auto"/>
              </w:rPr>
              <w:t>现状浓度</w:t>
            </w:r>
          </w:p>
        </w:tc>
        <w:tc>
          <w:tcPr>
            <w:tcW w:w="1420" w:type="dxa"/>
            <w:tcBorders>
              <w:tl2br w:val="nil"/>
              <w:tr2bl w:val="nil"/>
            </w:tcBorders>
            <w:vAlign w:val="center"/>
          </w:tcPr>
          <w:p>
            <w:pPr>
              <w:pStyle w:val="22"/>
              <w:bidi w:val="0"/>
              <w:jc w:val="center"/>
              <w:rPr>
                <w:b/>
                <w:bCs/>
                <w:color w:val="auto"/>
              </w:rPr>
            </w:pPr>
            <w:r>
              <w:rPr>
                <w:b/>
                <w:bCs/>
                <w:color w:val="auto"/>
              </w:rPr>
              <w:t>标准值</w:t>
            </w:r>
          </w:p>
        </w:tc>
        <w:tc>
          <w:tcPr>
            <w:tcW w:w="1420" w:type="dxa"/>
            <w:tcBorders>
              <w:tl2br w:val="nil"/>
              <w:tr2bl w:val="nil"/>
            </w:tcBorders>
            <w:vAlign w:val="center"/>
          </w:tcPr>
          <w:p>
            <w:pPr>
              <w:pStyle w:val="22"/>
              <w:bidi w:val="0"/>
              <w:jc w:val="center"/>
              <w:rPr>
                <w:b/>
                <w:bCs/>
                <w:color w:val="auto"/>
              </w:rPr>
            </w:pPr>
            <w:r>
              <w:rPr>
                <w:b/>
                <w:bCs/>
                <w:color w:val="auto"/>
              </w:rPr>
              <w:t>占标率%</w:t>
            </w:r>
          </w:p>
        </w:tc>
        <w:tc>
          <w:tcPr>
            <w:tcW w:w="1417" w:type="dxa"/>
            <w:tcBorders>
              <w:tl2br w:val="nil"/>
              <w:tr2bl w:val="nil"/>
            </w:tcBorders>
            <w:vAlign w:val="center"/>
          </w:tcPr>
          <w:p>
            <w:pPr>
              <w:pStyle w:val="22"/>
              <w:bidi w:val="0"/>
              <w:jc w:val="center"/>
              <w:rPr>
                <w:b/>
                <w:bCs/>
                <w:color w:val="auto"/>
              </w:rPr>
            </w:pPr>
            <w:r>
              <w:rPr>
                <w:b/>
                <w:bCs/>
                <w:color w:val="auto"/>
              </w:rPr>
              <w:t>达标情况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1099" w:type="dxa"/>
            <w:tcBorders>
              <w:tl2br w:val="nil"/>
              <w:tr2bl w:val="nil"/>
            </w:tcBorders>
            <w:vAlign w:val="center"/>
          </w:tcPr>
          <w:p>
            <w:pPr>
              <w:pStyle w:val="22"/>
              <w:bidi w:val="0"/>
              <w:jc w:val="center"/>
              <w:rPr>
                <w:color w:val="auto"/>
              </w:rPr>
            </w:pPr>
            <w:r>
              <w:rPr>
                <w:color w:val="auto"/>
              </w:rPr>
              <w:t>SO</w:t>
            </w:r>
            <w:r>
              <w:rPr>
                <w:color w:val="auto"/>
                <w:vertAlign w:val="subscript"/>
              </w:rPr>
              <w:t>2</w:t>
            </w:r>
          </w:p>
        </w:tc>
        <w:tc>
          <w:tcPr>
            <w:tcW w:w="1740" w:type="dxa"/>
            <w:vMerge w:val="restart"/>
            <w:tcBorders>
              <w:tl2br w:val="nil"/>
              <w:tr2bl w:val="nil"/>
            </w:tcBorders>
            <w:vAlign w:val="center"/>
          </w:tcPr>
          <w:p>
            <w:pPr>
              <w:pStyle w:val="22"/>
              <w:bidi w:val="0"/>
              <w:jc w:val="center"/>
              <w:rPr>
                <w:color w:val="auto"/>
              </w:rPr>
            </w:pPr>
          </w:p>
          <w:p>
            <w:pPr>
              <w:pStyle w:val="22"/>
              <w:bidi w:val="0"/>
              <w:jc w:val="center"/>
              <w:rPr>
                <w:color w:val="auto"/>
              </w:rPr>
            </w:pPr>
            <w:r>
              <w:rPr>
                <w:color w:val="auto"/>
              </w:rPr>
              <w:t>年平均质量浓度</w:t>
            </w:r>
          </w:p>
        </w:tc>
        <w:tc>
          <w:tcPr>
            <w:tcW w:w="1421" w:type="dxa"/>
            <w:tcBorders>
              <w:tl2br w:val="nil"/>
              <w:tr2bl w:val="nil"/>
            </w:tcBorders>
            <w:vAlign w:val="center"/>
          </w:tcPr>
          <w:p>
            <w:pPr>
              <w:pStyle w:val="22"/>
              <w:bidi w:val="0"/>
              <w:jc w:val="center"/>
              <w:rPr>
                <w:color w:val="auto"/>
              </w:rPr>
            </w:pPr>
            <w:r>
              <w:rPr>
                <w:color w:val="auto"/>
              </w:rPr>
              <w:t>21</w:t>
            </w:r>
          </w:p>
        </w:tc>
        <w:tc>
          <w:tcPr>
            <w:tcW w:w="1420" w:type="dxa"/>
            <w:tcBorders>
              <w:tl2br w:val="nil"/>
              <w:tr2bl w:val="nil"/>
            </w:tcBorders>
            <w:vAlign w:val="center"/>
          </w:tcPr>
          <w:p>
            <w:pPr>
              <w:pStyle w:val="22"/>
              <w:bidi w:val="0"/>
              <w:jc w:val="center"/>
              <w:rPr>
                <w:color w:val="auto"/>
              </w:rPr>
            </w:pPr>
            <w:r>
              <w:rPr>
                <w:color w:val="auto"/>
              </w:rPr>
              <w:t>60</w:t>
            </w:r>
          </w:p>
        </w:tc>
        <w:tc>
          <w:tcPr>
            <w:tcW w:w="1420" w:type="dxa"/>
            <w:tcBorders>
              <w:tl2br w:val="nil"/>
              <w:tr2bl w:val="nil"/>
            </w:tcBorders>
            <w:vAlign w:val="center"/>
          </w:tcPr>
          <w:p>
            <w:pPr>
              <w:pStyle w:val="22"/>
              <w:bidi w:val="0"/>
              <w:jc w:val="center"/>
              <w:rPr>
                <w:color w:val="auto"/>
              </w:rPr>
            </w:pPr>
            <w:r>
              <w:rPr>
                <w:color w:val="auto"/>
              </w:rPr>
              <w:t>35</w:t>
            </w:r>
          </w:p>
        </w:tc>
        <w:tc>
          <w:tcPr>
            <w:tcW w:w="1417" w:type="dxa"/>
            <w:tcBorders>
              <w:tl2br w:val="nil"/>
              <w:tr2bl w:val="nil"/>
            </w:tcBorders>
            <w:vAlign w:val="center"/>
          </w:tcPr>
          <w:p>
            <w:pPr>
              <w:pStyle w:val="22"/>
              <w:bidi w:val="0"/>
              <w:jc w:val="center"/>
              <w:rPr>
                <w:color w:val="auto"/>
              </w:rPr>
            </w:pPr>
            <w:r>
              <w:rPr>
                <w:color w:val="auto"/>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2" w:hRule="atLeast"/>
          <w:jc w:val="center"/>
        </w:trPr>
        <w:tc>
          <w:tcPr>
            <w:tcW w:w="1099" w:type="dxa"/>
            <w:tcBorders>
              <w:tl2br w:val="nil"/>
              <w:tr2bl w:val="nil"/>
            </w:tcBorders>
            <w:vAlign w:val="center"/>
          </w:tcPr>
          <w:p>
            <w:pPr>
              <w:pStyle w:val="22"/>
              <w:bidi w:val="0"/>
              <w:jc w:val="center"/>
              <w:rPr>
                <w:color w:val="auto"/>
              </w:rPr>
            </w:pPr>
            <w:r>
              <w:rPr>
                <w:color w:val="auto"/>
              </w:rPr>
              <w:t>NO</w:t>
            </w:r>
            <w:r>
              <w:rPr>
                <w:color w:val="auto"/>
                <w:vertAlign w:val="subscript"/>
              </w:rPr>
              <w:t>2</w:t>
            </w:r>
          </w:p>
        </w:tc>
        <w:tc>
          <w:tcPr>
            <w:tcW w:w="1740" w:type="dxa"/>
            <w:vMerge w:val="continue"/>
            <w:tcBorders>
              <w:tl2br w:val="nil"/>
              <w:tr2bl w:val="nil"/>
            </w:tcBorders>
            <w:vAlign w:val="center"/>
          </w:tcPr>
          <w:p>
            <w:pPr>
              <w:pStyle w:val="22"/>
              <w:bidi w:val="0"/>
              <w:jc w:val="center"/>
              <w:rPr>
                <w:color w:val="auto"/>
              </w:rPr>
            </w:pPr>
          </w:p>
        </w:tc>
        <w:tc>
          <w:tcPr>
            <w:tcW w:w="1421" w:type="dxa"/>
            <w:tcBorders>
              <w:tl2br w:val="nil"/>
              <w:tr2bl w:val="nil"/>
            </w:tcBorders>
            <w:vAlign w:val="center"/>
          </w:tcPr>
          <w:p>
            <w:pPr>
              <w:pStyle w:val="22"/>
              <w:bidi w:val="0"/>
              <w:jc w:val="center"/>
              <w:rPr>
                <w:color w:val="auto"/>
              </w:rPr>
            </w:pPr>
            <w:r>
              <w:rPr>
                <w:color w:val="auto"/>
              </w:rPr>
              <w:t>27</w:t>
            </w:r>
          </w:p>
        </w:tc>
        <w:tc>
          <w:tcPr>
            <w:tcW w:w="1420" w:type="dxa"/>
            <w:tcBorders>
              <w:tl2br w:val="nil"/>
              <w:tr2bl w:val="nil"/>
            </w:tcBorders>
            <w:vAlign w:val="center"/>
          </w:tcPr>
          <w:p>
            <w:pPr>
              <w:pStyle w:val="22"/>
              <w:bidi w:val="0"/>
              <w:jc w:val="center"/>
              <w:rPr>
                <w:color w:val="auto"/>
              </w:rPr>
            </w:pPr>
            <w:r>
              <w:rPr>
                <w:color w:val="auto"/>
              </w:rPr>
              <w:t>80</w:t>
            </w:r>
          </w:p>
        </w:tc>
        <w:tc>
          <w:tcPr>
            <w:tcW w:w="1420"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33.75</w:t>
            </w:r>
          </w:p>
        </w:tc>
        <w:tc>
          <w:tcPr>
            <w:tcW w:w="1417" w:type="dxa"/>
            <w:tcBorders>
              <w:tl2br w:val="nil"/>
              <w:tr2bl w:val="nil"/>
            </w:tcBorders>
            <w:vAlign w:val="center"/>
          </w:tcPr>
          <w:p>
            <w:pPr>
              <w:pStyle w:val="22"/>
              <w:bidi w:val="0"/>
              <w:jc w:val="center"/>
              <w:rPr>
                <w:color w:val="auto"/>
              </w:rPr>
            </w:pPr>
            <w:r>
              <w:rPr>
                <w:color w:val="auto"/>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jc w:val="center"/>
        </w:trPr>
        <w:tc>
          <w:tcPr>
            <w:tcW w:w="1099" w:type="dxa"/>
            <w:tcBorders>
              <w:tl2br w:val="nil"/>
              <w:tr2bl w:val="nil"/>
            </w:tcBorders>
            <w:vAlign w:val="center"/>
          </w:tcPr>
          <w:p>
            <w:pPr>
              <w:pStyle w:val="22"/>
              <w:bidi w:val="0"/>
              <w:jc w:val="center"/>
              <w:rPr>
                <w:color w:val="auto"/>
              </w:rPr>
            </w:pPr>
            <w:r>
              <w:rPr>
                <w:color w:val="auto"/>
              </w:rPr>
              <w:t>PM</w:t>
            </w:r>
            <w:r>
              <w:rPr>
                <w:color w:val="auto"/>
                <w:vertAlign w:val="subscript"/>
              </w:rPr>
              <w:t>10</w:t>
            </w:r>
          </w:p>
        </w:tc>
        <w:tc>
          <w:tcPr>
            <w:tcW w:w="1740" w:type="dxa"/>
            <w:vMerge w:val="continue"/>
            <w:tcBorders>
              <w:tl2br w:val="nil"/>
              <w:tr2bl w:val="nil"/>
            </w:tcBorders>
            <w:vAlign w:val="center"/>
          </w:tcPr>
          <w:p>
            <w:pPr>
              <w:pStyle w:val="22"/>
              <w:bidi w:val="0"/>
              <w:jc w:val="center"/>
              <w:rPr>
                <w:color w:val="auto"/>
              </w:rPr>
            </w:pPr>
          </w:p>
        </w:tc>
        <w:tc>
          <w:tcPr>
            <w:tcW w:w="1421" w:type="dxa"/>
            <w:tcBorders>
              <w:tl2br w:val="nil"/>
              <w:tr2bl w:val="nil"/>
            </w:tcBorders>
            <w:vAlign w:val="center"/>
          </w:tcPr>
          <w:p>
            <w:pPr>
              <w:pStyle w:val="22"/>
              <w:bidi w:val="0"/>
              <w:jc w:val="center"/>
              <w:rPr>
                <w:color w:val="auto"/>
              </w:rPr>
            </w:pPr>
            <w:r>
              <w:rPr>
                <w:color w:val="auto"/>
              </w:rPr>
              <w:t>60</w:t>
            </w:r>
          </w:p>
        </w:tc>
        <w:tc>
          <w:tcPr>
            <w:tcW w:w="1420" w:type="dxa"/>
            <w:tcBorders>
              <w:tl2br w:val="nil"/>
              <w:tr2bl w:val="nil"/>
            </w:tcBorders>
            <w:vAlign w:val="center"/>
          </w:tcPr>
          <w:p>
            <w:pPr>
              <w:pStyle w:val="22"/>
              <w:bidi w:val="0"/>
              <w:jc w:val="center"/>
              <w:rPr>
                <w:color w:val="auto"/>
              </w:rPr>
            </w:pPr>
            <w:r>
              <w:rPr>
                <w:color w:val="auto"/>
              </w:rPr>
              <w:t>35</w:t>
            </w:r>
          </w:p>
        </w:tc>
        <w:tc>
          <w:tcPr>
            <w:tcW w:w="1420" w:type="dxa"/>
            <w:tcBorders>
              <w:tl2br w:val="nil"/>
              <w:tr2bl w:val="nil"/>
            </w:tcBorders>
            <w:vAlign w:val="center"/>
          </w:tcPr>
          <w:p>
            <w:pPr>
              <w:pStyle w:val="22"/>
              <w:bidi w:val="0"/>
              <w:jc w:val="center"/>
              <w:rPr>
                <w:color w:val="auto"/>
              </w:rPr>
            </w:pPr>
            <w:r>
              <w:rPr>
                <w:color w:val="auto"/>
              </w:rPr>
              <w:t>171.4</w:t>
            </w:r>
          </w:p>
        </w:tc>
        <w:tc>
          <w:tcPr>
            <w:tcW w:w="1417" w:type="dxa"/>
            <w:tcBorders>
              <w:tl2br w:val="nil"/>
              <w:tr2bl w:val="nil"/>
            </w:tcBorders>
            <w:vAlign w:val="center"/>
          </w:tcPr>
          <w:p>
            <w:pPr>
              <w:pStyle w:val="22"/>
              <w:bidi w:val="0"/>
              <w:jc w:val="center"/>
              <w:rPr>
                <w:color w:val="auto"/>
              </w:rPr>
            </w:pPr>
            <w:r>
              <w:rPr>
                <w:color w:val="auto"/>
              </w:rPr>
              <w:t>不达标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1099" w:type="dxa"/>
            <w:tcBorders>
              <w:tl2br w:val="nil"/>
              <w:tr2bl w:val="nil"/>
            </w:tcBorders>
            <w:vAlign w:val="center"/>
          </w:tcPr>
          <w:p>
            <w:pPr>
              <w:pStyle w:val="22"/>
              <w:bidi w:val="0"/>
              <w:jc w:val="center"/>
              <w:rPr>
                <w:color w:val="auto"/>
              </w:rPr>
            </w:pPr>
            <w:r>
              <w:rPr>
                <w:color w:val="auto"/>
              </w:rPr>
              <w:t>PM</w:t>
            </w:r>
            <w:r>
              <w:rPr>
                <w:color w:val="auto"/>
                <w:vertAlign w:val="subscript"/>
              </w:rPr>
              <w:t>2</w:t>
            </w:r>
            <w:r>
              <w:rPr>
                <w:rFonts w:hint="eastAsia"/>
                <w:color w:val="auto"/>
                <w:vertAlign w:val="subscript"/>
                <w:lang w:val="en-US" w:eastAsia="zh-CN"/>
              </w:rPr>
              <w:t>.</w:t>
            </w:r>
            <w:r>
              <w:rPr>
                <w:color w:val="auto"/>
                <w:vertAlign w:val="subscript"/>
              </w:rPr>
              <w:t>5</w:t>
            </w:r>
          </w:p>
        </w:tc>
        <w:tc>
          <w:tcPr>
            <w:tcW w:w="1740" w:type="dxa"/>
            <w:vMerge w:val="continue"/>
            <w:tcBorders>
              <w:tl2br w:val="nil"/>
              <w:tr2bl w:val="nil"/>
            </w:tcBorders>
            <w:vAlign w:val="center"/>
          </w:tcPr>
          <w:p>
            <w:pPr>
              <w:pStyle w:val="22"/>
              <w:bidi w:val="0"/>
              <w:jc w:val="center"/>
              <w:rPr>
                <w:color w:val="auto"/>
              </w:rPr>
            </w:pPr>
          </w:p>
        </w:tc>
        <w:tc>
          <w:tcPr>
            <w:tcW w:w="1421" w:type="dxa"/>
            <w:tcBorders>
              <w:tl2br w:val="nil"/>
              <w:tr2bl w:val="nil"/>
            </w:tcBorders>
            <w:vAlign w:val="center"/>
          </w:tcPr>
          <w:p>
            <w:pPr>
              <w:pStyle w:val="22"/>
              <w:bidi w:val="0"/>
              <w:jc w:val="center"/>
              <w:rPr>
                <w:color w:val="auto"/>
              </w:rPr>
            </w:pPr>
            <w:r>
              <w:rPr>
                <w:color w:val="auto"/>
              </w:rPr>
              <w:t>175</w:t>
            </w:r>
          </w:p>
        </w:tc>
        <w:tc>
          <w:tcPr>
            <w:tcW w:w="1420" w:type="dxa"/>
            <w:tcBorders>
              <w:tl2br w:val="nil"/>
              <w:tr2bl w:val="nil"/>
            </w:tcBorders>
            <w:vAlign w:val="center"/>
          </w:tcPr>
          <w:p>
            <w:pPr>
              <w:pStyle w:val="22"/>
              <w:bidi w:val="0"/>
              <w:jc w:val="center"/>
              <w:rPr>
                <w:color w:val="auto"/>
              </w:rPr>
            </w:pPr>
            <w:r>
              <w:rPr>
                <w:color w:val="auto"/>
              </w:rPr>
              <w:t>70</w:t>
            </w:r>
          </w:p>
        </w:tc>
        <w:tc>
          <w:tcPr>
            <w:tcW w:w="1420" w:type="dxa"/>
            <w:tcBorders>
              <w:tl2br w:val="nil"/>
              <w:tr2bl w:val="nil"/>
            </w:tcBorders>
            <w:vAlign w:val="center"/>
          </w:tcPr>
          <w:p>
            <w:pPr>
              <w:pStyle w:val="22"/>
              <w:bidi w:val="0"/>
              <w:jc w:val="center"/>
              <w:rPr>
                <w:color w:val="auto"/>
              </w:rPr>
            </w:pPr>
            <w:r>
              <w:rPr>
                <w:color w:val="auto"/>
              </w:rPr>
              <w:t>250</w:t>
            </w:r>
          </w:p>
        </w:tc>
        <w:tc>
          <w:tcPr>
            <w:tcW w:w="1417" w:type="dxa"/>
            <w:tcBorders>
              <w:tl2br w:val="nil"/>
              <w:tr2bl w:val="nil"/>
            </w:tcBorders>
            <w:vAlign w:val="center"/>
          </w:tcPr>
          <w:p>
            <w:pPr>
              <w:pStyle w:val="22"/>
              <w:bidi w:val="0"/>
              <w:jc w:val="center"/>
              <w:rPr>
                <w:color w:val="auto"/>
              </w:rPr>
            </w:pPr>
            <w:r>
              <w:rPr>
                <w:color w:val="auto"/>
              </w:rPr>
              <w:t>不达标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0" w:hRule="atLeast"/>
          <w:jc w:val="center"/>
        </w:trPr>
        <w:tc>
          <w:tcPr>
            <w:tcW w:w="1099" w:type="dxa"/>
            <w:tcBorders>
              <w:tl2br w:val="nil"/>
              <w:tr2bl w:val="nil"/>
            </w:tcBorders>
            <w:vAlign w:val="center"/>
          </w:tcPr>
          <w:p>
            <w:pPr>
              <w:pStyle w:val="22"/>
              <w:bidi w:val="0"/>
              <w:jc w:val="center"/>
              <w:rPr>
                <w:color w:val="auto"/>
              </w:rPr>
            </w:pPr>
            <w:r>
              <w:rPr>
                <w:color w:val="auto"/>
              </w:rPr>
              <w:t>CO</w:t>
            </w:r>
          </w:p>
        </w:tc>
        <w:tc>
          <w:tcPr>
            <w:tcW w:w="1740" w:type="dxa"/>
            <w:tcBorders>
              <w:tl2br w:val="nil"/>
              <w:tr2bl w:val="nil"/>
            </w:tcBorders>
            <w:vAlign w:val="center"/>
          </w:tcPr>
          <w:p>
            <w:pPr>
              <w:pStyle w:val="22"/>
              <w:bidi w:val="0"/>
              <w:jc w:val="center"/>
              <w:rPr>
                <w:color w:val="auto"/>
              </w:rPr>
            </w:pPr>
            <w:r>
              <w:rPr>
                <w:color w:val="auto"/>
              </w:rPr>
              <w:t>日平均第95百分位数</w:t>
            </w:r>
          </w:p>
        </w:tc>
        <w:tc>
          <w:tcPr>
            <w:tcW w:w="1421" w:type="dxa"/>
            <w:tcBorders>
              <w:tl2br w:val="nil"/>
              <w:tr2bl w:val="nil"/>
            </w:tcBorders>
            <w:vAlign w:val="center"/>
          </w:tcPr>
          <w:p>
            <w:pPr>
              <w:pStyle w:val="22"/>
              <w:bidi w:val="0"/>
              <w:jc w:val="center"/>
              <w:rPr>
                <w:color w:val="auto"/>
              </w:rPr>
            </w:pPr>
            <w:r>
              <w:rPr>
                <w:color w:val="auto"/>
              </w:rPr>
              <w:t>3200</w:t>
            </w:r>
          </w:p>
        </w:tc>
        <w:tc>
          <w:tcPr>
            <w:tcW w:w="1420" w:type="dxa"/>
            <w:tcBorders>
              <w:tl2br w:val="nil"/>
              <w:tr2bl w:val="nil"/>
            </w:tcBorders>
            <w:vAlign w:val="center"/>
          </w:tcPr>
          <w:p>
            <w:pPr>
              <w:pStyle w:val="22"/>
              <w:bidi w:val="0"/>
              <w:jc w:val="center"/>
              <w:rPr>
                <w:color w:val="auto"/>
              </w:rPr>
            </w:pPr>
            <w:r>
              <w:rPr>
                <w:color w:val="auto"/>
              </w:rPr>
              <w:t>4000</w:t>
            </w:r>
          </w:p>
        </w:tc>
        <w:tc>
          <w:tcPr>
            <w:tcW w:w="1420" w:type="dxa"/>
            <w:tcBorders>
              <w:tl2br w:val="nil"/>
              <w:tr2bl w:val="nil"/>
            </w:tcBorders>
            <w:vAlign w:val="center"/>
          </w:tcPr>
          <w:p>
            <w:pPr>
              <w:pStyle w:val="22"/>
              <w:bidi w:val="0"/>
              <w:jc w:val="center"/>
              <w:rPr>
                <w:color w:val="auto"/>
              </w:rPr>
            </w:pPr>
            <w:r>
              <w:rPr>
                <w:color w:val="auto"/>
              </w:rPr>
              <w:t>80</w:t>
            </w:r>
          </w:p>
        </w:tc>
        <w:tc>
          <w:tcPr>
            <w:tcW w:w="1417" w:type="dxa"/>
            <w:tcBorders>
              <w:tl2br w:val="nil"/>
              <w:tr2bl w:val="nil"/>
            </w:tcBorders>
            <w:vAlign w:val="center"/>
          </w:tcPr>
          <w:p>
            <w:pPr>
              <w:pStyle w:val="22"/>
              <w:bidi w:val="0"/>
              <w:jc w:val="center"/>
              <w:rPr>
                <w:color w:val="auto"/>
              </w:rPr>
            </w:pPr>
            <w:r>
              <w:rPr>
                <w:color w:val="auto"/>
              </w:rPr>
              <w:t>达标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4" w:hRule="atLeast"/>
          <w:jc w:val="center"/>
        </w:trPr>
        <w:tc>
          <w:tcPr>
            <w:tcW w:w="1099" w:type="dxa"/>
            <w:tcBorders>
              <w:tl2br w:val="nil"/>
              <w:tr2bl w:val="nil"/>
            </w:tcBorders>
            <w:vAlign w:val="center"/>
          </w:tcPr>
          <w:p>
            <w:pPr>
              <w:pStyle w:val="22"/>
              <w:bidi w:val="0"/>
              <w:jc w:val="center"/>
              <w:rPr>
                <w:color w:val="auto"/>
              </w:rPr>
            </w:pPr>
            <w:r>
              <w:rPr>
                <w:color w:val="auto"/>
              </w:rPr>
              <w:t>O</w:t>
            </w:r>
            <w:r>
              <w:rPr>
                <w:color w:val="auto"/>
                <w:vertAlign w:val="subscript"/>
              </w:rPr>
              <w:t>3</w:t>
            </w:r>
          </w:p>
        </w:tc>
        <w:tc>
          <w:tcPr>
            <w:tcW w:w="1740" w:type="dxa"/>
            <w:tcBorders>
              <w:tl2br w:val="nil"/>
              <w:tr2bl w:val="nil"/>
            </w:tcBorders>
            <w:vAlign w:val="center"/>
          </w:tcPr>
          <w:p>
            <w:pPr>
              <w:pStyle w:val="22"/>
              <w:bidi w:val="0"/>
              <w:jc w:val="center"/>
              <w:rPr>
                <w:color w:val="auto"/>
              </w:rPr>
            </w:pPr>
            <w:r>
              <w:rPr>
                <w:color w:val="auto"/>
              </w:rPr>
              <w:t>8小时平均第90百分位数</w:t>
            </w:r>
          </w:p>
        </w:tc>
        <w:tc>
          <w:tcPr>
            <w:tcW w:w="1421" w:type="dxa"/>
            <w:tcBorders>
              <w:tl2br w:val="nil"/>
              <w:tr2bl w:val="nil"/>
            </w:tcBorders>
            <w:vAlign w:val="center"/>
          </w:tcPr>
          <w:p>
            <w:pPr>
              <w:pStyle w:val="22"/>
              <w:bidi w:val="0"/>
              <w:jc w:val="center"/>
              <w:rPr>
                <w:color w:val="auto"/>
              </w:rPr>
            </w:pPr>
            <w:r>
              <w:rPr>
                <w:color w:val="auto"/>
              </w:rPr>
              <w:t>110</w:t>
            </w:r>
          </w:p>
        </w:tc>
        <w:tc>
          <w:tcPr>
            <w:tcW w:w="1420" w:type="dxa"/>
            <w:tcBorders>
              <w:tl2br w:val="nil"/>
              <w:tr2bl w:val="nil"/>
            </w:tcBorders>
            <w:vAlign w:val="center"/>
          </w:tcPr>
          <w:p>
            <w:pPr>
              <w:pStyle w:val="22"/>
              <w:bidi w:val="0"/>
              <w:jc w:val="center"/>
              <w:rPr>
                <w:color w:val="auto"/>
              </w:rPr>
            </w:pPr>
            <w:r>
              <w:rPr>
                <w:color w:val="auto"/>
              </w:rPr>
              <w:t>160</w:t>
            </w:r>
          </w:p>
        </w:tc>
        <w:tc>
          <w:tcPr>
            <w:tcW w:w="1420" w:type="dxa"/>
            <w:tcBorders>
              <w:tl2br w:val="nil"/>
              <w:tr2bl w:val="nil"/>
            </w:tcBorders>
            <w:vAlign w:val="center"/>
          </w:tcPr>
          <w:p>
            <w:pPr>
              <w:pStyle w:val="22"/>
              <w:bidi w:val="0"/>
              <w:jc w:val="center"/>
              <w:rPr>
                <w:color w:val="auto"/>
              </w:rPr>
            </w:pPr>
            <w:r>
              <w:rPr>
                <w:color w:val="auto"/>
              </w:rPr>
              <w:t>68.4</w:t>
            </w:r>
          </w:p>
        </w:tc>
        <w:tc>
          <w:tcPr>
            <w:tcW w:w="1417" w:type="dxa"/>
            <w:tcBorders>
              <w:tl2br w:val="nil"/>
              <w:tr2bl w:val="nil"/>
            </w:tcBorders>
            <w:vAlign w:val="center"/>
          </w:tcPr>
          <w:p>
            <w:pPr>
              <w:pStyle w:val="22"/>
              <w:bidi w:val="0"/>
              <w:jc w:val="center"/>
              <w:rPr>
                <w:color w:val="auto"/>
              </w:rPr>
            </w:pPr>
            <w:r>
              <w:rPr>
                <w:color w:val="auto"/>
              </w:rPr>
              <w:t>达标</w:t>
            </w:r>
          </w:p>
        </w:tc>
      </w:tr>
    </w:tbl>
    <w:p>
      <w:pPr>
        <w:bidi w:val="0"/>
        <w:rPr>
          <w:color w:val="auto"/>
        </w:rPr>
      </w:pPr>
      <w:r>
        <w:rPr>
          <w:color w:val="auto"/>
        </w:rPr>
        <w:t>《环境影响评价技术导则大气环境》</w:t>
      </w:r>
      <w:r>
        <w:rPr>
          <w:rFonts w:hint="eastAsia"/>
          <w:color w:val="auto"/>
          <w:lang w:eastAsia="zh-CN"/>
        </w:rPr>
        <w:t>（</w:t>
      </w:r>
      <w:r>
        <w:rPr>
          <w:color w:val="auto"/>
        </w:rPr>
        <w:t>HJ2.2-2018</w:t>
      </w:r>
      <w:r>
        <w:rPr>
          <w:rFonts w:hint="eastAsia"/>
          <w:color w:val="auto"/>
          <w:lang w:eastAsia="zh-CN"/>
        </w:rPr>
        <w:t>）</w:t>
      </w:r>
      <w:r>
        <w:rPr>
          <w:color w:val="auto"/>
        </w:rPr>
        <w:t>规定：“城市环境空气质量达标情况评价指标为SO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、PM</w:t>
      </w:r>
      <w:r>
        <w:rPr>
          <w:color w:val="auto"/>
          <w:vertAlign w:val="subscript"/>
        </w:rPr>
        <w:t>2.5</w:t>
      </w:r>
      <w:r>
        <w:rPr>
          <w:color w:val="auto"/>
        </w:rPr>
        <w:t>、CO和O</w:t>
      </w:r>
      <w:r>
        <w:rPr>
          <w:color w:val="auto"/>
          <w:vertAlign w:val="subscript"/>
        </w:rPr>
        <w:t>3</w:t>
      </w:r>
      <w:r>
        <w:rPr>
          <w:color w:val="auto"/>
        </w:rPr>
        <w:t>，六项污染物全部达标即为城市环境空气质量达标”。根据上述统计结果可知，项目所在地环境空气质量判定为不达标区。</w:t>
      </w:r>
    </w:p>
    <w:p>
      <w:pPr>
        <w:pStyle w:val="7"/>
        <w:bidi w:val="0"/>
        <w:rPr>
          <w:color w:val="auto"/>
        </w:rPr>
      </w:pPr>
      <w:r>
        <w:rPr>
          <w:color w:val="auto"/>
        </w:rPr>
        <w:t>4.2.1.2其他污染物环境质量现状</w:t>
      </w:r>
    </w:p>
    <w:p>
      <w:pPr>
        <w:bidi w:val="0"/>
        <w:rPr>
          <w:color w:val="auto"/>
        </w:rPr>
      </w:pPr>
      <w:r>
        <w:rPr>
          <w:color w:val="auto"/>
        </w:rPr>
        <w:t>（1）NH</w:t>
      </w:r>
      <w:r>
        <w:rPr>
          <w:color w:val="auto"/>
          <w:vertAlign w:val="subscript"/>
        </w:rPr>
        <w:t>3</w:t>
      </w:r>
      <w:r>
        <w:rPr>
          <w:color w:val="auto"/>
        </w:rPr>
        <w:t>、H</w:t>
      </w:r>
      <w:r>
        <w:rPr>
          <w:color w:val="auto"/>
          <w:vertAlign w:val="subscript"/>
        </w:rPr>
        <w:t>2</w:t>
      </w:r>
      <w:r>
        <w:rPr>
          <w:color w:val="auto"/>
        </w:rPr>
        <w:t>S、臭气浓度</w:t>
      </w:r>
      <w:r>
        <w:rPr>
          <w:rFonts w:hint="eastAsia" w:eastAsia="宋体"/>
          <w:color w:val="auto"/>
          <w:lang w:eastAsia="zh-CN"/>
        </w:rPr>
        <w:t>、</w:t>
      </w:r>
      <w:r>
        <w:rPr>
          <w:rFonts w:hint="eastAsia" w:ascii="Times New Roman" w:eastAsia="宋体"/>
          <w:color w:val="auto"/>
          <w:lang w:val="en-US" w:eastAsia="zh-CN"/>
        </w:rPr>
        <w:t>非甲烷总烃</w:t>
      </w:r>
      <w:r>
        <w:rPr>
          <w:color w:val="auto"/>
        </w:rPr>
        <w:t>补充监测</w:t>
      </w:r>
    </w:p>
    <w:p>
      <w:pPr>
        <w:bidi w:val="0"/>
        <w:rPr>
          <w:color w:val="auto"/>
        </w:rPr>
      </w:pPr>
      <w:r>
        <w:rPr>
          <w:color w:val="auto"/>
        </w:rPr>
        <w:t>①数据来源</w:t>
      </w:r>
    </w:p>
    <w:p>
      <w:pPr>
        <w:bidi w:val="0"/>
        <w:rPr>
          <w:color w:val="auto"/>
        </w:rPr>
      </w:pPr>
      <w:r>
        <w:rPr>
          <w:color w:val="auto"/>
        </w:rPr>
        <w:t>根据《环境影响评价技术导则大气环境》（H.J2.2-2018）对其他污染环境质量现状数据的要求，选择采用补充监测的数据，作为本项目其他污染物环境质量现状评价NH</w:t>
      </w:r>
      <w:r>
        <w:rPr>
          <w:color w:val="auto"/>
          <w:vertAlign w:val="subscript"/>
        </w:rPr>
        <w:t>3</w:t>
      </w:r>
      <w:r>
        <w:rPr>
          <w:color w:val="auto"/>
        </w:rPr>
        <w:t>、H</w:t>
      </w:r>
      <w:r>
        <w:rPr>
          <w:color w:val="auto"/>
          <w:vertAlign w:val="subscript"/>
        </w:rPr>
        <w:t>2</w:t>
      </w:r>
      <w:r>
        <w:rPr>
          <w:color w:val="auto"/>
        </w:rPr>
        <w:t>S、臭气浓度的数据来源</w:t>
      </w:r>
    </w:p>
    <w:p>
      <w:pPr>
        <w:bidi w:val="0"/>
        <w:rPr>
          <w:color w:val="auto"/>
        </w:rPr>
      </w:pPr>
      <w:r>
        <w:rPr>
          <w:color w:val="auto"/>
        </w:rPr>
        <w:t>②评价标准</w:t>
      </w:r>
    </w:p>
    <w:p>
      <w:pPr>
        <w:bidi w:val="0"/>
        <w:rPr>
          <w:rFonts w:hint="eastAsia"/>
          <w:color w:val="auto"/>
          <w:lang w:eastAsia="zh-CN"/>
        </w:rPr>
      </w:pPr>
      <w:r>
        <w:rPr>
          <w:color w:val="auto"/>
        </w:rPr>
        <w:t>其他污染物NH</w:t>
      </w:r>
      <w:r>
        <w:rPr>
          <w:color w:val="auto"/>
          <w:vertAlign w:val="subscript"/>
        </w:rPr>
        <w:t>3</w:t>
      </w:r>
      <w:r>
        <w:rPr>
          <w:color w:val="auto"/>
        </w:rPr>
        <w:t>和H</w:t>
      </w:r>
      <w:r>
        <w:rPr>
          <w:color w:val="auto"/>
          <w:vertAlign w:val="subscript"/>
        </w:rPr>
        <w:t>2</w:t>
      </w:r>
      <w:r>
        <w:rPr>
          <w:color w:val="auto"/>
        </w:rPr>
        <w:t>S执行《环境空气质量标准》（GB3095-2012）中的二级标准和《环境影响评价技术导则大气环境》（H.J2.2-2018）附D的相关标准</w:t>
      </w:r>
      <w:r>
        <w:rPr>
          <w:rFonts w:hint="eastAsia" w:eastAsia="宋体"/>
          <w:color w:val="auto"/>
          <w:lang w:eastAsia="zh-CN"/>
        </w:rPr>
        <w:t>；</w:t>
      </w:r>
      <w:r>
        <w:rPr>
          <w:color w:val="auto"/>
        </w:rPr>
        <w:t>非甲烷总烃参照《大气污染物综合排放标准详解》（国家环境保护局科技标准司主编，中国环境科学出版社，1997）中提出的环境标准限值；臭气浓度无环境质量评价标准。详见表2.</w:t>
      </w:r>
      <w:r>
        <w:rPr>
          <w:rFonts w:hint="eastAsia" w:ascii="Times New Roman" w:eastAsia="宋体"/>
          <w:color w:val="auto"/>
          <w:lang w:val="en-US" w:eastAsia="zh-CN"/>
        </w:rPr>
        <w:t>5</w:t>
      </w:r>
      <w:r>
        <w:rPr>
          <w:color w:val="auto"/>
        </w:rPr>
        <w:t>-</w:t>
      </w:r>
      <w:r>
        <w:rPr>
          <w:rFonts w:hint="eastAsia" w:ascii="Times New Roman" w:eastAsia="宋体"/>
          <w:color w:val="auto"/>
          <w:lang w:val="en-US" w:eastAsia="zh-CN"/>
        </w:rPr>
        <w:t>2</w:t>
      </w:r>
      <w:r>
        <w:rPr>
          <w:color w:val="auto"/>
        </w:rPr>
        <w:t>。</w:t>
      </w:r>
    </w:p>
    <w:p>
      <w:pPr>
        <w:bidi w:val="0"/>
        <w:rPr>
          <w:color w:val="auto"/>
        </w:rPr>
      </w:pPr>
      <w:r>
        <w:rPr>
          <w:color w:val="auto"/>
        </w:rPr>
        <w:t>③监测点位及频次</w:t>
      </w:r>
    </w:p>
    <w:p>
      <w:pPr>
        <w:bidi w:val="0"/>
        <w:rPr>
          <w:color w:val="auto"/>
        </w:rPr>
      </w:pPr>
      <w:r>
        <w:rPr>
          <w:color w:val="auto"/>
        </w:rPr>
        <w:t>本次采用对项目区实测数据，在项目区设1个监测点。</w:t>
      </w:r>
    </w:p>
    <w:p>
      <w:pPr>
        <w:pStyle w:val="22"/>
        <w:bidi w:val="0"/>
        <w:rPr>
          <w:b/>
          <w:bCs/>
          <w:color w:val="auto"/>
        </w:rPr>
      </w:pPr>
      <w:r>
        <w:rPr>
          <w:b/>
          <w:bCs/>
          <w:color w:val="auto"/>
        </w:rPr>
        <w:t>表4.2-2项目监测频次</w:t>
      </w:r>
    </w:p>
    <w:tbl>
      <w:tblPr>
        <w:tblStyle w:val="23"/>
        <w:tblW w:w="852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50"/>
        <w:gridCol w:w="1619"/>
        <w:gridCol w:w="1515"/>
        <w:gridCol w:w="383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3" w:hRule="atLeast"/>
          <w:jc w:val="center"/>
        </w:trPr>
        <w:tc>
          <w:tcPr>
            <w:tcW w:w="1550" w:type="dxa"/>
            <w:tcBorders>
              <w:tl2br w:val="nil"/>
              <w:tr2bl w:val="nil"/>
            </w:tcBorders>
            <w:vAlign w:val="center"/>
          </w:tcPr>
          <w:p>
            <w:pPr>
              <w:pStyle w:val="22"/>
              <w:bidi w:val="0"/>
              <w:jc w:val="center"/>
              <w:rPr>
                <w:b/>
                <w:bCs/>
                <w:color w:val="auto"/>
              </w:rPr>
            </w:pPr>
            <w:r>
              <w:rPr>
                <w:b/>
                <w:bCs/>
                <w:color w:val="auto"/>
              </w:rPr>
              <w:t>监测因子</w:t>
            </w:r>
          </w:p>
        </w:tc>
        <w:tc>
          <w:tcPr>
            <w:tcW w:w="1619" w:type="dxa"/>
            <w:tcBorders>
              <w:tl2br w:val="nil"/>
              <w:tr2bl w:val="nil"/>
            </w:tcBorders>
            <w:vAlign w:val="center"/>
          </w:tcPr>
          <w:p>
            <w:pPr>
              <w:pStyle w:val="22"/>
              <w:bidi w:val="0"/>
              <w:jc w:val="center"/>
              <w:rPr>
                <w:b/>
                <w:bCs/>
                <w:color w:val="auto"/>
              </w:rPr>
            </w:pPr>
            <w:r>
              <w:rPr>
                <w:b/>
                <w:bCs/>
                <w:color w:val="auto"/>
              </w:rPr>
              <w:t>监测时段</w:t>
            </w:r>
          </w:p>
        </w:tc>
        <w:tc>
          <w:tcPr>
            <w:tcW w:w="1515" w:type="dxa"/>
            <w:tcBorders>
              <w:tl2br w:val="nil"/>
              <w:tr2bl w:val="nil"/>
            </w:tcBorders>
            <w:vAlign w:val="center"/>
          </w:tcPr>
          <w:p>
            <w:pPr>
              <w:pStyle w:val="22"/>
              <w:bidi w:val="0"/>
              <w:jc w:val="center"/>
              <w:rPr>
                <w:b/>
                <w:bCs/>
                <w:color w:val="auto"/>
              </w:rPr>
            </w:pPr>
            <w:r>
              <w:rPr>
                <w:b/>
                <w:bCs/>
                <w:color w:val="auto"/>
              </w:rPr>
              <w:t>监测内容</w:t>
            </w:r>
          </w:p>
        </w:tc>
        <w:tc>
          <w:tcPr>
            <w:tcW w:w="3838" w:type="dxa"/>
            <w:tcBorders>
              <w:tl2br w:val="nil"/>
              <w:tr2bl w:val="nil"/>
            </w:tcBorders>
            <w:vAlign w:val="center"/>
          </w:tcPr>
          <w:p>
            <w:pPr>
              <w:pStyle w:val="22"/>
              <w:bidi w:val="0"/>
              <w:jc w:val="center"/>
              <w:rPr>
                <w:b/>
                <w:bCs/>
                <w:color w:val="auto"/>
              </w:rPr>
            </w:pPr>
            <w:r>
              <w:rPr>
                <w:b/>
                <w:bCs/>
                <w:color w:val="auto"/>
              </w:rPr>
              <w:t>监测频次要求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1550" w:type="dxa"/>
            <w:tcBorders>
              <w:tl2br w:val="nil"/>
              <w:tr2bl w:val="nil"/>
            </w:tcBorders>
            <w:vAlign w:val="center"/>
          </w:tcPr>
          <w:p>
            <w:pPr>
              <w:pStyle w:val="22"/>
              <w:bidi w:val="0"/>
              <w:jc w:val="center"/>
              <w:rPr>
                <w:color w:val="auto"/>
              </w:rPr>
            </w:pPr>
            <w:r>
              <w:rPr>
                <w:color w:val="auto"/>
              </w:rPr>
              <w:t>H</w:t>
            </w:r>
            <w:r>
              <w:rPr>
                <w:color w:val="auto"/>
                <w:vertAlign w:val="subscript"/>
              </w:rPr>
              <w:t>2</w:t>
            </w:r>
            <w:r>
              <w:rPr>
                <w:color w:val="auto"/>
              </w:rPr>
              <w:t>S</w:t>
            </w:r>
          </w:p>
        </w:tc>
        <w:tc>
          <w:tcPr>
            <w:tcW w:w="1619" w:type="dxa"/>
            <w:vMerge w:val="restart"/>
            <w:tcBorders>
              <w:tl2br w:val="nil"/>
              <w:tr2bl w:val="nil"/>
            </w:tcBorders>
            <w:vAlign w:val="center"/>
          </w:tcPr>
          <w:p>
            <w:pPr>
              <w:pStyle w:val="22"/>
              <w:bidi w:val="0"/>
              <w:jc w:val="center"/>
              <w:rPr>
                <w:color w:val="auto"/>
              </w:rPr>
            </w:pPr>
            <w:r>
              <w:rPr>
                <w:color w:val="auto"/>
              </w:rPr>
              <w:t>连续7天</w:t>
            </w:r>
          </w:p>
        </w:tc>
        <w:tc>
          <w:tcPr>
            <w:tcW w:w="1515" w:type="dxa"/>
            <w:vMerge w:val="restart"/>
            <w:tcBorders>
              <w:tl2br w:val="nil"/>
              <w:tr2bl w:val="nil"/>
            </w:tcBorders>
            <w:vAlign w:val="center"/>
          </w:tcPr>
          <w:p>
            <w:pPr>
              <w:pStyle w:val="22"/>
              <w:bidi w:val="0"/>
              <w:jc w:val="center"/>
              <w:rPr>
                <w:color w:val="auto"/>
              </w:rPr>
            </w:pPr>
            <w:r>
              <w:rPr>
                <w:color w:val="auto"/>
              </w:rPr>
              <w:t>1小时平均浓度</w:t>
            </w:r>
          </w:p>
        </w:tc>
        <w:tc>
          <w:tcPr>
            <w:tcW w:w="3838" w:type="dxa"/>
            <w:vMerge w:val="restart"/>
            <w:tcBorders>
              <w:tl2br w:val="nil"/>
              <w:tr2bl w:val="nil"/>
            </w:tcBorders>
            <w:vAlign w:val="center"/>
          </w:tcPr>
          <w:p>
            <w:pPr>
              <w:pStyle w:val="22"/>
              <w:bidi w:val="0"/>
              <w:jc w:val="center"/>
              <w:rPr>
                <w:color w:val="auto"/>
              </w:rPr>
            </w:pPr>
            <w:r>
              <w:rPr>
                <w:color w:val="auto"/>
              </w:rPr>
              <w:t>小时浓度每天监测4次</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jc w:val="center"/>
        </w:trPr>
        <w:tc>
          <w:tcPr>
            <w:tcW w:w="1550" w:type="dxa"/>
            <w:tcBorders>
              <w:tl2br w:val="nil"/>
              <w:tr2bl w:val="nil"/>
            </w:tcBorders>
            <w:vAlign w:val="center"/>
          </w:tcPr>
          <w:p>
            <w:pPr>
              <w:pStyle w:val="22"/>
              <w:bidi w:val="0"/>
              <w:jc w:val="center"/>
              <w:rPr>
                <w:color w:val="auto"/>
              </w:rPr>
            </w:pPr>
            <w:r>
              <w:rPr>
                <w:color w:val="auto"/>
              </w:rPr>
              <w:t>NH</w:t>
            </w:r>
            <w:r>
              <w:rPr>
                <w:color w:val="auto"/>
                <w:vertAlign w:val="subscript"/>
              </w:rPr>
              <w:t>3</w:t>
            </w:r>
          </w:p>
        </w:tc>
        <w:tc>
          <w:tcPr>
            <w:tcW w:w="1619" w:type="dxa"/>
            <w:vMerge w:val="continue"/>
            <w:tcBorders>
              <w:tl2br w:val="nil"/>
              <w:tr2bl w:val="nil"/>
            </w:tcBorders>
            <w:vAlign w:val="center"/>
          </w:tcPr>
          <w:p>
            <w:pPr>
              <w:pStyle w:val="22"/>
              <w:bidi w:val="0"/>
              <w:jc w:val="center"/>
              <w:rPr>
                <w:color w:val="auto"/>
              </w:rPr>
            </w:pPr>
          </w:p>
        </w:tc>
        <w:tc>
          <w:tcPr>
            <w:tcW w:w="1515" w:type="dxa"/>
            <w:vMerge w:val="continue"/>
            <w:tcBorders>
              <w:tl2br w:val="nil"/>
              <w:tr2bl w:val="nil"/>
            </w:tcBorders>
            <w:vAlign w:val="center"/>
          </w:tcPr>
          <w:p>
            <w:pPr>
              <w:pStyle w:val="22"/>
              <w:bidi w:val="0"/>
              <w:jc w:val="center"/>
              <w:rPr>
                <w:color w:val="auto"/>
              </w:rPr>
            </w:pPr>
          </w:p>
        </w:tc>
        <w:tc>
          <w:tcPr>
            <w:tcW w:w="3838" w:type="dxa"/>
            <w:vMerge w:val="continue"/>
            <w:tcBorders>
              <w:tl2br w:val="nil"/>
              <w:tr2bl w:val="nil"/>
            </w:tcBorders>
            <w:vAlign w:val="center"/>
          </w:tcPr>
          <w:p>
            <w:pPr>
              <w:pStyle w:val="22"/>
              <w:bidi w:val="0"/>
              <w:jc w:val="cente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1550" w:type="dxa"/>
            <w:tcBorders>
              <w:tl2br w:val="nil"/>
              <w:tr2bl w:val="nil"/>
            </w:tcBorders>
            <w:vAlign w:val="center"/>
          </w:tcPr>
          <w:p>
            <w:pPr>
              <w:pStyle w:val="22"/>
              <w:bidi w:val="0"/>
              <w:jc w:val="center"/>
              <w:rPr>
                <w:color w:val="auto"/>
              </w:rPr>
            </w:pPr>
            <w:r>
              <w:rPr>
                <w:color w:val="auto"/>
              </w:rPr>
              <w:t>臭气浓度</w:t>
            </w:r>
          </w:p>
        </w:tc>
        <w:tc>
          <w:tcPr>
            <w:tcW w:w="1619" w:type="dxa"/>
            <w:vMerge w:val="continue"/>
            <w:tcBorders>
              <w:tl2br w:val="nil"/>
              <w:tr2bl w:val="nil"/>
            </w:tcBorders>
            <w:vAlign w:val="center"/>
          </w:tcPr>
          <w:p>
            <w:pPr>
              <w:pStyle w:val="22"/>
              <w:bidi w:val="0"/>
              <w:jc w:val="center"/>
              <w:rPr>
                <w:color w:val="auto"/>
              </w:rPr>
            </w:pPr>
          </w:p>
        </w:tc>
        <w:tc>
          <w:tcPr>
            <w:tcW w:w="1515" w:type="dxa"/>
            <w:vMerge w:val="continue"/>
            <w:tcBorders>
              <w:tl2br w:val="nil"/>
              <w:tr2bl w:val="nil"/>
            </w:tcBorders>
            <w:vAlign w:val="center"/>
          </w:tcPr>
          <w:p>
            <w:pPr>
              <w:pStyle w:val="22"/>
              <w:bidi w:val="0"/>
              <w:jc w:val="center"/>
              <w:rPr>
                <w:color w:val="auto"/>
              </w:rPr>
            </w:pPr>
          </w:p>
        </w:tc>
        <w:tc>
          <w:tcPr>
            <w:tcW w:w="3838" w:type="dxa"/>
            <w:vMerge w:val="continue"/>
            <w:tcBorders>
              <w:tl2br w:val="nil"/>
              <w:tr2bl w:val="nil"/>
            </w:tcBorders>
            <w:vAlign w:val="center"/>
          </w:tcPr>
          <w:p>
            <w:pPr>
              <w:pStyle w:val="22"/>
              <w:bidi w:val="0"/>
              <w:jc w:val="center"/>
              <w:rPr>
                <w:color w:val="auto"/>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jc w:val="center"/>
        </w:trPr>
        <w:tc>
          <w:tcPr>
            <w:tcW w:w="1550"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非甲烷总烃</w:t>
            </w:r>
          </w:p>
        </w:tc>
        <w:tc>
          <w:tcPr>
            <w:tcW w:w="1619" w:type="dxa"/>
            <w:vMerge w:val="continue"/>
            <w:tcBorders>
              <w:tl2br w:val="nil"/>
              <w:tr2bl w:val="nil"/>
            </w:tcBorders>
            <w:vAlign w:val="center"/>
          </w:tcPr>
          <w:p>
            <w:pPr>
              <w:pStyle w:val="22"/>
              <w:bidi w:val="0"/>
              <w:jc w:val="center"/>
              <w:rPr>
                <w:color w:val="auto"/>
              </w:rPr>
            </w:pPr>
          </w:p>
        </w:tc>
        <w:tc>
          <w:tcPr>
            <w:tcW w:w="1515" w:type="dxa"/>
            <w:vMerge w:val="continue"/>
            <w:tcBorders>
              <w:tl2br w:val="nil"/>
              <w:tr2bl w:val="nil"/>
            </w:tcBorders>
            <w:vAlign w:val="center"/>
          </w:tcPr>
          <w:p>
            <w:pPr>
              <w:pStyle w:val="22"/>
              <w:bidi w:val="0"/>
              <w:jc w:val="center"/>
              <w:rPr>
                <w:color w:val="auto"/>
              </w:rPr>
            </w:pPr>
          </w:p>
        </w:tc>
        <w:tc>
          <w:tcPr>
            <w:tcW w:w="3838" w:type="dxa"/>
            <w:vMerge w:val="continue"/>
            <w:tcBorders>
              <w:tl2br w:val="nil"/>
              <w:tr2bl w:val="nil"/>
            </w:tcBorders>
            <w:vAlign w:val="center"/>
          </w:tcPr>
          <w:p>
            <w:pPr>
              <w:pStyle w:val="22"/>
              <w:bidi w:val="0"/>
              <w:jc w:val="center"/>
              <w:rPr>
                <w:color w:val="auto"/>
              </w:rPr>
            </w:pPr>
          </w:p>
        </w:tc>
      </w:tr>
    </w:tbl>
    <w:p>
      <w:pPr>
        <w:bidi w:val="0"/>
        <w:rPr>
          <w:color w:val="auto"/>
        </w:rPr>
      </w:pPr>
      <w:r>
        <w:rPr>
          <w:color w:val="auto"/>
        </w:rPr>
        <w:t>④评价方法</w:t>
      </w:r>
    </w:p>
    <w:p>
      <w:pPr>
        <w:bidi w:val="0"/>
        <w:rPr>
          <w:color w:val="auto"/>
        </w:rPr>
      </w:pPr>
      <w:r>
        <w:rPr>
          <w:color w:val="auto"/>
        </w:rPr>
        <w:t>本次环评空气环境质量现状采用超标率和最大浓度占标率进行评价，计算公式为：</w:t>
      </w:r>
    </w:p>
    <w:p>
      <w:pPr>
        <w:bidi w:val="0"/>
        <w:rPr>
          <w:color w:val="auto"/>
        </w:rPr>
      </w:pPr>
      <w:r>
        <w:rPr>
          <w:color w:val="auto"/>
        </w:rPr>
        <w:t>超标率=超标数据个数/总监测数据个数×100%</w:t>
      </w:r>
    </w:p>
    <w:p>
      <w:pPr>
        <w:spacing w:line="242" w:lineRule="auto"/>
        <w:ind w:firstLine="774"/>
        <w:jc w:val="center"/>
        <w:rPr>
          <w:color w:val="auto"/>
        </w:rPr>
      </w:pPr>
      <w:r>
        <w:rPr>
          <w:rFonts w:ascii="Times New Roman" w:hAnsi="Times New Roman" w:eastAsia="Times New Roman" w:cs="Times New Roman"/>
          <w:color w:val="auto"/>
          <w:spacing w:val="-3"/>
          <w:sz w:val="24"/>
          <w:szCs w:val="24"/>
        </w:rPr>
        <w:t>P</w:t>
      </w:r>
      <w:r>
        <w:rPr>
          <w:rFonts w:ascii="Times New Roman" w:hAnsi="Times New Roman" w:eastAsia="Times New Roman" w:cs="Times New Roman"/>
          <w:color w:val="auto"/>
          <w:spacing w:val="-3"/>
          <w:sz w:val="16"/>
          <w:szCs w:val="16"/>
        </w:rPr>
        <w:t>i</w:t>
      </w:r>
      <w:r>
        <w:rPr>
          <w:rFonts w:ascii="宋体" w:hAnsi="宋体" w:eastAsia="宋体" w:cs="宋体"/>
          <w:color w:val="auto"/>
          <w:spacing w:val="-3"/>
          <w:sz w:val="24"/>
          <w:szCs w:val="24"/>
        </w:rPr>
        <w:t>＝</w:t>
      </w:r>
      <w:r>
        <w:rPr>
          <w:rFonts w:ascii="Times New Roman" w:hAnsi="Times New Roman" w:eastAsia="Times New Roman" w:cs="Times New Roman"/>
          <w:color w:val="auto"/>
          <w:spacing w:val="-3"/>
          <w:sz w:val="24"/>
          <w:szCs w:val="24"/>
        </w:rPr>
        <w:t>C</w:t>
      </w:r>
      <w:r>
        <w:rPr>
          <w:rFonts w:ascii="Times New Roman" w:hAnsi="Times New Roman" w:eastAsia="Times New Roman" w:cs="Times New Roman"/>
          <w:color w:val="auto"/>
          <w:spacing w:val="-3"/>
          <w:sz w:val="16"/>
          <w:szCs w:val="16"/>
        </w:rPr>
        <w:t>i</w:t>
      </w:r>
      <w:r>
        <w:rPr>
          <w:rFonts w:ascii="Times New Roman" w:hAnsi="Times New Roman" w:eastAsia="Times New Roman" w:cs="Times New Roman"/>
          <w:color w:val="auto"/>
          <w:spacing w:val="-3"/>
          <w:sz w:val="24"/>
          <w:szCs w:val="24"/>
        </w:rPr>
        <w:t>/C</w:t>
      </w:r>
      <w:r>
        <w:rPr>
          <w:rFonts w:ascii="Times New Roman" w:hAnsi="Times New Roman" w:eastAsia="Times New Roman" w:cs="Times New Roman"/>
          <w:color w:val="auto"/>
          <w:spacing w:val="-3"/>
          <w:sz w:val="16"/>
          <w:szCs w:val="16"/>
        </w:rPr>
        <w:t>0i</w:t>
      </w:r>
    </w:p>
    <w:p>
      <w:pPr>
        <w:bidi w:val="0"/>
        <w:rPr>
          <w:color w:val="auto"/>
        </w:rPr>
      </w:pPr>
      <w:r>
        <w:rPr>
          <w:color w:val="auto"/>
        </w:rPr>
        <w:t>式中：Pi—第i个污染物的最大浓度占标率（无量纲）；</w:t>
      </w:r>
    </w:p>
    <w:p>
      <w:pPr>
        <w:bidi w:val="0"/>
        <w:ind w:firstLine="1200" w:firstLineChars="500"/>
        <w:rPr>
          <w:color w:val="auto"/>
        </w:rPr>
      </w:pPr>
      <w:r>
        <w:rPr>
          <w:color w:val="auto"/>
        </w:rPr>
        <w:t>Ci—第i个污染物的最大浓度（mg/m</w:t>
      </w:r>
      <w:r>
        <w:rPr>
          <w:color w:val="auto"/>
          <w:vertAlign w:val="superscript"/>
        </w:rPr>
        <w:t>3</w:t>
      </w:r>
      <w:r>
        <w:rPr>
          <w:color w:val="auto"/>
        </w:rPr>
        <w:t>）；</w:t>
      </w:r>
    </w:p>
    <w:p>
      <w:pPr>
        <w:bidi w:val="0"/>
        <w:ind w:firstLine="1200" w:firstLineChars="500"/>
        <w:rPr>
          <w:rFonts w:hint="eastAsia" w:eastAsia="宋体"/>
          <w:color w:val="auto"/>
          <w:lang w:eastAsia="zh-CN"/>
        </w:rPr>
      </w:pPr>
      <w:r>
        <w:rPr>
          <w:color w:val="auto"/>
        </w:rPr>
        <w:t>Coi—第i个污染物的环境空气质量浓度标准（mg/m</w:t>
      </w:r>
      <w:r>
        <w:rPr>
          <w:color w:val="auto"/>
          <w:vertAlign w:val="superscript"/>
        </w:rPr>
        <w:t>3</w:t>
      </w:r>
      <w:r>
        <w:rPr>
          <w:color w:val="auto"/>
        </w:rPr>
        <w:t>）。</w:t>
      </w:r>
    </w:p>
    <w:p>
      <w:pPr>
        <w:bidi w:val="0"/>
        <w:rPr>
          <w:color w:val="auto"/>
        </w:rPr>
      </w:pPr>
      <w:r>
        <w:rPr>
          <w:color w:val="auto"/>
        </w:rPr>
        <w:t>⑤监测及评价结果</w:t>
      </w:r>
    </w:p>
    <w:p>
      <w:pPr>
        <w:pStyle w:val="22"/>
        <w:bidi w:val="0"/>
        <w:rPr>
          <w:b/>
          <w:bCs/>
          <w:color w:val="auto"/>
        </w:rPr>
      </w:pPr>
      <w:r>
        <w:rPr>
          <w:b/>
          <w:bCs/>
          <w:color w:val="auto"/>
        </w:rPr>
        <w:t>表4.2-</w:t>
      </w:r>
      <w:r>
        <w:rPr>
          <w:rFonts w:hint="eastAsia"/>
          <w:b/>
          <w:bCs/>
          <w:color w:val="auto"/>
          <w:lang w:val="en-US" w:eastAsia="zh-CN"/>
        </w:rPr>
        <w:t>3</w:t>
      </w:r>
      <w:r>
        <w:rPr>
          <w:b/>
          <w:bCs/>
          <w:color w:val="auto"/>
        </w:rPr>
        <w:t>疾控中心环境空气质量现状监测结果一览表单位：（mg/m</w:t>
      </w:r>
      <w:r>
        <w:rPr>
          <w:b/>
          <w:bCs/>
          <w:color w:val="auto"/>
          <w:vertAlign w:val="superscript"/>
        </w:rPr>
        <w:t>3</w:t>
      </w:r>
      <w:r>
        <w:rPr>
          <w:b/>
          <w:bCs/>
          <w:color w:val="auto"/>
        </w:rPr>
        <w:t>）</w:t>
      </w:r>
    </w:p>
    <w:tbl>
      <w:tblPr>
        <w:tblStyle w:val="23"/>
        <w:tblW w:w="867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99"/>
        <w:gridCol w:w="1045"/>
        <w:gridCol w:w="1622"/>
        <w:gridCol w:w="1277"/>
        <w:gridCol w:w="1277"/>
        <w:gridCol w:w="1277"/>
        <w:gridCol w:w="12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jc w:val="center"/>
        </w:trPr>
        <w:tc>
          <w:tcPr>
            <w:tcW w:w="899" w:type="dxa"/>
            <w:vMerge w:val="restart"/>
            <w:tcBorders>
              <w:tl2br w:val="nil"/>
              <w:tr2bl w:val="nil"/>
            </w:tcBorders>
            <w:vAlign w:val="center"/>
          </w:tcPr>
          <w:p>
            <w:pPr>
              <w:pStyle w:val="22"/>
              <w:bidi w:val="0"/>
              <w:jc w:val="center"/>
              <w:rPr>
                <w:rFonts w:hint="default" w:eastAsia="宋体"/>
                <w:b/>
                <w:bCs/>
                <w:color w:val="auto"/>
                <w:lang w:val="en-US" w:eastAsia="zh-CN"/>
              </w:rPr>
            </w:pPr>
            <w:r>
              <w:rPr>
                <w:rFonts w:hint="eastAsia"/>
                <w:b/>
                <w:bCs/>
                <w:color w:val="auto"/>
                <w:lang w:val="en-US" w:eastAsia="zh-CN"/>
              </w:rPr>
              <w:t>监测点位</w:t>
            </w:r>
          </w:p>
        </w:tc>
        <w:tc>
          <w:tcPr>
            <w:tcW w:w="1045" w:type="dxa"/>
            <w:vMerge w:val="restart"/>
            <w:tcBorders>
              <w:tl2br w:val="nil"/>
              <w:tr2bl w:val="nil"/>
            </w:tcBorders>
            <w:vAlign w:val="center"/>
          </w:tcPr>
          <w:p>
            <w:pPr>
              <w:pStyle w:val="22"/>
              <w:bidi w:val="0"/>
              <w:jc w:val="center"/>
              <w:rPr>
                <w:rFonts w:hint="default" w:eastAsia="宋体"/>
                <w:b/>
                <w:bCs/>
                <w:color w:val="auto"/>
                <w:lang w:val="en-US" w:eastAsia="zh-CN"/>
              </w:rPr>
            </w:pPr>
            <w:r>
              <w:rPr>
                <w:rFonts w:hint="eastAsia"/>
                <w:b/>
                <w:bCs/>
                <w:color w:val="auto"/>
                <w:lang w:val="en-US" w:eastAsia="zh-CN"/>
              </w:rPr>
              <w:t>采样日期</w:t>
            </w:r>
          </w:p>
        </w:tc>
        <w:tc>
          <w:tcPr>
            <w:tcW w:w="1622" w:type="dxa"/>
            <w:vMerge w:val="restart"/>
            <w:tcBorders>
              <w:tl2br w:val="nil"/>
              <w:tr2bl w:val="nil"/>
            </w:tcBorders>
            <w:vAlign w:val="center"/>
          </w:tcPr>
          <w:p>
            <w:pPr>
              <w:pStyle w:val="22"/>
              <w:bidi w:val="0"/>
              <w:jc w:val="center"/>
              <w:rPr>
                <w:rFonts w:hint="default" w:eastAsia="宋体"/>
                <w:b/>
                <w:bCs/>
                <w:color w:val="auto"/>
                <w:lang w:val="en-US" w:eastAsia="zh-CN"/>
              </w:rPr>
            </w:pPr>
            <w:r>
              <w:rPr>
                <w:rFonts w:hint="eastAsia"/>
                <w:b/>
                <w:bCs/>
                <w:color w:val="auto"/>
                <w:lang w:val="en-US" w:eastAsia="zh-CN"/>
              </w:rPr>
              <w:t>采样编号</w:t>
            </w:r>
          </w:p>
        </w:tc>
        <w:tc>
          <w:tcPr>
            <w:tcW w:w="5111" w:type="dxa"/>
            <w:gridSpan w:val="4"/>
            <w:tcBorders>
              <w:tl2br w:val="nil"/>
              <w:tr2bl w:val="nil"/>
            </w:tcBorders>
            <w:vAlign w:val="center"/>
          </w:tcPr>
          <w:p>
            <w:pPr>
              <w:pStyle w:val="22"/>
              <w:bidi w:val="0"/>
              <w:jc w:val="center"/>
              <w:rPr>
                <w:rFonts w:hint="default" w:eastAsia="宋体"/>
                <w:b/>
                <w:bCs/>
                <w:color w:val="auto"/>
                <w:lang w:val="en-US" w:eastAsia="zh-CN"/>
              </w:rPr>
            </w:pPr>
            <w:r>
              <w:rPr>
                <w:rFonts w:hint="eastAsia"/>
                <w:b/>
                <w:bCs/>
                <w:color w:val="auto"/>
                <w:lang w:val="en-US" w:eastAsia="zh-CN"/>
              </w:rPr>
              <w:t>监测项目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jc w:val="center"/>
        </w:trPr>
        <w:tc>
          <w:tcPr>
            <w:tcW w:w="899" w:type="dxa"/>
            <w:vMerge w:val="continue"/>
            <w:tcBorders>
              <w:tl2br w:val="nil"/>
              <w:tr2bl w:val="nil"/>
            </w:tcBorders>
            <w:vAlign w:val="center"/>
          </w:tcPr>
          <w:p>
            <w:pPr>
              <w:pStyle w:val="22"/>
              <w:bidi w:val="0"/>
              <w:jc w:val="center"/>
              <w:rPr>
                <w:b/>
                <w:bCs/>
                <w:color w:val="auto"/>
              </w:rPr>
            </w:pPr>
          </w:p>
        </w:tc>
        <w:tc>
          <w:tcPr>
            <w:tcW w:w="1045" w:type="dxa"/>
            <w:vMerge w:val="continue"/>
            <w:tcBorders>
              <w:tl2br w:val="nil"/>
              <w:tr2bl w:val="nil"/>
            </w:tcBorders>
            <w:vAlign w:val="center"/>
          </w:tcPr>
          <w:p>
            <w:pPr>
              <w:pStyle w:val="22"/>
              <w:bidi w:val="0"/>
              <w:jc w:val="center"/>
              <w:rPr>
                <w:b/>
                <w:bCs/>
                <w:color w:val="auto"/>
              </w:rPr>
            </w:pPr>
          </w:p>
        </w:tc>
        <w:tc>
          <w:tcPr>
            <w:tcW w:w="1622" w:type="dxa"/>
            <w:vMerge w:val="continue"/>
            <w:tcBorders>
              <w:tl2br w:val="nil"/>
              <w:tr2bl w:val="nil"/>
            </w:tcBorders>
            <w:vAlign w:val="center"/>
          </w:tcPr>
          <w:p>
            <w:pPr>
              <w:pStyle w:val="22"/>
              <w:bidi w:val="0"/>
              <w:jc w:val="center"/>
              <w:rPr>
                <w:b/>
                <w:bCs/>
                <w:color w:val="auto"/>
              </w:rPr>
            </w:pPr>
          </w:p>
        </w:tc>
        <w:tc>
          <w:tcPr>
            <w:tcW w:w="1277" w:type="dxa"/>
            <w:tcBorders>
              <w:tl2br w:val="nil"/>
              <w:tr2bl w:val="nil"/>
            </w:tcBorders>
            <w:vAlign w:val="top"/>
          </w:tcPr>
          <w:p>
            <w:pPr>
              <w:spacing w:before="14" w:line="281" w:lineRule="exact"/>
              <w:ind w:firstLine="420" w:firstLineChars="200"/>
              <w:rPr>
                <w:b/>
                <w:bCs/>
                <w:color w:val="auto"/>
              </w:rPr>
            </w:pPr>
            <w:r>
              <w:rPr>
                <w:rFonts w:ascii="Times New Roman" w:hAnsi="Times New Roman" w:eastAsia="Times New Roman" w:cs="Times New Roman"/>
                <w:b/>
                <w:bCs/>
                <w:color w:val="auto"/>
                <w:sz w:val="21"/>
                <w:szCs w:val="21"/>
              </w:rPr>
              <w:t>NH</w:t>
            </w:r>
            <w:r>
              <w:rPr>
                <w:rFonts w:ascii="Times New Roman" w:hAnsi="Times New Roman" w:eastAsia="Times New Roman" w:cs="Times New Roman"/>
                <w:b/>
                <w:bCs/>
                <w:color w:val="auto"/>
                <w:position w:val="-1"/>
                <w:sz w:val="14"/>
                <w:szCs w:val="14"/>
              </w:rPr>
              <w:t>3</w:t>
            </w:r>
            <w:r>
              <w:rPr>
                <w:rFonts w:ascii="宋体" w:hAnsi="宋体" w:eastAsia="宋体" w:cs="宋体"/>
                <w:b/>
                <w:bCs/>
                <w:color w:val="auto"/>
                <w:sz w:val="21"/>
                <w:szCs w:val="21"/>
              </w:rPr>
              <w:t>（</w:t>
            </w:r>
            <w:r>
              <w:rPr>
                <w:rFonts w:ascii="Times New Roman" w:hAnsi="Times New Roman" w:eastAsia="Times New Roman" w:cs="Times New Roman"/>
                <w:b/>
                <w:bCs/>
                <w:color w:val="auto"/>
                <w:sz w:val="21"/>
                <w:szCs w:val="21"/>
              </w:rPr>
              <w:t>mg/m</w:t>
            </w:r>
            <w:r>
              <w:rPr>
                <w:rFonts w:ascii="Times New Roman" w:hAnsi="Times New Roman" w:eastAsia="Times New Roman" w:cs="Times New Roman"/>
                <w:b/>
                <w:bCs/>
                <w:color w:val="auto"/>
                <w:position w:val="6"/>
                <w:sz w:val="14"/>
                <w:szCs w:val="14"/>
              </w:rPr>
              <w:t>3</w:t>
            </w:r>
            <w:r>
              <w:rPr>
                <w:rFonts w:ascii="宋体" w:hAnsi="宋体" w:eastAsia="宋体" w:cs="宋体"/>
                <w:b/>
                <w:bCs/>
                <w:color w:val="auto"/>
                <w:sz w:val="21"/>
                <w:szCs w:val="21"/>
              </w:rPr>
              <w:t>）</w:t>
            </w:r>
          </w:p>
        </w:tc>
        <w:tc>
          <w:tcPr>
            <w:tcW w:w="1277" w:type="dxa"/>
            <w:tcBorders>
              <w:tl2br w:val="nil"/>
              <w:tr2bl w:val="nil"/>
            </w:tcBorders>
            <w:vAlign w:val="top"/>
          </w:tcPr>
          <w:p>
            <w:pPr>
              <w:spacing w:before="14" w:line="281" w:lineRule="exact"/>
              <w:ind w:firstLine="416" w:firstLineChars="200"/>
              <w:rPr>
                <w:b/>
                <w:bCs/>
                <w:color w:val="auto"/>
              </w:rPr>
            </w:pPr>
            <w:r>
              <w:rPr>
                <w:rFonts w:ascii="Times New Roman" w:hAnsi="Times New Roman" w:eastAsia="Times New Roman" w:cs="Times New Roman"/>
                <w:b/>
                <w:bCs/>
                <w:color w:val="auto"/>
                <w:spacing w:val="-1"/>
                <w:sz w:val="21"/>
                <w:szCs w:val="21"/>
              </w:rPr>
              <w:t>H</w:t>
            </w:r>
            <w:r>
              <w:rPr>
                <w:rFonts w:ascii="Times New Roman" w:hAnsi="Times New Roman" w:eastAsia="Times New Roman" w:cs="Times New Roman"/>
                <w:b/>
                <w:bCs/>
                <w:color w:val="auto"/>
                <w:spacing w:val="-1"/>
                <w:position w:val="-1"/>
                <w:sz w:val="14"/>
                <w:szCs w:val="14"/>
              </w:rPr>
              <w:t>2</w:t>
            </w:r>
            <w:r>
              <w:rPr>
                <w:rFonts w:ascii="Times New Roman" w:hAnsi="Times New Roman" w:eastAsia="Times New Roman" w:cs="Times New Roman"/>
                <w:b/>
                <w:bCs/>
                <w:color w:val="auto"/>
                <w:spacing w:val="-1"/>
                <w:sz w:val="21"/>
                <w:szCs w:val="21"/>
              </w:rPr>
              <w:t>S</w:t>
            </w:r>
            <w:r>
              <w:rPr>
                <w:rFonts w:ascii="宋体" w:hAnsi="宋体" w:eastAsia="宋体" w:cs="宋体"/>
                <w:b/>
                <w:bCs/>
                <w:color w:val="auto"/>
                <w:spacing w:val="-1"/>
                <w:sz w:val="21"/>
                <w:szCs w:val="21"/>
              </w:rPr>
              <w:t>（</w:t>
            </w:r>
            <w:r>
              <w:rPr>
                <w:rFonts w:ascii="Times New Roman" w:hAnsi="Times New Roman" w:eastAsia="Times New Roman" w:cs="Times New Roman"/>
                <w:b/>
                <w:bCs/>
                <w:color w:val="auto"/>
                <w:spacing w:val="-1"/>
                <w:sz w:val="21"/>
                <w:szCs w:val="21"/>
              </w:rPr>
              <w:t>mg/m</w:t>
            </w:r>
            <w:r>
              <w:rPr>
                <w:rFonts w:ascii="Times New Roman" w:hAnsi="Times New Roman" w:eastAsia="Times New Roman" w:cs="Times New Roman"/>
                <w:b/>
                <w:bCs/>
                <w:color w:val="auto"/>
                <w:spacing w:val="-1"/>
                <w:position w:val="6"/>
                <w:sz w:val="14"/>
                <w:szCs w:val="14"/>
              </w:rPr>
              <w:t>3</w:t>
            </w:r>
            <w:r>
              <w:rPr>
                <w:rFonts w:ascii="宋体" w:hAnsi="宋体" w:eastAsia="宋体" w:cs="宋体"/>
                <w:b/>
                <w:bCs/>
                <w:color w:val="auto"/>
                <w:spacing w:val="-1"/>
                <w:sz w:val="21"/>
                <w:szCs w:val="21"/>
              </w:rPr>
              <w:t>）</w:t>
            </w:r>
          </w:p>
        </w:tc>
        <w:tc>
          <w:tcPr>
            <w:tcW w:w="1277" w:type="dxa"/>
            <w:tcBorders>
              <w:tl2br w:val="nil"/>
              <w:tr2bl w:val="nil"/>
            </w:tcBorders>
            <w:vAlign w:val="center"/>
          </w:tcPr>
          <w:p>
            <w:pPr>
              <w:pStyle w:val="22"/>
              <w:bidi w:val="0"/>
              <w:jc w:val="center"/>
              <w:rPr>
                <w:rFonts w:hint="default"/>
                <w:b/>
                <w:bCs/>
                <w:color w:val="auto"/>
                <w:lang w:val="en-US" w:eastAsia="zh-CN"/>
              </w:rPr>
            </w:pPr>
            <w:r>
              <w:rPr>
                <w:rFonts w:hint="eastAsia"/>
                <w:b/>
                <w:bCs/>
                <w:color w:val="auto"/>
                <w:lang w:val="en-US" w:eastAsia="zh-CN"/>
              </w:rPr>
              <w:t>臭气浓度</w:t>
            </w:r>
          </w:p>
          <w:p>
            <w:pPr>
              <w:pStyle w:val="22"/>
              <w:bidi w:val="0"/>
              <w:jc w:val="center"/>
              <w:rPr>
                <w:rFonts w:hint="eastAsia" w:eastAsia="宋体"/>
                <w:b/>
                <w:bCs/>
                <w:color w:val="auto"/>
                <w:lang w:eastAsia="zh-CN"/>
              </w:rPr>
            </w:pPr>
            <w:r>
              <w:rPr>
                <w:rFonts w:hint="eastAsia"/>
                <w:b/>
                <w:bCs/>
                <w:color w:val="auto"/>
                <w:lang w:eastAsia="zh-CN"/>
              </w:rPr>
              <w:t>（</w:t>
            </w:r>
            <w:r>
              <w:rPr>
                <w:rFonts w:ascii="宋体" w:hAnsi="宋体" w:eastAsia="宋体" w:cs="宋体"/>
                <w:b/>
                <w:bCs/>
                <w:color w:val="auto"/>
                <w:spacing w:val="-4"/>
                <w:sz w:val="21"/>
                <w:szCs w:val="21"/>
              </w:rPr>
              <w:t>无量纲</w:t>
            </w:r>
            <w:r>
              <w:rPr>
                <w:rFonts w:hint="eastAsia"/>
                <w:b/>
                <w:bCs/>
                <w:color w:val="auto"/>
                <w:lang w:eastAsia="zh-CN"/>
              </w:rPr>
              <w:t>）</w:t>
            </w:r>
          </w:p>
        </w:tc>
        <w:tc>
          <w:tcPr>
            <w:tcW w:w="1280" w:type="dxa"/>
            <w:tcBorders>
              <w:tl2br w:val="nil"/>
              <w:tr2bl w:val="nil"/>
            </w:tcBorders>
            <w:vAlign w:val="center"/>
          </w:tcPr>
          <w:p>
            <w:pPr>
              <w:pStyle w:val="22"/>
              <w:bidi w:val="0"/>
              <w:jc w:val="center"/>
              <w:rPr>
                <w:rFonts w:hint="default" w:eastAsia="宋体"/>
                <w:b/>
                <w:bCs/>
                <w:color w:val="auto"/>
                <w:lang w:val="en-US" w:eastAsia="zh-CN"/>
              </w:rPr>
            </w:pPr>
            <w:r>
              <w:rPr>
                <w:rFonts w:hint="eastAsia"/>
                <w:b/>
                <w:bCs/>
                <w:color w:val="auto"/>
                <w:lang w:val="en-US" w:eastAsia="zh-CN"/>
              </w:rPr>
              <w:t>非甲烷总烃</w:t>
            </w:r>
            <w:r>
              <w:rPr>
                <w:rFonts w:ascii="宋体" w:hAnsi="宋体" w:eastAsia="宋体" w:cs="宋体"/>
                <w:b/>
                <w:bCs/>
                <w:color w:val="auto"/>
                <w:spacing w:val="-1"/>
                <w:sz w:val="21"/>
                <w:szCs w:val="21"/>
              </w:rPr>
              <w:t>（</w:t>
            </w:r>
            <w:r>
              <w:rPr>
                <w:rFonts w:ascii="Times New Roman" w:hAnsi="Times New Roman" w:eastAsia="Times New Roman" w:cs="Times New Roman"/>
                <w:b/>
                <w:bCs/>
                <w:color w:val="auto"/>
                <w:spacing w:val="-1"/>
                <w:sz w:val="21"/>
                <w:szCs w:val="21"/>
              </w:rPr>
              <w:t>mg/m</w:t>
            </w:r>
            <w:r>
              <w:rPr>
                <w:rFonts w:ascii="Times New Roman" w:hAnsi="Times New Roman" w:eastAsia="Times New Roman" w:cs="Times New Roman"/>
                <w:b/>
                <w:bCs/>
                <w:color w:val="auto"/>
                <w:spacing w:val="-1"/>
                <w:position w:val="6"/>
                <w:sz w:val="14"/>
                <w:szCs w:val="14"/>
              </w:rPr>
              <w:t>3</w:t>
            </w:r>
            <w:r>
              <w:rPr>
                <w:rFonts w:ascii="宋体" w:hAnsi="宋体" w:eastAsia="宋体" w:cs="宋体"/>
                <w:b/>
                <w:bCs/>
                <w:color w:val="auto"/>
                <w:spacing w:val="-1"/>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jc w:val="center"/>
        </w:trPr>
        <w:tc>
          <w:tcPr>
            <w:tcW w:w="899" w:type="dxa"/>
            <w:vMerge w:val="restart"/>
            <w:tcBorders>
              <w:tl2br w:val="nil"/>
              <w:tr2bl w:val="nil"/>
            </w:tcBorders>
            <w:vAlign w:val="center"/>
          </w:tcPr>
          <w:p>
            <w:pPr>
              <w:pStyle w:val="22"/>
              <w:bidi w:val="0"/>
              <w:rPr>
                <w:rFonts w:hint="default"/>
                <w:color w:val="auto"/>
                <w:lang w:val="en-US" w:eastAsia="zh-CN"/>
              </w:rPr>
            </w:pPr>
            <w:r>
              <w:rPr>
                <w:rFonts w:hint="eastAsia"/>
                <w:color w:val="auto"/>
                <w:lang w:eastAsia="zh-CN"/>
              </w:rPr>
              <w:t>项目区</w:t>
            </w:r>
            <w:r>
              <w:rPr>
                <w:rFonts w:hint="eastAsia"/>
                <w:color w:val="auto"/>
                <w:lang w:val="en-US" w:eastAsia="zh-CN"/>
              </w:rPr>
              <w:t>内</w:t>
            </w:r>
          </w:p>
          <w:p>
            <w:pPr>
              <w:pStyle w:val="22"/>
              <w:bidi w:val="0"/>
              <w:jc w:val="center"/>
              <w:rPr>
                <w:color w:val="auto"/>
              </w:rPr>
            </w:pPr>
          </w:p>
        </w:tc>
        <w:tc>
          <w:tcPr>
            <w:tcW w:w="1045" w:type="dxa"/>
            <w:vMerge w:val="restart"/>
            <w:tcBorders>
              <w:tl2br w:val="nil"/>
              <w:tr2bl w:val="nil"/>
            </w:tcBorders>
            <w:vAlign w:val="center"/>
          </w:tcPr>
          <w:p>
            <w:pPr>
              <w:pStyle w:val="22"/>
              <w:bidi w:val="0"/>
              <w:rPr>
                <w:color w:val="auto"/>
                <w:highlight w:val="none"/>
              </w:rPr>
            </w:pPr>
            <w:r>
              <w:rPr>
                <w:rFonts w:hint="eastAsia"/>
                <w:color w:val="auto"/>
                <w:highlight w:val="none"/>
                <w:lang w:val="en-US" w:eastAsia="zh-CN"/>
              </w:rPr>
              <w:t>2022年3月1日</w:t>
            </w:r>
          </w:p>
        </w:tc>
        <w:tc>
          <w:tcPr>
            <w:tcW w:w="1622" w:type="dxa"/>
            <w:tcBorders>
              <w:tl2br w:val="nil"/>
              <w:tr2bl w:val="nil"/>
            </w:tcBorders>
            <w:vAlign w:val="center"/>
          </w:tcPr>
          <w:p>
            <w:pPr>
              <w:pStyle w:val="22"/>
              <w:bidi w:val="0"/>
              <w:rPr>
                <w:color w:val="auto"/>
                <w:highlight w:val="none"/>
              </w:rPr>
            </w:pPr>
            <w:r>
              <w:rPr>
                <w:color w:val="auto"/>
                <w:highlight w:val="none"/>
              </w:rPr>
              <w:t>HQ-1#-1-1-</w:t>
            </w:r>
            <w:r>
              <w:rPr>
                <w:rFonts w:hint="eastAsia"/>
                <w:color w:val="auto"/>
                <w:highlight w:val="none"/>
                <w:lang w:val="en-US" w:eastAsia="zh-CN"/>
              </w:rPr>
              <w:t>d</w:t>
            </w:r>
          </w:p>
        </w:tc>
        <w:tc>
          <w:tcPr>
            <w:tcW w:w="1277" w:type="dxa"/>
            <w:tcBorders>
              <w:tl2br w:val="nil"/>
              <w:tr2bl w:val="nil"/>
            </w:tcBorders>
            <w:vAlign w:val="center"/>
          </w:tcPr>
          <w:p>
            <w:pPr>
              <w:pStyle w:val="22"/>
              <w:bidi w:val="0"/>
              <w:rPr>
                <w:color w:val="auto"/>
                <w:highlight w:val="none"/>
              </w:rPr>
            </w:pPr>
            <w:r>
              <w:rPr>
                <w:rFonts w:hint="eastAsia"/>
                <w:color w:val="auto"/>
                <w:highlight w:val="none"/>
                <w:lang w:val="en-US" w:eastAsia="zh-CN"/>
              </w:rPr>
              <w:t>0.04</w:t>
            </w:r>
          </w:p>
        </w:tc>
        <w:tc>
          <w:tcPr>
            <w:tcW w:w="1277" w:type="dxa"/>
            <w:tcBorders>
              <w:tl2br w:val="nil"/>
              <w:tr2bl w:val="nil"/>
            </w:tcBorders>
            <w:vAlign w:val="center"/>
          </w:tcPr>
          <w:p>
            <w:pPr>
              <w:pStyle w:val="22"/>
              <w:bidi w:val="0"/>
              <w:rPr>
                <w:color w:val="auto"/>
                <w:highlight w:val="none"/>
              </w:rPr>
            </w:pPr>
            <w:r>
              <w:rPr>
                <w:rFonts w:hint="default"/>
                <w:color w:val="auto"/>
                <w:highlight w:val="none"/>
                <w:lang w:val="en-US" w:eastAsia="zh-CN"/>
              </w:rPr>
              <w:t>&lt;</w:t>
            </w:r>
            <w:r>
              <w:rPr>
                <w:rFonts w:hint="eastAsia"/>
                <w:color w:val="auto"/>
                <w:highlight w:val="none"/>
                <w:lang w:val="en-US" w:eastAsia="zh-CN"/>
              </w:rPr>
              <w:t>0.005</w:t>
            </w:r>
          </w:p>
        </w:tc>
        <w:tc>
          <w:tcPr>
            <w:tcW w:w="1277" w:type="dxa"/>
            <w:tcBorders>
              <w:tl2br w:val="nil"/>
              <w:tr2bl w:val="nil"/>
            </w:tcBorders>
            <w:vAlign w:val="center"/>
          </w:tcPr>
          <w:p>
            <w:pPr>
              <w:pStyle w:val="22"/>
              <w:bidi w:val="0"/>
              <w:jc w:val="center"/>
              <w:rPr>
                <w:color w:val="auto"/>
                <w:highlight w:val="none"/>
              </w:rPr>
            </w:pPr>
            <w:r>
              <w:rPr>
                <w:color w:val="auto"/>
                <w:highlight w:val="none"/>
              </w:rPr>
              <w:t>&lt;10</w:t>
            </w:r>
          </w:p>
        </w:tc>
        <w:tc>
          <w:tcPr>
            <w:tcW w:w="1280" w:type="dxa"/>
            <w:tcBorders>
              <w:tl2br w:val="nil"/>
              <w:tr2bl w:val="nil"/>
            </w:tcBorders>
            <w:vAlign w:val="center"/>
          </w:tcPr>
          <w:p>
            <w:pPr>
              <w:pStyle w:val="22"/>
              <w:bidi w:val="0"/>
              <w:rPr>
                <w:rFonts w:hint="default"/>
                <w:color w:val="auto"/>
                <w:highlight w:val="none"/>
                <w:lang w:val="en-US"/>
              </w:rPr>
            </w:pPr>
            <w:r>
              <w:rPr>
                <w:rFonts w:hint="eastAsia"/>
                <w:color w:val="auto"/>
                <w:highlight w:val="none"/>
                <w:lang w:val="en-US" w:eastAsia="zh-CN"/>
              </w:rPr>
              <w:t>0.63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auto"/>
              </w:rPr>
            </w:pPr>
          </w:p>
        </w:tc>
        <w:tc>
          <w:tcPr>
            <w:tcW w:w="1045" w:type="dxa"/>
            <w:vMerge w:val="continue"/>
            <w:tcBorders>
              <w:tl2br w:val="nil"/>
              <w:tr2bl w:val="nil"/>
            </w:tcBorders>
            <w:vAlign w:val="center"/>
          </w:tcPr>
          <w:p>
            <w:pPr>
              <w:pStyle w:val="22"/>
              <w:bidi w:val="0"/>
              <w:rPr>
                <w:color w:val="auto"/>
                <w:highlight w:val="none"/>
              </w:rPr>
            </w:pPr>
          </w:p>
        </w:tc>
        <w:tc>
          <w:tcPr>
            <w:tcW w:w="1622" w:type="dxa"/>
            <w:tcBorders>
              <w:tl2br w:val="nil"/>
              <w:tr2bl w:val="nil"/>
            </w:tcBorders>
            <w:vAlign w:val="center"/>
          </w:tcPr>
          <w:p>
            <w:pPr>
              <w:pStyle w:val="22"/>
              <w:bidi w:val="0"/>
              <w:rPr>
                <w:color w:val="auto"/>
                <w:highlight w:val="none"/>
              </w:rPr>
            </w:pPr>
            <w:r>
              <w:rPr>
                <w:color w:val="auto"/>
                <w:highlight w:val="none"/>
              </w:rPr>
              <w:t>HQ-1#-</w:t>
            </w:r>
            <w:r>
              <w:rPr>
                <w:rFonts w:hint="eastAsia"/>
                <w:color w:val="auto"/>
                <w:highlight w:val="none"/>
                <w:lang w:val="en-US" w:eastAsia="zh-CN"/>
              </w:rPr>
              <w:t>1</w:t>
            </w:r>
            <w:r>
              <w:rPr>
                <w:color w:val="auto"/>
                <w:highlight w:val="none"/>
              </w:rPr>
              <w:t>-</w:t>
            </w:r>
            <w:r>
              <w:rPr>
                <w:rFonts w:hint="eastAsia"/>
                <w:color w:val="auto"/>
                <w:highlight w:val="none"/>
                <w:lang w:val="en-US" w:eastAsia="zh-CN"/>
              </w:rPr>
              <w:t>2</w:t>
            </w:r>
            <w:r>
              <w:rPr>
                <w:color w:val="auto"/>
                <w:highlight w:val="none"/>
              </w:rPr>
              <w:t>-</w:t>
            </w:r>
            <w:r>
              <w:rPr>
                <w:rFonts w:hint="eastAsia"/>
                <w:color w:val="auto"/>
                <w:highlight w:val="none"/>
                <w:lang w:val="en-US" w:eastAsia="zh-CN"/>
              </w:rPr>
              <w:t>d</w:t>
            </w:r>
          </w:p>
        </w:tc>
        <w:tc>
          <w:tcPr>
            <w:tcW w:w="1277" w:type="dxa"/>
            <w:tcBorders>
              <w:tl2br w:val="nil"/>
              <w:tr2bl w:val="nil"/>
            </w:tcBorders>
            <w:vAlign w:val="center"/>
          </w:tcPr>
          <w:p>
            <w:pPr>
              <w:pStyle w:val="22"/>
              <w:bidi w:val="0"/>
              <w:rPr>
                <w:color w:val="auto"/>
                <w:highlight w:val="none"/>
              </w:rPr>
            </w:pPr>
            <w:r>
              <w:rPr>
                <w:rFonts w:hint="eastAsia"/>
                <w:color w:val="auto"/>
                <w:highlight w:val="none"/>
                <w:lang w:val="en-US" w:eastAsia="zh-CN"/>
              </w:rPr>
              <w:t>0.05</w:t>
            </w:r>
          </w:p>
        </w:tc>
        <w:tc>
          <w:tcPr>
            <w:tcW w:w="1277" w:type="dxa"/>
            <w:tcBorders>
              <w:tl2br w:val="nil"/>
              <w:tr2bl w:val="nil"/>
            </w:tcBorders>
            <w:vAlign w:val="center"/>
          </w:tcPr>
          <w:p>
            <w:pPr>
              <w:pStyle w:val="22"/>
              <w:bidi w:val="0"/>
              <w:rPr>
                <w:color w:val="auto"/>
                <w:highlight w:val="none"/>
              </w:rPr>
            </w:pPr>
            <w:r>
              <w:rPr>
                <w:rFonts w:hint="default"/>
                <w:color w:val="auto"/>
                <w:highlight w:val="none"/>
                <w:lang w:val="en-US" w:eastAsia="zh-CN"/>
              </w:rPr>
              <w:t>&lt;</w:t>
            </w:r>
            <w:r>
              <w:rPr>
                <w:rFonts w:hint="eastAsia"/>
                <w:color w:val="auto"/>
                <w:highlight w:val="none"/>
                <w:lang w:val="en-US" w:eastAsia="zh-CN"/>
              </w:rPr>
              <w:t>0.005</w:t>
            </w:r>
          </w:p>
        </w:tc>
        <w:tc>
          <w:tcPr>
            <w:tcW w:w="1277" w:type="dxa"/>
            <w:tcBorders>
              <w:tl2br w:val="nil"/>
              <w:tr2bl w:val="nil"/>
            </w:tcBorders>
            <w:vAlign w:val="center"/>
          </w:tcPr>
          <w:p>
            <w:pPr>
              <w:pStyle w:val="22"/>
              <w:bidi w:val="0"/>
              <w:jc w:val="center"/>
              <w:rPr>
                <w:color w:val="auto"/>
                <w:highlight w:val="none"/>
              </w:rPr>
            </w:pPr>
            <w:r>
              <w:rPr>
                <w:color w:val="auto"/>
                <w:highlight w:val="none"/>
              </w:rPr>
              <w:t>&lt;10</w:t>
            </w:r>
          </w:p>
        </w:tc>
        <w:tc>
          <w:tcPr>
            <w:tcW w:w="1280" w:type="dxa"/>
            <w:tcBorders>
              <w:tl2br w:val="nil"/>
              <w:tr2bl w:val="nil"/>
            </w:tcBorders>
            <w:vAlign w:val="center"/>
          </w:tcPr>
          <w:p>
            <w:pPr>
              <w:pStyle w:val="22"/>
              <w:bidi w:val="0"/>
              <w:rPr>
                <w:rFonts w:hint="default"/>
                <w:color w:val="auto"/>
                <w:highlight w:val="none"/>
                <w:lang w:val="en-US"/>
              </w:rPr>
            </w:pPr>
            <w:r>
              <w:rPr>
                <w:rFonts w:hint="eastAsia"/>
                <w:color w:val="auto"/>
                <w:highlight w:val="none"/>
                <w:lang w:val="en-US" w:eastAsia="zh-CN"/>
              </w:rPr>
              <w:t>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899" w:type="dxa"/>
            <w:vMerge w:val="continue"/>
            <w:tcBorders>
              <w:tl2br w:val="nil"/>
              <w:tr2bl w:val="nil"/>
            </w:tcBorders>
            <w:vAlign w:val="center"/>
          </w:tcPr>
          <w:p>
            <w:pPr>
              <w:pStyle w:val="22"/>
              <w:bidi w:val="0"/>
              <w:jc w:val="center"/>
              <w:rPr>
                <w:color w:val="auto"/>
              </w:rPr>
            </w:pPr>
          </w:p>
        </w:tc>
        <w:tc>
          <w:tcPr>
            <w:tcW w:w="1045" w:type="dxa"/>
            <w:vMerge w:val="continue"/>
            <w:tcBorders>
              <w:tl2br w:val="nil"/>
              <w:tr2bl w:val="nil"/>
            </w:tcBorders>
            <w:vAlign w:val="center"/>
          </w:tcPr>
          <w:p>
            <w:pPr>
              <w:pStyle w:val="22"/>
              <w:bidi w:val="0"/>
              <w:rPr>
                <w:color w:val="auto"/>
                <w:highlight w:val="none"/>
              </w:rPr>
            </w:pPr>
          </w:p>
        </w:tc>
        <w:tc>
          <w:tcPr>
            <w:tcW w:w="1622" w:type="dxa"/>
            <w:tcBorders>
              <w:tl2br w:val="nil"/>
              <w:tr2bl w:val="nil"/>
            </w:tcBorders>
            <w:vAlign w:val="center"/>
          </w:tcPr>
          <w:p>
            <w:pPr>
              <w:pStyle w:val="22"/>
              <w:bidi w:val="0"/>
              <w:rPr>
                <w:color w:val="auto"/>
                <w:highlight w:val="none"/>
              </w:rPr>
            </w:pPr>
            <w:r>
              <w:rPr>
                <w:color w:val="auto"/>
                <w:highlight w:val="none"/>
              </w:rPr>
              <w:t>HQ-1#-</w:t>
            </w:r>
            <w:r>
              <w:rPr>
                <w:rFonts w:hint="eastAsia"/>
                <w:color w:val="auto"/>
                <w:highlight w:val="none"/>
                <w:lang w:val="en-US" w:eastAsia="zh-CN"/>
              </w:rPr>
              <w:t>1</w:t>
            </w:r>
            <w:r>
              <w:rPr>
                <w:color w:val="auto"/>
                <w:highlight w:val="none"/>
              </w:rPr>
              <w:t>-</w:t>
            </w:r>
            <w:r>
              <w:rPr>
                <w:rFonts w:hint="eastAsia"/>
                <w:color w:val="auto"/>
                <w:highlight w:val="none"/>
                <w:lang w:val="en-US" w:eastAsia="zh-CN"/>
              </w:rPr>
              <w:t>3</w:t>
            </w:r>
            <w:r>
              <w:rPr>
                <w:color w:val="auto"/>
                <w:highlight w:val="none"/>
              </w:rPr>
              <w:t>-</w:t>
            </w:r>
            <w:r>
              <w:rPr>
                <w:rFonts w:hint="eastAsia"/>
                <w:color w:val="auto"/>
                <w:highlight w:val="none"/>
                <w:lang w:val="en-US" w:eastAsia="zh-CN"/>
              </w:rPr>
              <w:t>d</w:t>
            </w:r>
          </w:p>
        </w:tc>
        <w:tc>
          <w:tcPr>
            <w:tcW w:w="1277" w:type="dxa"/>
            <w:tcBorders>
              <w:tl2br w:val="nil"/>
              <w:tr2bl w:val="nil"/>
            </w:tcBorders>
            <w:vAlign w:val="center"/>
          </w:tcPr>
          <w:p>
            <w:pPr>
              <w:pStyle w:val="22"/>
              <w:bidi w:val="0"/>
              <w:rPr>
                <w:color w:val="auto"/>
                <w:highlight w:val="none"/>
              </w:rPr>
            </w:pPr>
            <w:r>
              <w:rPr>
                <w:rFonts w:hint="eastAsia"/>
                <w:color w:val="auto"/>
                <w:highlight w:val="none"/>
                <w:lang w:val="en-US" w:eastAsia="zh-CN"/>
              </w:rPr>
              <w:t>0.04</w:t>
            </w:r>
          </w:p>
        </w:tc>
        <w:tc>
          <w:tcPr>
            <w:tcW w:w="1277" w:type="dxa"/>
            <w:tcBorders>
              <w:tl2br w:val="nil"/>
              <w:tr2bl w:val="nil"/>
            </w:tcBorders>
            <w:vAlign w:val="center"/>
          </w:tcPr>
          <w:p>
            <w:pPr>
              <w:pStyle w:val="22"/>
              <w:bidi w:val="0"/>
              <w:rPr>
                <w:color w:val="auto"/>
                <w:highlight w:val="none"/>
              </w:rPr>
            </w:pPr>
            <w:r>
              <w:rPr>
                <w:rFonts w:hint="default"/>
                <w:color w:val="auto"/>
                <w:highlight w:val="none"/>
                <w:lang w:val="en-US" w:eastAsia="zh-CN"/>
              </w:rPr>
              <w:t>&lt;</w:t>
            </w:r>
            <w:r>
              <w:rPr>
                <w:rFonts w:hint="eastAsia"/>
                <w:color w:val="auto"/>
                <w:highlight w:val="none"/>
                <w:lang w:val="en-US" w:eastAsia="zh-CN"/>
              </w:rPr>
              <w:t>0.005</w:t>
            </w:r>
          </w:p>
        </w:tc>
        <w:tc>
          <w:tcPr>
            <w:tcW w:w="1277" w:type="dxa"/>
            <w:tcBorders>
              <w:tl2br w:val="nil"/>
              <w:tr2bl w:val="nil"/>
            </w:tcBorders>
            <w:vAlign w:val="center"/>
          </w:tcPr>
          <w:p>
            <w:pPr>
              <w:pStyle w:val="22"/>
              <w:bidi w:val="0"/>
              <w:jc w:val="center"/>
              <w:rPr>
                <w:color w:val="auto"/>
                <w:highlight w:val="none"/>
              </w:rPr>
            </w:pPr>
            <w:r>
              <w:rPr>
                <w:color w:val="auto"/>
                <w:highlight w:val="none"/>
              </w:rPr>
              <w:t>&lt;10</w:t>
            </w:r>
          </w:p>
        </w:tc>
        <w:tc>
          <w:tcPr>
            <w:tcW w:w="1280" w:type="dxa"/>
            <w:tcBorders>
              <w:tl2br w:val="nil"/>
              <w:tr2bl w:val="nil"/>
            </w:tcBorders>
            <w:vAlign w:val="center"/>
          </w:tcPr>
          <w:p>
            <w:pPr>
              <w:pStyle w:val="22"/>
              <w:bidi w:val="0"/>
              <w:rPr>
                <w:rFonts w:hint="default"/>
                <w:color w:val="auto"/>
                <w:highlight w:val="none"/>
                <w:lang w:val="en-US"/>
              </w:rPr>
            </w:pPr>
            <w:r>
              <w:rPr>
                <w:rFonts w:hint="eastAsia"/>
                <w:color w:val="auto"/>
                <w:highlight w:val="none"/>
                <w:lang w:val="en-US" w:eastAsia="zh-CN"/>
              </w:rPr>
              <w:t>0.57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auto"/>
              </w:rPr>
            </w:pPr>
          </w:p>
        </w:tc>
        <w:tc>
          <w:tcPr>
            <w:tcW w:w="1045" w:type="dxa"/>
            <w:vMerge w:val="continue"/>
            <w:tcBorders>
              <w:tl2br w:val="nil"/>
              <w:tr2bl w:val="nil"/>
            </w:tcBorders>
            <w:vAlign w:val="center"/>
          </w:tcPr>
          <w:p>
            <w:pPr>
              <w:pStyle w:val="22"/>
              <w:bidi w:val="0"/>
              <w:rPr>
                <w:color w:val="auto"/>
                <w:highlight w:val="none"/>
              </w:rPr>
            </w:pPr>
          </w:p>
        </w:tc>
        <w:tc>
          <w:tcPr>
            <w:tcW w:w="1622" w:type="dxa"/>
            <w:tcBorders>
              <w:tl2br w:val="nil"/>
              <w:tr2bl w:val="nil"/>
            </w:tcBorders>
            <w:vAlign w:val="center"/>
          </w:tcPr>
          <w:p>
            <w:pPr>
              <w:pStyle w:val="22"/>
              <w:bidi w:val="0"/>
              <w:rPr>
                <w:color w:val="auto"/>
                <w:highlight w:val="none"/>
              </w:rPr>
            </w:pPr>
            <w:r>
              <w:rPr>
                <w:color w:val="auto"/>
                <w:highlight w:val="none"/>
              </w:rPr>
              <w:t>HQ-1#-</w:t>
            </w:r>
            <w:r>
              <w:rPr>
                <w:rFonts w:hint="eastAsia"/>
                <w:color w:val="auto"/>
                <w:highlight w:val="none"/>
                <w:lang w:val="en-US" w:eastAsia="zh-CN"/>
              </w:rPr>
              <w:t>1</w:t>
            </w:r>
            <w:r>
              <w:rPr>
                <w:color w:val="auto"/>
                <w:highlight w:val="none"/>
              </w:rPr>
              <w:t>-</w:t>
            </w:r>
            <w:r>
              <w:rPr>
                <w:rFonts w:hint="eastAsia"/>
                <w:color w:val="auto"/>
                <w:highlight w:val="none"/>
                <w:lang w:val="en-US" w:eastAsia="zh-CN"/>
              </w:rPr>
              <w:t>4</w:t>
            </w:r>
            <w:r>
              <w:rPr>
                <w:color w:val="auto"/>
                <w:highlight w:val="none"/>
              </w:rPr>
              <w:t>-</w:t>
            </w:r>
            <w:r>
              <w:rPr>
                <w:rFonts w:hint="eastAsia"/>
                <w:color w:val="auto"/>
                <w:highlight w:val="none"/>
                <w:lang w:val="en-US" w:eastAsia="zh-CN"/>
              </w:rPr>
              <w:t>d</w:t>
            </w:r>
          </w:p>
        </w:tc>
        <w:tc>
          <w:tcPr>
            <w:tcW w:w="1277" w:type="dxa"/>
            <w:tcBorders>
              <w:tl2br w:val="nil"/>
              <w:tr2bl w:val="nil"/>
            </w:tcBorders>
            <w:vAlign w:val="center"/>
          </w:tcPr>
          <w:p>
            <w:pPr>
              <w:pStyle w:val="22"/>
              <w:bidi w:val="0"/>
              <w:rPr>
                <w:color w:val="auto"/>
                <w:highlight w:val="none"/>
              </w:rPr>
            </w:pPr>
            <w:r>
              <w:rPr>
                <w:rFonts w:hint="eastAsia"/>
                <w:color w:val="auto"/>
                <w:highlight w:val="none"/>
                <w:lang w:val="en-US" w:eastAsia="zh-CN"/>
              </w:rPr>
              <w:t>0.04</w:t>
            </w:r>
          </w:p>
        </w:tc>
        <w:tc>
          <w:tcPr>
            <w:tcW w:w="1277" w:type="dxa"/>
            <w:tcBorders>
              <w:tl2br w:val="nil"/>
              <w:tr2bl w:val="nil"/>
            </w:tcBorders>
            <w:vAlign w:val="center"/>
          </w:tcPr>
          <w:p>
            <w:pPr>
              <w:pStyle w:val="22"/>
              <w:bidi w:val="0"/>
              <w:rPr>
                <w:color w:val="auto"/>
                <w:highlight w:val="none"/>
              </w:rPr>
            </w:pPr>
            <w:r>
              <w:rPr>
                <w:rFonts w:hint="default"/>
                <w:color w:val="auto"/>
                <w:highlight w:val="none"/>
                <w:lang w:val="en-US" w:eastAsia="zh-CN"/>
              </w:rPr>
              <w:t>&lt;</w:t>
            </w:r>
            <w:r>
              <w:rPr>
                <w:rFonts w:hint="eastAsia"/>
                <w:color w:val="auto"/>
                <w:highlight w:val="none"/>
                <w:lang w:val="en-US" w:eastAsia="zh-CN"/>
              </w:rPr>
              <w:t>0.005</w:t>
            </w:r>
          </w:p>
        </w:tc>
        <w:tc>
          <w:tcPr>
            <w:tcW w:w="1277" w:type="dxa"/>
            <w:tcBorders>
              <w:tl2br w:val="nil"/>
              <w:tr2bl w:val="nil"/>
            </w:tcBorders>
            <w:vAlign w:val="center"/>
          </w:tcPr>
          <w:p>
            <w:pPr>
              <w:pStyle w:val="22"/>
              <w:bidi w:val="0"/>
              <w:jc w:val="center"/>
              <w:rPr>
                <w:color w:val="auto"/>
                <w:highlight w:val="none"/>
              </w:rPr>
            </w:pPr>
            <w:r>
              <w:rPr>
                <w:color w:val="auto"/>
                <w:highlight w:val="none"/>
              </w:rPr>
              <w:t>&lt;10</w:t>
            </w:r>
          </w:p>
        </w:tc>
        <w:tc>
          <w:tcPr>
            <w:tcW w:w="1280" w:type="dxa"/>
            <w:tcBorders>
              <w:tl2br w:val="nil"/>
              <w:tr2bl w:val="nil"/>
            </w:tcBorders>
            <w:vAlign w:val="center"/>
          </w:tcPr>
          <w:p>
            <w:pPr>
              <w:pStyle w:val="22"/>
              <w:bidi w:val="0"/>
              <w:rPr>
                <w:rFonts w:hint="default"/>
                <w:color w:val="auto"/>
                <w:highlight w:val="none"/>
                <w:lang w:val="en-US"/>
              </w:rPr>
            </w:pPr>
            <w:r>
              <w:rPr>
                <w:rFonts w:hint="eastAsia"/>
                <w:color w:val="auto"/>
                <w:highlight w:val="none"/>
                <w:lang w:val="en-US" w:eastAsia="zh-CN"/>
              </w:rPr>
              <w:t>0.59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899" w:type="dxa"/>
            <w:vMerge w:val="continue"/>
            <w:tcBorders>
              <w:tl2br w:val="nil"/>
              <w:tr2bl w:val="nil"/>
            </w:tcBorders>
            <w:vAlign w:val="center"/>
          </w:tcPr>
          <w:p>
            <w:pPr>
              <w:pStyle w:val="22"/>
              <w:bidi w:val="0"/>
              <w:jc w:val="center"/>
              <w:rPr>
                <w:color w:val="auto"/>
              </w:rPr>
            </w:pPr>
          </w:p>
        </w:tc>
        <w:tc>
          <w:tcPr>
            <w:tcW w:w="1045" w:type="dxa"/>
            <w:vMerge w:val="restart"/>
            <w:tcBorders>
              <w:tl2br w:val="nil"/>
              <w:tr2bl w:val="nil"/>
            </w:tcBorders>
            <w:vAlign w:val="center"/>
          </w:tcPr>
          <w:p>
            <w:pPr>
              <w:pStyle w:val="22"/>
              <w:bidi w:val="0"/>
              <w:rPr>
                <w:color w:val="auto"/>
                <w:highlight w:val="none"/>
              </w:rPr>
            </w:pPr>
            <w:r>
              <w:rPr>
                <w:rFonts w:hint="eastAsia"/>
                <w:color w:val="auto"/>
                <w:highlight w:val="none"/>
                <w:lang w:val="en-US" w:eastAsia="zh-CN"/>
              </w:rPr>
              <w:t>2022年3月2日</w:t>
            </w:r>
          </w:p>
        </w:tc>
        <w:tc>
          <w:tcPr>
            <w:tcW w:w="1622" w:type="dxa"/>
            <w:tcBorders>
              <w:tl2br w:val="nil"/>
              <w:tr2bl w:val="nil"/>
            </w:tcBorders>
            <w:vAlign w:val="center"/>
          </w:tcPr>
          <w:p>
            <w:pPr>
              <w:pStyle w:val="22"/>
              <w:bidi w:val="0"/>
              <w:rPr>
                <w:color w:val="auto"/>
                <w:highlight w:val="none"/>
              </w:rPr>
            </w:pPr>
            <w:r>
              <w:rPr>
                <w:color w:val="auto"/>
                <w:highlight w:val="none"/>
              </w:rPr>
              <w:t>HQ-1#-</w:t>
            </w:r>
            <w:r>
              <w:rPr>
                <w:rFonts w:hint="eastAsia"/>
                <w:color w:val="auto"/>
                <w:highlight w:val="none"/>
                <w:lang w:val="en-US" w:eastAsia="zh-CN"/>
              </w:rPr>
              <w:t>2</w:t>
            </w:r>
            <w:r>
              <w:rPr>
                <w:color w:val="auto"/>
                <w:highlight w:val="none"/>
              </w:rPr>
              <w:t>-1-</w:t>
            </w:r>
            <w:r>
              <w:rPr>
                <w:rFonts w:hint="eastAsia"/>
                <w:color w:val="auto"/>
                <w:highlight w:val="none"/>
                <w:lang w:val="en-US" w:eastAsia="zh-CN"/>
              </w:rPr>
              <w:t>d</w:t>
            </w:r>
          </w:p>
        </w:tc>
        <w:tc>
          <w:tcPr>
            <w:tcW w:w="1277" w:type="dxa"/>
            <w:tcBorders>
              <w:tl2br w:val="nil"/>
              <w:tr2bl w:val="nil"/>
            </w:tcBorders>
            <w:vAlign w:val="center"/>
          </w:tcPr>
          <w:p>
            <w:pPr>
              <w:pStyle w:val="22"/>
              <w:bidi w:val="0"/>
              <w:rPr>
                <w:rFonts w:hint="default"/>
                <w:color w:val="auto"/>
                <w:highlight w:val="none"/>
                <w:lang w:val="en-US"/>
              </w:rPr>
            </w:pPr>
            <w:r>
              <w:rPr>
                <w:rFonts w:hint="eastAsia"/>
                <w:color w:val="auto"/>
                <w:highlight w:val="none"/>
                <w:lang w:val="en-US" w:eastAsia="zh-CN"/>
              </w:rPr>
              <w:t>0.05</w:t>
            </w:r>
          </w:p>
        </w:tc>
        <w:tc>
          <w:tcPr>
            <w:tcW w:w="1277" w:type="dxa"/>
            <w:tcBorders>
              <w:tl2br w:val="nil"/>
              <w:tr2bl w:val="nil"/>
            </w:tcBorders>
            <w:vAlign w:val="center"/>
          </w:tcPr>
          <w:p>
            <w:pPr>
              <w:pStyle w:val="22"/>
              <w:bidi w:val="0"/>
              <w:rPr>
                <w:color w:val="auto"/>
                <w:highlight w:val="none"/>
              </w:rPr>
            </w:pPr>
            <w:r>
              <w:rPr>
                <w:rFonts w:hint="default"/>
                <w:color w:val="auto"/>
                <w:highlight w:val="none"/>
                <w:lang w:val="en-US" w:eastAsia="zh-CN"/>
              </w:rPr>
              <w:t>&lt;</w:t>
            </w:r>
            <w:r>
              <w:rPr>
                <w:rFonts w:hint="eastAsia"/>
                <w:color w:val="auto"/>
                <w:highlight w:val="none"/>
                <w:lang w:val="en-US" w:eastAsia="zh-CN"/>
              </w:rPr>
              <w:t>0.005</w:t>
            </w:r>
          </w:p>
        </w:tc>
        <w:tc>
          <w:tcPr>
            <w:tcW w:w="1277" w:type="dxa"/>
            <w:tcBorders>
              <w:tl2br w:val="nil"/>
              <w:tr2bl w:val="nil"/>
            </w:tcBorders>
            <w:vAlign w:val="center"/>
          </w:tcPr>
          <w:p>
            <w:pPr>
              <w:pStyle w:val="22"/>
              <w:bidi w:val="0"/>
              <w:jc w:val="center"/>
              <w:rPr>
                <w:color w:val="auto"/>
                <w:highlight w:val="none"/>
              </w:rPr>
            </w:pPr>
            <w:r>
              <w:rPr>
                <w:color w:val="auto"/>
                <w:highlight w:val="none"/>
              </w:rPr>
              <w:t>&lt;10</w:t>
            </w:r>
          </w:p>
        </w:tc>
        <w:tc>
          <w:tcPr>
            <w:tcW w:w="1280" w:type="dxa"/>
            <w:tcBorders>
              <w:tl2br w:val="nil"/>
              <w:tr2bl w:val="nil"/>
            </w:tcBorders>
            <w:vAlign w:val="center"/>
          </w:tcPr>
          <w:p>
            <w:pPr>
              <w:pStyle w:val="22"/>
              <w:bidi w:val="0"/>
              <w:rPr>
                <w:rFonts w:hint="default"/>
                <w:color w:val="auto"/>
                <w:highlight w:val="none"/>
                <w:lang w:val="en-US"/>
              </w:rPr>
            </w:pPr>
            <w:r>
              <w:rPr>
                <w:rFonts w:hint="eastAsia"/>
                <w:color w:val="auto"/>
                <w:highlight w:val="none"/>
                <w:lang w:val="en-US" w:eastAsia="zh-CN"/>
              </w:rPr>
              <w:t>0.62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auto"/>
              </w:rPr>
            </w:pPr>
          </w:p>
        </w:tc>
        <w:tc>
          <w:tcPr>
            <w:tcW w:w="1045" w:type="dxa"/>
            <w:vMerge w:val="continue"/>
            <w:tcBorders>
              <w:tl2br w:val="nil"/>
              <w:tr2bl w:val="nil"/>
            </w:tcBorders>
            <w:vAlign w:val="center"/>
          </w:tcPr>
          <w:p>
            <w:pPr>
              <w:pStyle w:val="22"/>
              <w:bidi w:val="0"/>
              <w:rPr>
                <w:color w:val="auto"/>
                <w:highlight w:val="none"/>
              </w:rPr>
            </w:pPr>
          </w:p>
        </w:tc>
        <w:tc>
          <w:tcPr>
            <w:tcW w:w="1622" w:type="dxa"/>
            <w:tcBorders>
              <w:tl2br w:val="nil"/>
              <w:tr2bl w:val="nil"/>
            </w:tcBorders>
            <w:vAlign w:val="center"/>
          </w:tcPr>
          <w:p>
            <w:pPr>
              <w:pStyle w:val="22"/>
              <w:bidi w:val="0"/>
              <w:rPr>
                <w:color w:val="auto"/>
                <w:highlight w:val="none"/>
              </w:rPr>
            </w:pPr>
            <w:r>
              <w:rPr>
                <w:color w:val="auto"/>
                <w:highlight w:val="none"/>
              </w:rPr>
              <w:t>HQ-1#-</w:t>
            </w:r>
            <w:r>
              <w:rPr>
                <w:rFonts w:hint="eastAsia"/>
                <w:color w:val="auto"/>
                <w:highlight w:val="none"/>
                <w:lang w:val="en-US" w:eastAsia="zh-CN"/>
              </w:rPr>
              <w:t>2</w:t>
            </w:r>
            <w:r>
              <w:rPr>
                <w:color w:val="auto"/>
                <w:highlight w:val="none"/>
              </w:rPr>
              <w:t>-</w:t>
            </w:r>
            <w:r>
              <w:rPr>
                <w:rFonts w:hint="eastAsia"/>
                <w:color w:val="auto"/>
                <w:highlight w:val="none"/>
                <w:lang w:val="en-US" w:eastAsia="zh-CN"/>
              </w:rPr>
              <w:t>2</w:t>
            </w:r>
            <w:r>
              <w:rPr>
                <w:color w:val="auto"/>
                <w:highlight w:val="none"/>
              </w:rPr>
              <w:t>-</w:t>
            </w:r>
            <w:r>
              <w:rPr>
                <w:rFonts w:hint="eastAsia"/>
                <w:color w:val="auto"/>
                <w:highlight w:val="none"/>
                <w:lang w:val="en-US" w:eastAsia="zh-CN"/>
              </w:rPr>
              <w:t>d</w:t>
            </w:r>
          </w:p>
        </w:tc>
        <w:tc>
          <w:tcPr>
            <w:tcW w:w="1277" w:type="dxa"/>
            <w:tcBorders>
              <w:tl2br w:val="nil"/>
              <w:tr2bl w:val="nil"/>
            </w:tcBorders>
            <w:vAlign w:val="center"/>
          </w:tcPr>
          <w:p>
            <w:pPr>
              <w:pStyle w:val="22"/>
              <w:bidi w:val="0"/>
              <w:rPr>
                <w:color w:val="auto"/>
                <w:highlight w:val="none"/>
              </w:rPr>
            </w:pPr>
            <w:r>
              <w:rPr>
                <w:rFonts w:hint="eastAsia"/>
                <w:color w:val="auto"/>
                <w:highlight w:val="none"/>
                <w:lang w:val="en-US" w:eastAsia="zh-CN"/>
              </w:rPr>
              <w:t>0.04</w:t>
            </w:r>
          </w:p>
        </w:tc>
        <w:tc>
          <w:tcPr>
            <w:tcW w:w="1277" w:type="dxa"/>
            <w:tcBorders>
              <w:tl2br w:val="nil"/>
              <w:tr2bl w:val="nil"/>
            </w:tcBorders>
            <w:vAlign w:val="center"/>
          </w:tcPr>
          <w:p>
            <w:pPr>
              <w:pStyle w:val="22"/>
              <w:bidi w:val="0"/>
              <w:rPr>
                <w:color w:val="auto"/>
                <w:highlight w:val="none"/>
              </w:rPr>
            </w:pPr>
            <w:r>
              <w:rPr>
                <w:rFonts w:hint="default"/>
                <w:color w:val="auto"/>
                <w:highlight w:val="none"/>
                <w:lang w:val="en-US" w:eastAsia="zh-CN"/>
              </w:rPr>
              <w:t>&lt;</w:t>
            </w:r>
            <w:r>
              <w:rPr>
                <w:rFonts w:hint="eastAsia"/>
                <w:color w:val="auto"/>
                <w:highlight w:val="none"/>
                <w:lang w:val="en-US" w:eastAsia="zh-CN"/>
              </w:rPr>
              <w:t>0.005</w:t>
            </w:r>
          </w:p>
        </w:tc>
        <w:tc>
          <w:tcPr>
            <w:tcW w:w="1277" w:type="dxa"/>
            <w:tcBorders>
              <w:tl2br w:val="nil"/>
              <w:tr2bl w:val="nil"/>
            </w:tcBorders>
            <w:vAlign w:val="center"/>
          </w:tcPr>
          <w:p>
            <w:pPr>
              <w:pStyle w:val="22"/>
              <w:bidi w:val="0"/>
              <w:jc w:val="center"/>
              <w:rPr>
                <w:color w:val="auto"/>
                <w:highlight w:val="none"/>
              </w:rPr>
            </w:pPr>
            <w:r>
              <w:rPr>
                <w:color w:val="auto"/>
                <w:highlight w:val="none"/>
              </w:rPr>
              <w:t>&lt;10</w:t>
            </w:r>
          </w:p>
        </w:tc>
        <w:tc>
          <w:tcPr>
            <w:tcW w:w="1280" w:type="dxa"/>
            <w:tcBorders>
              <w:tl2br w:val="nil"/>
              <w:tr2bl w:val="nil"/>
            </w:tcBorders>
            <w:vAlign w:val="center"/>
          </w:tcPr>
          <w:p>
            <w:pPr>
              <w:pStyle w:val="22"/>
              <w:bidi w:val="0"/>
              <w:rPr>
                <w:rFonts w:hint="default"/>
                <w:color w:val="auto"/>
                <w:highlight w:val="none"/>
                <w:lang w:val="en-US"/>
              </w:rPr>
            </w:pPr>
            <w:r>
              <w:rPr>
                <w:rFonts w:hint="eastAsia"/>
                <w:color w:val="auto"/>
                <w:highlight w:val="none"/>
                <w:lang w:val="en-US" w:eastAsia="zh-CN"/>
              </w:rPr>
              <w:t>0.61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auto"/>
              </w:rPr>
            </w:pPr>
          </w:p>
        </w:tc>
        <w:tc>
          <w:tcPr>
            <w:tcW w:w="1045" w:type="dxa"/>
            <w:vMerge w:val="continue"/>
            <w:tcBorders>
              <w:tl2br w:val="nil"/>
              <w:tr2bl w:val="nil"/>
            </w:tcBorders>
            <w:vAlign w:val="center"/>
          </w:tcPr>
          <w:p>
            <w:pPr>
              <w:pStyle w:val="22"/>
              <w:bidi w:val="0"/>
              <w:rPr>
                <w:color w:val="auto"/>
                <w:highlight w:val="none"/>
              </w:rPr>
            </w:pPr>
          </w:p>
        </w:tc>
        <w:tc>
          <w:tcPr>
            <w:tcW w:w="1622" w:type="dxa"/>
            <w:tcBorders>
              <w:tl2br w:val="nil"/>
              <w:tr2bl w:val="nil"/>
            </w:tcBorders>
            <w:vAlign w:val="center"/>
          </w:tcPr>
          <w:p>
            <w:pPr>
              <w:pStyle w:val="22"/>
              <w:bidi w:val="0"/>
              <w:rPr>
                <w:color w:val="auto"/>
                <w:highlight w:val="none"/>
              </w:rPr>
            </w:pPr>
            <w:r>
              <w:rPr>
                <w:color w:val="auto"/>
                <w:highlight w:val="none"/>
              </w:rPr>
              <w:t>HQ-1#-</w:t>
            </w:r>
            <w:r>
              <w:rPr>
                <w:rFonts w:hint="eastAsia"/>
                <w:color w:val="auto"/>
                <w:highlight w:val="none"/>
                <w:lang w:val="en-US" w:eastAsia="zh-CN"/>
              </w:rPr>
              <w:t>2</w:t>
            </w:r>
            <w:r>
              <w:rPr>
                <w:color w:val="auto"/>
                <w:highlight w:val="none"/>
              </w:rPr>
              <w:t>-</w:t>
            </w:r>
            <w:r>
              <w:rPr>
                <w:rFonts w:hint="eastAsia"/>
                <w:color w:val="auto"/>
                <w:highlight w:val="none"/>
                <w:lang w:val="en-US" w:eastAsia="zh-CN"/>
              </w:rPr>
              <w:t>3</w:t>
            </w:r>
            <w:r>
              <w:rPr>
                <w:color w:val="auto"/>
                <w:highlight w:val="none"/>
              </w:rPr>
              <w:t>-</w:t>
            </w:r>
            <w:r>
              <w:rPr>
                <w:rFonts w:hint="eastAsia"/>
                <w:color w:val="auto"/>
                <w:highlight w:val="none"/>
                <w:lang w:val="en-US" w:eastAsia="zh-CN"/>
              </w:rPr>
              <w:t>d</w:t>
            </w:r>
          </w:p>
        </w:tc>
        <w:tc>
          <w:tcPr>
            <w:tcW w:w="1277" w:type="dxa"/>
            <w:tcBorders>
              <w:tl2br w:val="nil"/>
              <w:tr2bl w:val="nil"/>
            </w:tcBorders>
            <w:vAlign w:val="center"/>
          </w:tcPr>
          <w:p>
            <w:pPr>
              <w:pStyle w:val="22"/>
              <w:bidi w:val="0"/>
              <w:rPr>
                <w:color w:val="auto"/>
                <w:highlight w:val="none"/>
              </w:rPr>
            </w:pPr>
            <w:r>
              <w:rPr>
                <w:rFonts w:hint="eastAsia"/>
                <w:color w:val="auto"/>
                <w:highlight w:val="none"/>
                <w:lang w:val="en-US" w:eastAsia="zh-CN"/>
              </w:rPr>
              <w:t>0.04</w:t>
            </w:r>
          </w:p>
        </w:tc>
        <w:tc>
          <w:tcPr>
            <w:tcW w:w="1277" w:type="dxa"/>
            <w:tcBorders>
              <w:tl2br w:val="nil"/>
              <w:tr2bl w:val="nil"/>
            </w:tcBorders>
            <w:vAlign w:val="center"/>
          </w:tcPr>
          <w:p>
            <w:pPr>
              <w:pStyle w:val="22"/>
              <w:bidi w:val="0"/>
              <w:rPr>
                <w:color w:val="auto"/>
                <w:highlight w:val="none"/>
              </w:rPr>
            </w:pPr>
            <w:r>
              <w:rPr>
                <w:rFonts w:hint="default"/>
                <w:color w:val="auto"/>
                <w:highlight w:val="none"/>
                <w:lang w:val="en-US" w:eastAsia="zh-CN"/>
              </w:rPr>
              <w:t>&lt;</w:t>
            </w:r>
            <w:r>
              <w:rPr>
                <w:rFonts w:hint="eastAsia"/>
                <w:color w:val="auto"/>
                <w:highlight w:val="none"/>
                <w:lang w:val="en-US" w:eastAsia="zh-CN"/>
              </w:rPr>
              <w:t>0.005</w:t>
            </w:r>
          </w:p>
        </w:tc>
        <w:tc>
          <w:tcPr>
            <w:tcW w:w="1277" w:type="dxa"/>
            <w:tcBorders>
              <w:tl2br w:val="nil"/>
              <w:tr2bl w:val="nil"/>
            </w:tcBorders>
            <w:vAlign w:val="center"/>
          </w:tcPr>
          <w:p>
            <w:pPr>
              <w:pStyle w:val="22"/>
              <w:bidi w:val="0"/>
              <w:jc w:val="center"/>
              <w:rPr>
                <w:color w:val="auto"/>
                <w:highlight w:val="none"/>
              </w:rPr>
            </w:pPr>
            <w:r>
              <w:rPr>
                <w:color w:val="auto"/>
                <w:highlight w:val="none"/>
              </w:rPr>
              <w:t>&lt;10</w:t>
            </w:r>
          </w:p>
        </w:tc>
        <w:tc>
          <w:tcPr>
            <w:tcW w:w="1280" w:type="dxa"/>
            <w:tcBorders>
              <w:tl2br w:val="nil"/>
              <w:tr2bl w:val="nil"/>
            </w:tcBorders>
            <w:vAlign w:val="center"/>
          </w:tcPr>
          <w:p>
            <w:pPr>
              <w:pStyle w:val="22"/>
              <w:bidi w:val="0"/>
              <w:rPr>
                <w:rFonts w:hint="default"/>
                <w:color w:val="auto"/>
                <w:highlight w:val="none"/>
                <w:lang w:val="en-US"/>
              </w:rPr>
            </w:pPr>
            <w:r>
              <w:rPr>
                <w:rFonts w:hint="eastAsia"/>
                <w:color w:val="auto"/>
                <w:highlight w:val="none"/>
                <w:lang w:val="en-US" w:eastAsia="zh-CN"/>
              </w:rPr>
              <w:t>0.62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899" w:type="dxa"/>
            <w:vMerge w:val="continue"/>
            <w:tcBorders>
              <w:tl2br w:val="nil"/>
              <w:tr2bl w:val="nil"/>
            </w:tcBorders>
            <w:vAlign w:val="center"/>
          </w:tcPr>
          <w:p>
            <w:pPr>
              <w:pStyle w:val="22"/>
              <w:bidi w:val="0"/>
              <w:jc w:val="center"/>
              <w:rPr>
                <w:color w:val="auto"/>
              </w:rPr>
            </w:pPr>
          </w:p>
        </w:tc>
        <w:tc>
          <w:tcPr>
            <w:tcW w:w="1045" w:type="dxa"/>
            <w:vMerge w:val="continue"/>
            <w:tcBorders>
              <w:tl2br w:val="nil"/>
              <w:tr2bl w:val="nil"/>
            </w:tcBorders>
            <w:vAlign w:val="center"/>
          </w:tcPr>
          <w:p>
            <w:pPr>
              <w:pStyle w:val="22"/>
              <w:bidi w:val="0"/>
              <w:rPr>
                <w:color w:val="auto"/>
                <w:highlight w:val="none"/>
              </w:rPr>
            </w:pPr>
          </w:p>
        </w:tc>
        <w:tc>
          <w:tcPr>
            <w:tcW w:w="1622" w:type="dxa"/>
            <w:tcBorders>
              <w:tl2br w:val="nil"/>
              <w:tr2bl w:val="nil"/>
            </w:tcBorders>
            <w:vAlign w:val="center"/>
          </w:tcPr>
          <w:p>
            <w:pPr>
              <w:pStyle w:val="22"/>
              <w:bidi w:val="0"/>
              <w:rPr>
                <w:color w:val="auto"/>
                <w:highlight w:val="none"/>
              </w:rPr>
            </w:pPr>
            <w:r>
              <w:rPr>
                <w:color w:val="auto"/>
                <w:highlight w:val="none"/>
              </w:rPr>
              <w:t>HQ-1#-</w:t>
            </w:r>
            <w:r>
              <w:rPr>
                <w:rFonts w:hint="eastAsia"/>
                <w:color w:val="auto"/>
                <w:highlight w:val="none"/>
                <w:lang w:val="en-US" w:eastAsia="zh-CN"/>
              </w:rPr>
              <w:t>2</w:t>
            </w:r>
            <w:r>
              <w:rPr>
                <w:color w:val="auto"/>
                <w:highlight w:val="none"/>
              </w:rPr>
              <w:t>-</w:t>
            </w:r>
            <w:r>
              <w:rPr>
                <w:rFonts w:hint="eastAsia"/>
                <w:color w:val="auto"/>
                <w:highlight w:val="none"/>
                <w:lang w:val="en-US" w:eastAsia="zh-CN"/>
              </w:rPr>
              <w:t>4</w:t>
            </w:r>
            <w:r>
              <w:rPr>
                <w:color w:val="auto"/>
                <w:highlight w:val="none"/>
              </w:rPr>
              <w:t>-</w:t>
            </w:r>
            <w:r>
              <w:rPr>
                <w:rFonts w:hint="eastAsia"/>
                <w:color w:val="auto"/>
                <w:highlight w:val="none"/>
                <w:lang w:val="en-US" w:eastAsia="zh-CN"/>
              </w:rPr>
              <w:t>d</w:t>
            </w:r>
          </w:p>
        </w:tc>
        <w:tc>
          <w:tcPr>
            <w:tcW w:w="1277" w:type="dxa"/>
            <w:tcBorders>
              <w:tl2br w:val="nil"/>
              <w:tr2bl w:val="nil"/>
            </w:tcBorders>
            <w:vAlign w:val="center"/>
          </w:tcPr>
          <w:p>
            <w:pPr>
              <w:pStyle w:val="22"/>
              <w:bidi w:val="0"/>
              <w:rPr>
                <w:color w:val="auto"/>
                <w:highlight w:val="none"/>
              </w:rPr>
            </w:pPr>
            <w:r>
              <w:rPr>
                <w:rFonts w:hint="eastAsia"/>
                <w:color w:val="auto"/>
                <w:highlight w:val="none"/>
                <w:lang w:val="en-US" w:eastAsia="zh-CN"/>
              </w:rPr>
              <w:t>0.04</w:t>
            </w:r>
          </w:p>
        </w:tc>
        <w:tc>
          <w:tcPr>
            <w:tcW w:w="1277" w:type="dxa"/>
            <w:tcBorders>
              <w:tl2br w:val="nil"/>
              <w:tr2bl w:val="nil"/>
            </w:tcBorders>
            <w:vAlign w:val="center"/>
          </w:tcPr>
          <w:p>
            <w:pPr>
              <w:pStyle w:val="22"/>
              <w:bidi w:val="0"/>
              <w:rPr>
                <w:color w:val="auto"/>
                <w:highlight w:val="none"/>
              </w:rPr>
            </w:pPr>
            <w:r>
              <w:rPr>
                <w:rFonts w:hint="default"/>
                <w:color w:val="auto"/>
                <w:highlight w:val="none"/>
                <w:lang w:val="en-US" w:eastAsia="zh-CN"/>
              </w:rPr>
              <w:t>&lt;</w:t>
            </w:r>
            <w:r>
              <w:rPr>
                <w:rFonts w:hint="eastAsia"/>
                <w:color w:val="auto"/>
                <w:highlight w:val="none"/>
                <w:lang w:val="en-US" w:eastAsia="zh-CN"/>
              </w:rPr>
              <w:t>0.005</w:t>
            </w:r>
          </w:p>
        </w:tc>
        <w:tc>
          <w:tcPr>
            <w:tcW w:w="1277" w:type="dxa"/>
            <w:tcBorders>
              <w:tl2br w:val="nil"/>
              <w:tr2bl w:val="nil"/>
            </w:tcBorders>
            <w:vAlign w:val="center"/>
          </w:tcPr>
          <w:p>
            <w:pPr>
              <w:pStyle w:val="22"/>
              <w:bidi w:val="0"/>
              <w:jc w:val="center"/>
              <w:rPr>
                <w:color w:val="auto"/>
                <w:highlight w:val="none"/>
              </w:rPr>
            </w:pPr>
            <w:r>
              <w:rPr>
                <w:color w:val="auto"/>
                <w:highlight w:val="none"/>
              </w:rPr>
              <w:t>&lt;10</w:t>
            </w:r>
          </w:p>
        </w:tc>
        <w:tc>
          <w:tcPr>
            <w:tcW w:w="1280" w:type="dxa"/>
            <w:tcBorders>
              <w:tl2br w:val="nil"/>
              <w:tr2bl w:val="nil"/>
            </w:tcBorders>
            <w:vAlign w:val="center"/>
          </w:tcPr>
          <w:p>
            <w:pPr>
              <w:pStyle w:val="22"/>
              <w:bidi w:val="0"/>
              <w:rPr>
                <w:rFonts w:hint="default"/>
                <w:color w:val="auto"/>
                <w:highlight w:val="none"/>
                <w:lang w:val="en-US"/>
              </w:rPr>
            </w:pPr>
            <w:r>
              <w:rPr>
                <w:rFonts w:hint="eastAsia"/>
                <w:color w:val="auto"/>
                <w:highlight w:val="none"/>
                <w:lang w:val="en-US" w:eastAsia="zh-CN"/>
              </w:rPr>
              <w:t>0.66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auto"/>
              </w:rPr>
            </w:pPr>
          </w:p>
        </w:tc>
        <w:tc>
          <w:tcPr>
            <w:tcW w:w="1045" w:type="dxa"/>
            <w:vMerge w:val="restart"/>
            <w:tcBorders>
              <w:tl2br w:val="nil"/>
              <w:tr2bl w:val="nil"/>
            </w:tcBorders>
            <w:vAlign w:val="center"/>
          </w:tcPr>
          <w:p>
            <w:pPr>
              <w:pStyle w:val="22"/>
              <w:bidi w:val="0"/>
              <w:rPr>
                <w:color w:val="auto"/>
                <w:highlight w:val="none"/>
              </w:rPr>
            </w:pPr>
            <w:r>
              <w:rPr>
                <w:rFonts w:hint="eastAsia"/>
                <w:color w:val="auto"/>
                <w:highlight w:val="none"/>
                <w:lang w:val="en-US" w:eastAsia="zh-CN"/>
              </w:rPr>
              <w:t>2022年3月3日</w:t>
            </w:r>
          </w:p>
        </w:tc>
        <w:tc>
          <w:tcPr>
            <w:tcW w:w="1622" w:type="dxa"/>
            <w:tcBorders>
              <w:tl2br w:val="nil"/>
              <w:tr2bl w:val="nil"/>
            </w:tcBorders>
            <w:vAlign w:val="center"/>
          </w:tcPr>
          <w:p>
            <w:pPr>
              <w:pStyle w:val="22"/>
              <w:bidi w:val="0"/>
              <w:rPr>
                <w:color w:val="auto"/>
                <w:highlight w:val="none"/>
              </w:rPr>
            </w:pPr>
            <w:r>
              <w:rPr>
                <w:color w:val="auto"/>
                <w:highlight w:val="none"/>
              </w:rPr>
              <w:t>HQ-1#-</w:t>
            </w:r>
            <w:r>
              <w:rPr>
                <w:rFonts w:hint="eastAsia"/>
                <w:color w:val="auto"/>
                <w:highlight w:val="none"/>
                <w:lang w:val="en-US" w:eastAsia="zh-CN"/>
              </w:rPr>
              <w:t>3</w:t>
            </w:r>
            <w:r>
              <w:rPr>
                <w:color w:val="auto"/>
                <w:highlight w:val="none"/>
              </w:rPr>
              <w:t>-1-</w:t>
            </w:r>
            <w:r>
              <w:rPr>
                <w:rFonts w:hint="eastAsia"/>
                <w:color w:val="auto"/>
                <w:highlight w:val="none"/>
                <w:lang w:val="en-US" w:eastAsia="zh-CN"/>
              </w:rPr>
              <w:t>d</w:t>
            </w:r>
          </w:p>
        </w:tc>
        <w:tc>
          <w:tcPr>
            <w:tcW w:w="1277" w:type="dxa"/>
            <w:tcBorders>
              <w:tl2br w:val="nil"/>
              <w:tr2bl w:val="nil"/>
            </w:tcBorders>
            <w:vAlign w:val="center"/>
          </w:tcPr>
          <w:p>
            <w:pPr>
              <w:pStyle w:val="22"/>
              <w:bidi w:val="0"/>
              <w:rPr>
                <w:color w:val="auto"/>
                <w:highlight w:val="none"/>
              </w:rPr>
            </w:pPr>
            <w:r>
              <w:rPr>
                <w:rFonts w:hint="eastAsia"/>
                <w:color w:val="auto"/>
                <w:highlight w:val="none"/>
                <w:lang w:val="en-US" w:eastAsia="zh-CN"/>
              </w:rPr>
              <w:t>0.04</w:t>
            </w:r>
          </w:p>
        </w:tc>
        <w:tc>
          <w:tcPr>
            <w:tcW w:w="1277" w:type="dxa"/>
            <w:tcBorders>
              <w:tl2br w:val="nil"/>
              <w:tr2bl w:val="nil"/>
            </w:tcBorders>
            <w:vAlign w:val="center"/>
          </w:tcPr>
          <w:p>
            <w:pPr>
              <w:pStyle w:val="22"/>
              <w:bidi w:val="0"/>
              <w:rPr>
                <w:color w:val="auto"/>
                <w:highlight w:val="none"/>
              </w:rPr>
            </w:pPr>
            <w:r>
              <w:rPr>
                <w:rFonts w:hint="default"/>
                <w:color w:val="auto"/>
                <w:highlight w:val="none"/>
                <w:lang w:val="en-US" w:eastAsia="zh-CN"/>
              </w:rPr>
              <w:t>&lt;</w:t>
            </w:r>
            <w:r>
              <w:rPr>
                <w:rFonts w:hint="eastAsia"/>
                <w:color w:val="auto"/>
                <w:highlight w:val="none"/>
                <w:lang w:val="en-US" w:eastAsia="zh-CN"/>
              </w:rPr>
              <w:t>0.005</w:t>
            </w:r>
          </w:p>
        </w:tc>
        <w:tc>
          <w:tcPr>
            <w:tcW w:w="1277" w:type="dxa"/>
            <w:tcBorders>
              <w:tl2br w:val="nil"/>
              <w:tr2bl w:val="nil"/>
            </w:tcBorders>
            <w:vAlign w:val="center"/>
          </w:tcPr>
          <w:p>
            <w:pPr>
              <w:pStyle w:val="22"/>
              <w:bidi w:val="0"/>
              <w:jc w:val="center"/>
              <w:rPr>
                <w:color w:val="auto"/>
                <w:highlight w:val="none"/>
              </w:rPr>
            </w:pPr>
            <w:r>
              <w:rPr>
                <w:color w:val="auto"/>
                <w:highlight w:val="none"/>
              </w:rPr>
              <w:t>&lt;10</w:t>
            </w:r>
          </w:p>
        </w:tc>
        <w:tc>
          <w:tcPr>
            <w:tcW w:w="1280" w:type="dxa"/>
            <w:tcBorders>
              <w:tl2br w:val="nil"/>
              <w:tr2bl w:val="nil"/>
            </w:tcBorders>
            <w:vAlign w:val="center"/>
          </w:tcPr>
          <w:p>
            <w:pPr>
              <w:pStyle w:val="22"/>
              <w:bidi w:val="0"/>
              <w:rPr>
                <w:rFonts w:hint="default"/>
                <w:color w:val="auto"/>
                <w:highlight w:val="none"/>
                <w:lang w:val="en-US"/>
              </w:rPr>
            </w:pPr>
            <w:r>
              <w:rPr>
                <w:rFonts w:hint="eastAsia"/>
                <w:color w:val="auto"/>
                <w:highlight w:val="none"/>
                <w:lang w:val="en-US" w:eastAsia="zh-CN"/>
              </w:rPr>
              <w:t>0.68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899" w:type="dxa"/>
            <w:vMerge w:val="continue"/>
            <w:tcBorders>
              <w:tl2br w:val="nil"/>
              <w:tr2bl w:val="nil"/>
            </w:tcBorders>
            <w:vAlign w:val="center"/>
          </w:tcPr>
          <w:p>
            <w:pPr>
              <w:pStyle w:val="22"/>
              <w:bidi w:val="0"/>
              <w:jc w:val="center"/>
              <w:rPr>
                <w:color w:val="auto"/>
              </w:rPr>
            </w:pPr>
          </w:p>
        </w:tc>
        <w:tc>
          <w:tcPr>
            <w:tcW w:w="1045" w:type="dxa"/>
            <w:vMerge w:val="continue"/>
            <w:tcBorders>
              <w:tl2br w:val="nil"/>
              <w:tr2bl w:val="nil"/>
            </w:tcBorders>
            <w:vAlign w:val="center"/>
          </w:tcPr>
          <w:p>
            <w:pPr>
              <w:pStyle w:val="22"/>
              <w:bidi w:val="0"/>
              <w:rPr>
                <w:color w:val="auto"/>
                <w:highlight w:val="none"/>
              </w:rPr>
            </w:pPr>
          </w:p>
        </w:tc>
        <w:tc>
          <w:tcPr>
            <w:tcW w:w="1622" w:type="dxa"/>
            <w:tcBorders>
              <w:tl2br w:val="nil"/>
              <w:tr2bl w:val="nil"/>
            </w:tcBorders>
            <w:vAlign w:val="center"/>
          </w:tcPr>
          <w:p>
            <w:pPr>
              <w:pStyle w:val="22"/>
              <w:bidi w:val="0"/>
              <w:rPr>
                <w:color w:val="auto"/>
                <w:highlight w:val="none"/>
              </w:rPr>
            </w:pPr>
            <w:r>
              <w:rPr>
                <w:color w:val="auto"/>
                <w:highlight w:val="none"/>
              </w:rPr>
              <w:t>HQ-1#-</w:t>
            </w:r>
            <w:r>
              <w:rPr>
                <w:rFonts w:hint="eastAsia"/>
                <w:color w:val="auto"/>
                <w:highlight w:val="none"/>
                <w:lang w:val="en-US" w:eastAsia="zh-CN"/>
              </w:rPr>
              <w:t>3</w:t>
            </w:r>
            <w:r>
              <w:rPr>
                <w:color w:val="auto"/>
                <w:highlight w:val="none"/>
              </w:rPr>
              <w:t>-</w:t>
            </w:r>
            <w:r>
              <w:rPr>
                <w:rFonts w:hint="eastAsia"/>
                <w:color w:val="auto"/>
                <w:highlight w:val="none"/>
                <w:lang w:val="en-US" w:eastAsia="zh-CN"/>
              </w:rPr>
              <w:t>2</w:t>
            </w:r>
            <w:r>
              <w:rPr>
                <w:color w:val="auto"/>
                <w:highlight w:val="none"/>
              </w:rPr>
              <w:t>-</w:t>
            </w:r>
            <w:r>
              <w:rPr>
                <w:rFonts w:hint="eastAsia"/>
                <w:color w:val="auto"/>
                <w:highlight w:val="none"/>
                <w:lang w:val="en-US" w:eastAsia="zh-CN"/>
              </w:rPr>
              <w:t>d</w:t>
            </w:r>
          </w:p>
        </w:tc>
        <w:tc>
          <w:tcPr>
            <w:tcW w:w="1277" w:type="dxa"/>
            <w:tcBorders>
              <w:tl2br w:val="nil"/>
              <w:tr2bl w:val="nil"/>
            </w:tcBorders>
            <w:vAlign w:val="center"/>
          </w:tcPr>
          <w:p>
            <w:pPr>
              <w:pStyle w:val="22"/>
              <w:bidi w:val="0"/>
              <w:rPr>
                <w:color w:val="auto"/>
                <w:highlight w:val="none"/>
              </w:rPr>
            </w:pPr>
            <w:r>
              <w:rPr>
                <w:rFonts w:hint="eastAsia"/>
                <w:color w:val="auto"/>
                <w:highlight w:val="none"/>
                <w:lang w:val="en-US" w:eastAsia="zh-CN"/>
              </w:rPr>
              <w:t>0.05</w:t>
            </w:r>
          </w:p>
        </w:tc>
        <w:tc>
          <w:tcPr>
            <w:tcW w:w="1277" w:type="dxa"/>
            <w:tcBorders>
              <w:tl2br w:val="nil"/>
              <w:tr2bl w:val="nil"/>
            </w:tcBorders>
            <w:vAlign w:val="center"/>
          </w:tcPr>
          <w:p>
            <w:pPr>
              <w:pStyle w:val="22"/>
              <w:bidi w:val="0"/>
              <w:rPr>
                <w:color w:val="auto"/>
                <w:highlight w:val="none"/>
              </w:rPr>
            </w:pPr>
            <w:r>
              <w:rPr>
                <w:rFonts w:hint="default"/>
                <w:color w:val="auto"/>
                <w:highlight w:val="none"/>
                <w:lang w:val="en-US" w:eastAsia="zh-CN"/>
              </w:rPr>
              <w:t>&lt;</w:t>
            </w:r>
            <w:r>
              <w:rPr>
                <w:rFonts w:hint="eastAsia"/>
                <w:color w:val="auto"/>
                <w:highlight w:val="none"/>
                <w:lang w:val="en-US" w:eastAsia="zh-CN"/>
              </w:rPr>
              <w:t>0.005</w:t>
            </w:r>
          </w:p>
        </w:tc>
        <w:tc>
          <w:tcPr>
            <w:tcW w:w="1277" w:type="dxa"/>
            <w:tcBorders>
              <w:tl2br w:val="nil"/>
              <w:tr2bl w:val="nil"/>
            </w:tcBorders>
            <w:vAlign w:val="center"/>
          </w:tcPr>
          <w:p>
            <w:pPr>
              <w:pStyle w:val="22"/>
              <w:bidi w:val="0"/>
              <w:jc w:val="center"/>
              <w:rPr>
                <w:color w:val="auto"/>
                <w:highlight w:val="none"/>
              </w:rPr>
            </w:pPr>
            <w:r>
              <w:rPr>
                <w:color w:val="auto"/>
                <w:highlight w:val="none"/>
              </w:rPr>
              <w:t>&lt;10</w:t>
            </w:r>
          </w:p>
        </w:tc>
        <w:tc>
          <w:tcPr>
            <w:tcW w:w="1280" w:type="dxa"/>
            <w:tcBorders>
              <w:tl2br w:val="nil"/>
              <w:tr2bl w:val="nil"/>
            </w:tcBorders>
            <w:vAlign w:val="center"/>
          </w:tcPr>
          <w:p>
            <w:pPr>
              <w:pStyle w:val="22"/>
              <w:bidi w:val="0"/>
              <w:rPr>
                <w:rFonts w:hint="default"/>
                <w:color w:val="auto"/>
                <w:highlight w:val="none"/>
                <w:lang w:val="en-US"/>
              </w:rPr>
            </w:pPr>
            <w:r>
              <w:rPr>
                <w:rFonts w:hint="eastAsia"/>
                <w:color w:val="auto"/>
                <w:highlight w:val="none"/>
                <w:lang w:val="en-US" w:eastAsia="zh-CN"/>
              </w:rPr>
              <w:t>0.69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auto"/>
              </w:rPr>
            </w:pPr>
          </w:p>
        </w:tc>
        <w:tc>
          <w:tcPr>
            <w:tcW w:w="1045" w:type="dxa"/>
            <w:vMerge w:val="continue"/>
            <w:tcBorders>
              <w:tl2br w:val="nil"/>
              <w:tr2bl w:val="nil"/>
            </w:tcBorders>
            <w:vAlign w:val="center"/>
          </w:tcPr>
          <w:p>
            <w:pPr>
              <w:pStyle w:val="22"/>
              <w:bidi w:val="0"/>
              <w:rPr>
                <w:color w:val="auto"/>
                <w:highlight w:val="none"/>
              </w:rPr>
            </w:pPr>
          </w:p>
        </w:tc>
        <w:tc>
          <w:tcPr>
            <w:tcW w:w="1622" w:type="dxa"/>
            <w:tcBorders>
              <w:tl2br w:val="nil"/>
              <w:tr2bl w:val="nil"/>
            </w:tcBorders>
            <w:vAlign w:val="center"/>
          </w:tcPr>
          <w:p>
            <w:pPr>
              <w:pStyle w:val="22"/>
              <w:bidi w:val="0"/>
              <w:rPr>
                <w:color w:val="auto"/>
                <w:highlight w:val="none"/>
              </w:rPr>
            </w:pPr>
            <w:r>
              <w:rPr>
                <w:color w:val="auto"/>
                <w:highlight w:val="none"/>
              </w:rPr>
              <w:t>HQ-1#-</w:t>
            </w:r>
            <w:r>
              <w:rPr>
                <w:rFonts w:hint="eastAsia"/>
                <w:color w:val="auto"/>
                <w:highlight w:val="none"/>
                <w:lang w:val="en-US" w:eastAsia="zh-CN"/>
              </w:rPr>
              <w:t>3</w:t>
            </w:r>
            <w:r>
              <w:rPr>
                <w:color w:val="auto"/>
                <w:highlight w:val="none"/>
              </w:rPr>
              <w:t>-</w:t>
            </w:r>
            <w:r>
              <w:rPr>
                <w:rFonts w:hint="eastAsia"/>
                <w:color w:val="auto"/>
                <w:highlight w:val="none"/>
                <w:lang w:val="en-US" w:eastAsia="zh-CN"/>
              </w:rPr>
              <w:t>3</w:t>
            </w:r>
            <w:r>
              <w:rPr>
                <w:color w:val="auto"/>
                <w:highlight w:val="none"/>
              </w:rPr>
              <w:t>-</w:t>
            </w:r>
            <w:r>
              <w:rPr>
                <w:rFonts w:hint="eastAsia"/>
                <w:color w:val="auto"/>
                <w:highlight w:val="none"/>
                <w:lang w:val="en-US" w:eastAsia="zh-CN"/>
              </w:rPr>
              <w:t>d</w:t>
            </w:r>
          </w:p>
        </w:tc>
        <w:tc>
          <w:tcPr>
            <w:tcW w:w="1277" w:type="dxa"/>
            <w:tcBorders>
              <w:tl2br w:val="nil"/>
              <w:tr2bl w:val="nil"/>
            </w:tcBorders>
            <w:vAlign w:val="center"/>
          </w:tcPr>
          <w:p>
            <w:pPr>
              <w:pStyle w:val="22"/>
              <w:bidi w:val="0"/>
              <w:rPr>
                <w:color w:val="auto"/>
                <w:highlight w:val="none"/>
              </w:rPr>
            </w:pPr>
            <w:r>
              <w:rPr>
                <w:rFonts w:hint="eastAsia"/>
                <w:color w:val="auto"/>
                <w:highlight w:val="none"/>
                <w:lang w:val="en-US" w:eastAsia="zh-CN"/>
              </w:rPr>
              <w:t>0.05</w:t>
            </w:r>
          </w:p>
        </w:tc>
        <w:tc>
          <w:tcPr>
            <w:tcW w:w="1277" w:type="dxa"/>
            <w:tcBorders>
              <w:tl2br w:val="nil"/>
              <w:tr2bl w:val="nil"/>
            </w:tcBorders>
            <w:vAlign w:val="center"/>
          </w:tcPr>
          <w:p>
            <w:pPr>
              <w:pStyle w:val="22"/>
              <w:bidi w:val="0"/>
              <w:rPr>
                <w:color w:val="auto"/>
                <w:highlight w:val="none"/>
              </w:rPr>
            </w:pPr>
            <w:r>
              <w:rPr>
                <w:rFonts w:hint="default"/>
                <w:color w:val="auto"/>
                <w:highlight w:val="none"/>
                <w:lang w:val="en-US" w:eastAsia="zh-CN"/>
              </w:rPr>
              <w:t>&lt;</w:t>
            </w:r>
            <w:r>
              <w:rPr>
                <w:rFonts w:hint="eastAsia"/>
                <w:color w:val="auto"/>
                <w:highlight w:val="none"/>
                <w:lang w:val="en-US" w:eastAsia="zh-CN"/>
              </w:rPr>
              <w:t>0.005</w:t>
            </w:r>
          </w:p>
        </w:tc>
        <w:tc>
          <w:tcPr>
            <w:tcW w:w="1277" w:type="dxa"/>
            <w:tcBorders>
              <w:tl2br w:val="nil"/>
              <w:tr2bl w:val="nil"/>
            </w:tcBorders>
            <w:vAlign w:val="center"/>
          </w:tcPr>
          <w:p>
            <w:pPr>
              <w:pStyle w:val="22"/>
              <w:bidi w:val="0"/>
              <w:jc w:val="center"/>
              <w:rPr>
                <w:color w:val="auto"/>
                <w:highlight w:val="none"/>
              </w:rPr>
            </w:pPr>
            <w:r>
              <w:rPr>
                <w:color w:val="auto"/>
                <w:highlight w:val="none"/>
              </w:rPr>
              <w:t>&lt;10</w:t>
            </w:r>
          </w:p>
        </w:tc>
        <w:tc>
          <w:tcPr>
            <w:tcW w:w="1280" w:type="dxa"/>
            <w:tcBorders>
              <w:tl2br w:val="nil"/>
              <w:tr2bl w:val="nil"/>
            </w:tcBorders>
            <w:vAlign w:val="center"/>
          </w:tcPr>
          <w:p>
            <w:pPr>
              <w:pStyle w:val="22"/>
              <w:bidi w:val="0"/>
              <w:rPr>
                <w:rFonts w:hint="default"/>
                <w:color w:val="auto"/>
                <w:highlight w:val="none"/>
                <w:lang w:val="en-US"/>
              </w:rPr>
            </w:pPr>
            <w:r>
              <w:rPr>
                <w:rFonts w:hint="eastAsia"/>
                <w:color w:val="auto"/>
                <w:highlight w:val="none"/>
                <w:lang w:val="en-US" w:eastAsia="zh-CN"/>
              </w:rPr>
              <w:t>0.71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auto"/>
              </w:rPr>
            </w:pPr>
          </w:p>
        </w:tc>
        <w:tc>
          <w:tcPr>
            <w:tcW w:w="1045" w:type="dxa"/>
            <w:vMerge w:val="continue"/>
            <w:tcBorders>
              <w:tl2br w:val="nil"/>
              <w:tr2bl w:val="nil"/>
            </w:tcBorders>
            <w:vAlign w:val="center"/>
          </w:tcPr>
          <w:p>
            <w:pPr>
              <w:pStyle w:val="22"/>
              <w:bidi w:val="0"/>
              <w:rPr>
                <w:color w:val="auto"/>
                <w:highlight w:val="none"/>
              </w:rPr>
            </w:pPr>
          </w:p>
        </w:tc>
        <w:tc>
          <w:tcPr>
            <w:tcW w:w="1622" w:type="dxa"/>
            <w:tcBorders>
              <w:tl2br w:val="nil"/>
              <w:tr2bl w:val="nil"/>
            </w:tcBorders>
            <w:vAlign w:val="center"/>
          </w:tcPr>
          <w:p>
            <w:pPr>
              <w:pStyle w:val="22"/>
              <w:bidi w:val="0"/>
              <w:rPr>
                <w:color w:val="auto"/>
                <w:highlight w:val="none"/>
              </w:rPr>
            </w:pPr>
            <w:r>
              <w:rPr>
                <w:color w:val="auto"/>
                <w:highlight w:val="none"/>
              </w:rPr>
              <w:t>HQ-1#-</w:t>
            </w:r>
            <w:r>
              <w:rPr>
                <w:rFonts w:hint="eastAsia"/>
                <w:color w:val="auto"/>
                <w:highlight w:val="none"/>
                <w:lang w:val="en-US" w:eastAsia="zh-CN"/>
              </w:rPr>
              <w:t>3</w:t>
            </w:r>
            <w:r>
              <w:rPr>
                <w:color w:val="auto"/>
                <w:highlight w:val="none"/>
              </w:rPr>
              <w:t>-</w:t>
            </w:r>
            <w:r>
              <w:rPr>
                <w:rFonts w:hint="eastAsia"/>
                <w:color w:val="auto"/>
                <w:highlight w:val="none"/>
                <w:lang w:val="en-US" w:eastAsia="zh-CN"/>
              </w:rPr>
              <w:t>4</w:t>
            </w:r>
            <w:r>
              <w:rPr>
                <w:color w:val="auto"/>
                <w:highlight w:val="none"/>
              </w:rPr>
              <w:t>-</w:t>
            </w:r>
            <w:r>
              <w:rPr>
                <w:rFonts w:hint="eastAsia"/>
                <w:color w:val="auto"/>
                <w:highlight w:val="none"/>
                <w:lang w:val="en-US" w:eastAsia="zh-CN"/>
              </w:rPr>
              <w:t>d</w:t>
            </w:r>
          </w:p>
        </w:tc>
        <w:tc>
          <w:tcPr>
            <w:tcW w:w="1277" w:type="dxa"/>
            <w:tcBorders>
              <w:tl2br w:val="nil"/>
              <w:tr2bl w:val="nil"/>
            </w:tcBorders>
            <w:vAlign w:val="center"/>
          </w:tcPr>
          <w:p>
            <w:pPr>
              <w:pStyle w:val="22"/>
              <w:bidi w:val="0"/>
              <w:rPr>
                <w:color w:val="auto"/>
                <w:highlight w:val="none"/>
              </w:rPr>
            </w:pPr>
            <w:r>
              <w:rPr>
                <w:rFonts w:hint="eastAsia"/>
                <w:color w:val="auto"/>
                <w:highlight w:val="none"/>
                <w:lang w:val="en-US" w:eastAsia="zh-CN"/>
              </w:rPr>
              <w:t>0.04</w:t>
            </w:r>
          </w:p>
        </w:tc>
        <w:tc>
          <w:tcPr>
            <w:tcW w:w="1277" w:type="dxa"/>
            <w:tcBorders>
              <w:tl2br w:val="nil"/>
              <w:tr2bl w:val="nil"/>
            </w:tcBorders>
            <w:vAlign w:val="center"/>
          </w:tcPr>
          <w:p>
            <w:pPr>
              <w:pStyle w:val="22"/>
              <w:bidi w:val="0"/>
              <w:rPr>
                <w:color w:val="auto"/>
                <w:highlight w:val="none"/>
              </w:rPr>
            </w:pPr>
            <w:r>
              <w:rPr>
                <w:rFonts w:hint="default"/>
                <w:color w:val="auto"/>
                <w:highlight w:val="none"/>
                <w:lang w:val="en-US" w:eastAsia="zh-CN"/>
              </w:rPr>
              <w:t>&lt;</w:t>
            </w:r>
            <w:r>
              <w:rPr>
                <w:rFonts w:hint="eastAsia"/>
                <w:color w:val="auto"/>
                <w:highlight w:val="none"/>
                <w:lang w:val="en-US" w:eastAsia="zh-CN"/>
              </w:rPr>
              <w:t>0.005</w:t>
            </w:r>
          </w:p>
        </w:tc>
        <w:tc>
          <w:tcPr>
            <w:tcW w:w="1277" w:type="dxa"/>
            <w:tcBorders>
              <w:tl2br w:val="nil"/>
              <w:tr2bl w:val="nil"/>
            </w:tcBorders>
            <w:vAlign w:val="center"/>
          </w:tcPr>
          <w:p>
            <w:pPr>
              <w:pStyle w:val="22"/>
              <w:bidi w:val="0"/>
              <w:jc w:val="center"/>
              <w:rPr>
                <w:color w:val="auto"/>
                <w:highlight w:val="none"/>
              </w:rPr>
            </w:pPr>
            <w:r>
              <w:rPr>
                <w:color w:val="auto"/>
                <w:highlight w:val="none"/>
              </w:rPr>
              <w:t>&lt;10</w:t>
            </w:r>
          </w:p>
        </w:tc>
        <w:tc>
          <w:tcPr>
            <w:tcW w:w="1280" w:type="dxa"/>
            <w:tcBorders>
              <w:tl2br w:val="nil"/>
              <w:tr2bl w:val="nil"/>
            </w:tcBorders>
            <w:vAlign w:val="center"/>
          </w:tcPr>
          <w:p>
            <w:pPr>
              <w:pStyle w:val="22"/>
              <w:bidi w:val="0"/>
              <w:rPr>
                <w:rFonts w:hint="default"/>
                <w:color w:val="auto"/>
                <w:highlight w:val="none"/>
                <w:lang w:val="en-US"/>
              </w:rPr>
            </w:pPr>
            <w:r>
              <w:rPr>
                <w:rFonts w:hint="eastAsia"/>
                <w:color w:val="auto"/>
                <w:highlight w:val="none"/>
                <w:lang w:val="en-US" w:eastAsia="zh-CN"/>
              </w:rPr>
              <w:t>0.71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0" w:hRule="atLeast"/>
          <w:jc w:val="center"/>
        </w:trPr>
        <w:tc>
          <w:tcPr>
            <w:tcW w:w="899" w:type="dxa"/>
            <w:vMerge w:val="continue"/>
            <w:tcBorders>
              <w:tl2br w:val="nil"/>
              <w:tr2bl w:val="nil"/>
            </w:tcBorders>
            <w:vAlign w:val="center"/>
          </w:tcPr>
          <w:p>
            <w:pPr>
              <w:pStyle w:val="22"/>
              <w:bidi w:val="0"/>
              <w:jc w:val="center"/>
              <w:rPr>
                <w:color w:val="auto"/>
              </w:rPr>
            </w:pPr>
          </w:p>
        </w:tc>
        <w:tc>
          <w:tcPr>
            <w:tcW w:w="1045" w:type="dxa"/>
            <w:vMerge w:val="restart"/>
            <w:tcBorders>
              <w:tl2br w:val="nil"/>
              <w:tr2bl w:val="nil"/>
            </w:tcBorders>
            <w:vAlign w:val="center"/>
          </w:tcPr>
          <w:p>
            <w:pPr>
              <w:pStyle w:val="22"/>
              <w:bidi w:val="0"/>
              <w:rPr>
                <w:color w:val="auto"/>
                <w:highlight w:val="none"/>
              </w:rPr>
            </w:pPr>
            <w:r>
              <w:rPr>
                <w:rFonts w:hint="eastAsia"/>
                <w:color w:val="auto"/>
                <w:highlight w:val="none"/>
                <w:lang w:val="en-US" w:eastAsia="zh-CN"/>
              </w:rPr>
              <w:t>2022年3月4日</w:t>
            </w:r>
          </w:p>
        </w:tc>
        <w:tc>
          <w:tcPr>
            <w:tcW w:w="1622" w:type="dxa"/>
            <w:tcBorders>
              <w:tl2br w:val="nil"/>
              <w:tr2bl w:val="nil"/>
            </w:tcBorders>
            <w:vAlign w:val="center"/>
          </w:tcPr>
          <w:p>
            <w:pPr>
              <w:pStyle w:val="22"/>
              <w:bidi w:val="0"/>
              <w:rPr>
                <w:color w:val="auto"/>
                <w:highlight w:val="none"/>
              </w:rPr>
            </w:pPr>
            <w:r>
              <w:rPr>
                <w:color w:val="auto"/>
                <w:highlight w:val="none"/>
              </w:rPr>
              <w:t>HQ-1#-</w:t>
            </w:r>
            <w:r>
              <w:rPr>
                <w:rFonts w:hint="eastAsia"/>
                <w:color w:val="auto"/>
                <w:highlight w:val="none"/>
                <w:lang w:val="en-US" w:eastAsia="zh-CN"/>
              </w:rPr>
              <w:t>4</w:t>
            </w:r>
            <w:r>
              <w:rPr>
                <w:color w:val="auto"/>
                <w:highlight w:val="none"/>
              </w:rPr>
              <w:t>-1-</w:t>
            </w:r>
            <w:r>
              <w:rPr>
                <w:rFonts w:hint="eastAsia"/>
                <w:color w:val="auto"/>
                <w:highlight w:val="none"/>
                <w:lang w:val="en-US" w:eastAsia="zh-CN"/>
              </w:rPr>
              <w:t>d</w:t>
            </w:r>
          </w:p>
        </w:tc>
        <w:tc>
          <w:tcPr>
            <w:tcW w:w="1277" w:type="dxa"/>
            <w:tcBorders>
              <w:tl2br w:val="nil"/>
              <w:tr2bl w:val="nil"/>
            </w:tcBorders>
            <w:vAlign w:val="center"/>
          </w:tcPr>
          <w:p>
            <w:pPr>
              <w:pStyle w:val="22"/>
              <w:bidi w:val="0"/>
              <w:rPr>
                <w:color w:val="auto"/>
                <w:highlight w:val="none"/>
              </w:rPr>
            </w:pPr>
            <w:r>
              <w:rPr>
                <w:rFonts w:hint="eastAsia"/>
                <w:color w:val="auto"/>
                <w:highlight w:val="none"/>
                <w:lang w:val="en-US" w:eastAsia="zh-CN"/>
              </w:rPr>
              <w:t>0.05</w:t>
            </w:r>
          </w:p>
        </w:tc>
        <w:tc>
          <w:tcPr>
            <w:tcW w:w="1277" w:type="dxa"/>
            <w:tcBorders>
              <w:tl2br w:val="nil"/>
              <w:tr2bl w:val="nil"/>
            </w:tcBorders>
            <w:vAlign w:val="center"/>
          </w:tcPr>
          <w:p>
            <w:pPr>
              <w:pStyle w:val="22"/>
              <w:bidi w:val="0"/>
              <w:rPr>
                <w:color w:val="auto"/>
                <w:highlight w:val="none"/>
              </w:rPr>
            </w:pPr>
            <w:r>
              <w:rPr>
                <w:rFonts w:hint="default"/>
                <w:color w:val="auto"/>
                <w:highlight w:val="none"/>
                <w:lang w:val="en-US" w:eastAsia="zh-CN"/>
              </w:rPr>
              <w:t>&lt;</w:t>
            </w:r>
            <w:r>
              <w:rPr>
                <w:rFonts w:hint="eastAsia"/>
                <w:color w:val="auto"/>
                <w:highlight w:val="none"/>
                <w:lang w:val="en-US" w:eastAsia="zh-CN"/>
              </w:rPr>
              <w:t>0.005</w:t>
            </w:r>
          </w:p>
        </w:tc>
        <w:tc>
          <w:tcPr>
            <w:tcW w:w="1277" w:type="dxa"/>
            <w:tcBorders>
              <w:tl2br w:val="nil"/>
              <w:tr2bl w:val="nil"/>
            </w:tcBorders>
            <w:vAlign w:val="center"/>
          </w:tcPr>
          <w:p>
            <w:pPr>
              <w:pStyle w:val="22"/>
              <w:bidi w:val="0"/>
              <w:jc w:val="center"/>
              <w:rPr>
                <w:color w:val="auto"/>
                <w:highlight w:val="none"/>
              </w:rPr>
            </w:pPr>
            <w:r>
              <w:rPr>
                <w:color w:val="auto"/>
                <w:highlight w:val="none"/>
              </w:rPr>
              <w:t>&lt;10</w:t>
            </w:r>
          </w:p>
        </w:tc>
        <w:tc>
          <w:tcPr>
            <w:tcW w:w="1280" w:type="dxa"/>
            <w:tcBorders>
              <w:tl2br w:val="nil"/>
              <w:tr2bl w:val="nil"/>
            </w:tcBorders>
            <w:vAlign w:val="center"/>
          </w:tcPr>
          <w:p>
            <w:pPr>
              <w:pStyle w:val="22"/>
              <w:bidi w:val="0"/>
              <w:rPr>
                <w:rFonts w:hint="default"/>
                <w:color w:val="auto"/>
                <w:highlight w:val="none"/>
                <w:lang w:val="en-US"/>
              </w:rPr>
            </w:pPr>
            <w:r>
              <w:rPr>
                <w:rFonts w:hint="eastAsia"/>
                <w:color w:val="auto"/>
                <w:highlight w:val="none"/>
                <w:lang w:val="en-US" w:eastAsia="zh-CN"/>
              </w:rPr>
              <w:t>0.62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jc w:val="center"/>
        </w:trPr>
        <w:tc>
          <w:tcPr>
            <w:tcW w:w="899" w:type="dxa"/>
            <w:vMerge w:val="continue"/>
            <w:tcBorders>
              <w:tl2br w:val="nil"/>
              <w:tr2bl w:val="nil"/>
            </w:tcBorders>
            <w:vAlign w:val="center"/>
          </w:tcPr>
          <w:p>
            <w:pPr>
              <w:pStyle w:val="22"/>
              <w:bidi w:val="0"/>
              <w:jc w:val="center"/>
              <w:rPr>
                <w:color w:val="auto"/>
              </w:rPr>
            </w:pPr>
          </w:p>
        </w:tc>
        <w:tc>
          <w:tcPr>
            <w:tcW w:w="1045" w:type="dxa"/>
            <w:vMerge w:val="continue"/>
            <w:tcBorders>
              <w:tl2br w:val="nil"/>
              <w:tr2bl w:val="nil"/>
            </w:tcBorders>
            <w:vAlign w:val="center"/>
          </w:tcPr>
          <w:p>
            <w:pPr>
              <w:pStyle w:val="22"/>
              <w:bidi w:val="0"/>
              <w:rPr>
                <w:color w:val="auto"/>
                <w:highlight w:val="none"/>
              </w:rPr>
            </w:pPr>
          </w:p>
        </w:tc>
        <w:tc>
          <w:tcPr>
            <w:tcW w:w="1622" w:type="dxa"/>
            <w:tcBorders>
              <w:tl2br w:val="nil"/>
              <w:tr2bl w:val="nil"/>
            </w:tcBorders>
            <w:vAlign w:val="center"/>
          </w:tcPr>
          <w:p>
            <w:pPr>
              <w:pStyle w:val="22"/>
              <w:bidi w:val="0"/>
              <w:rPr>
                <w:color w:val="auto"/>
                <w:highlight w:val="none"/>
              </w:rPr>
            </w:pPr>
            <w:r>
              <w:rPr>
                <w:color w:val="auto"/>
                <w:highlight w:val="none"/>
              </w:rPr>
              <w:t>HQ-1#-</w:t>
            </w:r>
            <w:r>
              <w:rPr>
                <w:rFonts w:hint="eastAsia"/>
                <w:color w:val="auto"/>
                <w:highlight w:val="none"/>
                <w:lang w:val="en-US" w:eastAsia="zh-CN"/>
              </w:rPr>
              <w:t>4</w:t>
            </w:r>
            <w:r>
              <w:rPr>
                <w:color w:val="auto"/>
                <w:highlight w:val="none"/>
              </w:rPr>
              <w:t>-</w:t>
            </w:r>
            <w:r>
              <w:rPr>
                <w:rFonts w:hint="eastAsia"/>
                <w:color w:val="auto"/>
                <w:highlight w:val="none"/>
                <w:lang w:val="en-US" w:eastAsia="zh-CN"/>
              </w:rPr>
              <w:t>2</w:t>
            </w:r>
            <w:r>
              <w:rPr>
                <w:color w:val="auto"/>
                <w:highlight w:val="none"/>
              </w:rPr>
              <w:t>-</w:t>
            </w:r>
            <w:r>
              <w:rPr>
                <w:rFonts w:hint="eastAsia"/>
                <w:color w:val="auto"/>
                <w:highlight w:val="none"/>
                <w:lang w:val="en-US" w:eastAsia="zh-CN"/>
              </w:rPr>
              <w:t>d</w:t>
            </w:r>
          </w:p>
        </w:tc>
        <w:tc>
          <w:tcPr>
            <w:tcW w:w="1277" w:type="dxa"/>
            <w:tcBorders>
              <w:tl2br w:val="nil"/>
              <w:tr2bl w:val="nil"/>
            </w:tcBorders>
            <w:vAlign w:val="center"/>
          </w:tcPr>
          <w:p>
            <w:pPr>
              <w:pStyle w:val="22"/>
              <w:bidi w:val="0"/>
              <w:rPr>
                <w:color w:val="auto"/>
                <w:highlight w:val="none"/>
              </w:rPr>
            </w:pPr>
            <w:r>
              <w:rPr>
                <w:rFonts w:hint="eastAsia"/>
                <w:color w:val="auto"/>
                <w:highlight w:val="none"/>
                <w:lang w:val="en-US" w:eastAsia="zh-CN"/>
              </w:rPr>
              <w:t>0.05</w:t>
            </w:r>
          </w:p>
        </w:tc>
        <w:tc>
          <w:tcPr>
            <w:tcW w:w="1277" w:type="dxa"/>
            <w:tcBorders>
              <w:tl2br w:val="nil"/>
              <w:tr2bl w:val="nil"/>
            </w:tcBorders>
            <w:vAlign w:val="center"/>
          </w:tcPr>
          <w:p>
            <w:pPr>
              <w:pStyle w:val="22"/>
              <w:bidi w:val="0"/>
              <w:rPr>
                <w:color w:val="auto"/>
                <w:highlight w:val="none"/>
              </w:rPr>
            </w:pPr>
            <w:r>
              <w:rPr>
                <w:rFonts w:hint="default"/>
                <w:color w:val="auto"/>
                <w:highlight w:val="none"/>
                <w:lang w:val="en-US" w:eastAsia="zh-CN"/>
              </w:rPr>
              <w:t>&lt;</w:t>
            </w:r>
            <w:r>
              <w:rPr>
                <w:rFonts w:hint="eastAsia"/>
                <w:color w:val="auto"/>
                <w:highlight w:val="none"/>
                <w:lang w:val="en-US" w:eastAsia="zh-CN"/>
              </w:rPr>
              <w:t>0.005</w:t>
            </w:r>
          </w:p>
        </w:tc>
        <w:tc>
          <w:tcPr>
            <w:tcW w:w="1277" w:type="dxa"/>
            <w:tcBorders>
              <w:tl2br w:val="nil"/>
              <w:tr2bl w:val="nil"/>
            </w:tcBorders>
            <w:vAlign w:val="center"/>
          </w:tcPr>
          <w:p>
            <w:pPr>
              <w:pStyle w:val="22"/>
              <w:bidi w:val="0"/>
              <w:jc w:val="center"/>
              <w:rPr>
                <w:color w:val="auto"/>
                <w:highlight w:val="none"/>
              </w:rPr>
            </w:pPr>
            <w:r>
              <w:rPr>
                <w:color w:val="auto"/>
                <w:highlight w:val="none"/>
              </w:rPr>
              <w:t>&lt;10</w:t>
            </w:r>
          </w:p>
        </w:tc>
        <w:tc>
          <w:tcPr>
            <w:tcW w:w="1280" w:type="dxa"/>
            <w:tcBorders>
              <w:tl2br w:val="nil"/>
              <w:tr2bl w:val="nil"/>
            </w:tcBorders>
            <w:vAlign w:val="center"/>
          </w:tcPr>
          <w:p>
            <w:pPr>
              <w:pStyle w:val="22"/>
              <w:bidi w:val="0"/>
              <w:rPr>
                <w:rFonts w:hint="default"/>
                <w:color w:val="auto"/>
                <w:highlight w:val="none"/>
                <w:lang w:val="en-US"/>
              </w:rPr>
            </w:pPr>
            <w:r>
              <w:rPr>
                <w:rFonts w:hint="eastAsia"/>
                <w:color w:val="auto"/>
                <w:highlight w:val="none"/>
                <w:lang w:val="en-US" w:eastAsia="zh-CN"/>
              </w:rPr>
              <w:t>0.62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auto"/>
              </w:rPr>
            </w:pPr>
          </w:p>
        </w:tc>
        <w:tc>
          <w:tcPr>
            <w:tcW w:w="1045" w:type="dxa"/>
            <w:vMerge w:val="continue"/>
            <w:tcBorders>
              <w:tl2br w:val="nil"/>
              <w:tr2bl w:val="nil"/>
            </w:tcBorders>
            <w:vAlign w:val="center"/>
          </w:tcPr>
          <w:p>
            <w:pPr>
              <w:pStyle w:val="22"/>
              <w:bidi w:val="0"/>
              <w:rPr>
                <w:color w:val="auto"/>
                <w:highlight w:val="none"/>
              </w:rPr>
            </w:pPr>
          </w:p>
        </w:tc>
        <w:tc>
          <w:tcPr>
            <w:tcW w:w="1622" w:type="dxa"/>
            <w:tcBorders>
              <w:tl2br w:val="nil"/>
              <w:tr2bl w:val="nil"/>
            </w:tcBorders>
            <w:vAlign w:val="center"/>
          </w:tcPr>
          <w:p>
            <w:pPr>
              <w:pStyle w:val="22"/>
              <w:bidi w:val="0"/>
              <w:rPr>
                <w:color w:val="auto"/>
                <w:highlight w:val="none"/>
              </w:rPr>
            </w:pPr>
            <w:r>
              <w:rPr>
                <w:color w:val="auto"/>
                <w:highlight w:val="none"/>
              </w:rPr>
              <w:t>HQ-1#-</w:t>
            </w:r>
            <w:r>
              <w:rPr>
                <w:rFonts w:hint="eastAsia"/>
                <w:color w:val="auto"/>
                <w:highlight w:val="none"/>
                <w:lang w:val="en-US" w:eastAsia="zh-CN"/>
              </w:rPr>
              <w:t>4</w:t>
            </w:r>
            <w:r>
              <w:rPr>
                <w:color w:val="auto"/>
                <w:highlight w:val="none"/>
              </w:rPr>
              <w:t>-</w:t>
            </w:r>
            <w:r>
              <w:rPr>
                <w:rFonts w:hint="eastAsia"/>
                <w:color w:val="auto"/>
                <w:highlight w:val="none"/>
                <w:lang w:val="en-US" w:eastAsia="zh-CN"/>
              </w:rPr>
              <w:t>3</w:t>
            </w:r>
            <w:r>
              <w:rPr>
                <w:color w:val="auto"/>
                <w:highlight w:val="none"/>
              </w:rPr>
              <w:t>-</w:t>
            </w:r>
            <w:r>
              <w:rPr>
                <w:rFonts w:hint="eastAsia"/>
                <w:color w:val="auto"/>
                <w:highlight w:val="none"/>
                <w:lang w:val="en-US" w:eastAsia="zh-CN"/>
              </w:rPr>
              <w:t>d</w:t>
            </w:r>
          </w:p>
        </w:tc>
        <w:tc>
          <w:tcPr>
            <w:tcW w:w="1277" w:type="dxa"/>
            <w:tcBorders>
              <w:tl2br w:val="nil"/>
              <w:tr2bl w:val="nil"/>
            </w:tcBorders>
            <w:vAlign w:val="center"/>
          </w:tcPr>
          <w:p>
            <w:pPr>
              <w:pStyle w:val="22"/>
              <w:bidi w:val="0"/>
              <w:rPr>
                <w:color w:val="auto"/>
                <w:highlight w:val="none"/>
              </w:rPr>
            </w:pPr>
            <w:r>
              <w:rPr>
                <w:rFonts w:hint="eastAsia"/>
                <w:color w:val="auto"/>
                <w:highlight w:val="none"/>
                <w:lang w:val="en-US" w:eastAsia="zh-CN"/>
              </w:rPr>
              <w:t>0.04</w:t>
            </w:r>
          </w:p>
        </w:tc>
        <w:tc>
          <w:tcPr>
            <w:tcW w:w="1277" w:type="dxa"/>
            <w:tcBorders>
              <w:tl2br w:val="nil"/>
              <w:tr2bl w:val="nil"/>
            </w:tcBorders>
            <w:vAlign w:val="center"/>
          </w:tcPr>
          <w:p>
            <w:pPr>
              <w:pStyle w:val="22"/>
              <w:bidi w:val="0"/>
              <w:rPr>
                <w:color w:val="auto"/>
                <w:highlight w:val="none"/>
              </w:rPr>
            </w:pPr>
            <w:r>
              <w:rPr>
                <w:rFonts w:hint="default"/>
                <w:color w:val="auto"/>
                <w:highlight w:val="none"/>
                <w:lang w:val="en-US" w:eastAsia="zh-CN"/>
              </w:rPr>
              <w:t>&lt;</w:t>
            </w:r>
            <w:r>
              <w:rPr>
                <w:rFonts w:hint="eastAsia"/>
                <w:color w:val="auto"/>
                <w:highlight w:val="none"/>
                <w:lang w:val="en-US" w:eastAsia="zh-CN"/>
              </w:rPr>
              <w:t>0.005</w:t>
            </w:r>
          </w:p>
        </w:tc>
        <w:tc>
          <w:tcPr>
            <w:tcW w:w="1277" w:type="dxa"/>
            <w:tcBorders>
              <w:tl2br w:val="nil"/>
              <w:tr2bl w:val="nil"/>
            </w:tcBorders>
            <w:vAlign w:val="center"/>
          </w:tcPr>
          <w:p>
            <w:pPr>
              <w:pStyle w:val="22"/>
              <w:bidi w:val="0"/>
              <w:jc w:val="center"/>
              <w:rPr>
                <w:color w:val="auto"/>
                <w:highlight w:val="none"/>
              </w:rPr>
            </w:pPr>
            <w:r>
              <w:rPr>
                <w:color w:val="auto"/>
                <w:highlight w:val="none"/>
              </w:rPr>
              <w:t>&lt;10</w:t>
            </w:r>
          </w:p>
        </w:tc>
        <w:tc>
          <w:tcPr>
            <w:tcW w:w="1280" w:type="dxa"/>
            <w:tcBorders>
              <w:tl2br w:val="nil"/>
              <w:tr2bl w:val="nil"/>
            </w:tcBorders>
            <w:vAlign w:val="center"/>
          </w:tcPr>
          <w:p>
            <w:pPr>
              <w:pStyle w:val="22"/>
              <w:bidi w:val="0"/>
              <w:rPr>
                <w:rFonts w:hint="default"/>
                <w:color w:val="auto"/>
                <w:highlight w:val="none"/>
                <w:lang w:val="en-US"/>
              </w:rPr>
            </w:pPr>
            <w:r>
              <w:rPr>
                <w:rFonts w:hint="eastAsia"/>
                <w:color w:val="auto"/>
                <w:highlight w:val="none"/>
                <w:lang w:val="en-US" w:eastAsia="zh-CN"/>
              </w:rPr>
              <w:t>0.62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899" w:type="dxa"/>
            <w:vMerge w:val="continue"/>
            <w:tcBorders>
              <w:tl2br w:val="nil"/>
              <w:tr2bl w:val="nil"/>
            </w:tcBorders>
            <w:vAlign w:val="center"/>
          </w:tcPr>
          <w:p>
            <w:pPr>
              <w:pStyle w:val="22"/>
              <w:bidi w:val="0"/>
              <w:jc w:val="center"/>
              <w:rPr>
                <w:color w:val="auto"/>
              </w:rPr>
            </w:pPr>
          </w:p>
        </w:tc>
        <w:tc>
          <w:tcPr>
            <w:tcW w:w="1045" w:type="dxa"/>
            <w:vMerge w:val="continue"/>
            <w:tcBorders>
              <w:tl2br w:val="nil"/>
              <w:tr2bl w:val="nil"/>
            </w:tcBorders>
            <w:vAlign w:val="center"/>
          </w:tcPr>
          <w:p>
            <w:pPr>
              <w:pStyle w:val="22"/>
              <w:bidi w:val="0"/>
              <w:rPr>
                <w:color w:val="auto"/>
                <w:highlight w:val="none"/>
              </w:rPr>
            </w:pPr>
          </w:p>
        </w:tc>
        <w:tc>
          <w:tcPr>
            <w:tcW w:w="1622" w:type="dxa"/>
            <w:tcBorders>
              <w:tl2br w:val="nil"/>
              <w:tr2bl w:val="nil"/>
            </w:tcBorders>
            <w:vAlign w:val="center"/>
          </w:tcPr>
          <w:p>
            <w:pPr>
              <w:pStyle w:val="22"/>
              <w:bidi w:val="0"/>
              <w:rPr>
                <w:color w:val="auto"/>
                <w:highlight w:val="none"/>
              </w:rPr>
            </w:pPr>
            <w:r>
              <w:rPr>
                <w:color w:val="auto"/>
                <w:highlight w:val="none"/>
              </w:rPr>
              <w:t>HQ-1#-</w:t>
            </w:r>
            <w:r>
              <w:rPr>
                <w:rFonts w:hint="eastAsia"/>
                <w:color w:val="auto"/>
                <w:highlight w:val="none"/>
                <w:lang w:val="en-US" w:eastAsia="zh-CN"/>
              </w:rPr>
              <w:t>4</w:t>
            </w:r>
            <w:r>
              <w:rPr>
                <w:color w:val="auto"/>
                <w:highlight w:val="none"/>
              </w:rPr>
              <w:t>-</w:t>
            </w:r>
            <w:r>
              <w:rPr>
                <w:rFonts w:hint="eastAsia"/>
                <w:color w:val="auto"/>
                <w:highlight w:val="none"/>
                <w:lang w:val="en-US" w:eastAsia="zh-CN"/>
              </w:rPr>
              <w:t>4</w:t>
            </w:r>
            <w:r>
              <w:rPr>
                <w:color w:val="auto"/>
                <w:highlight w:val="none"/>
              </w:rPr>
              <w:t>-</w:t>
            </w:r>
            <w:r>
              <w:rPr>
                <w:rFonts w:hint="eastAsia"/>
                <w:color w:val="auto"/>
                <w:highlight w:val="none"/>
                <w:lang w:val="en-US" w:eastAsia="zh-CN"/>
              </w:rPr>
              <w:t>d</w:t>
            </w:r>
          </w:p>
        </w:tc>
        <w:tc>
          <w:tcPr>
            <w:tcW w:w="1277" w:type="dxa"/>
            <w:tcBorders>
              <w:tl2br w:val="nil"/>
              <w:tr2bl w:val="nil"/>
            </w:tcBorders>
            <w:vAlign w:val="center"/>
          </w:tcPr>
          <w:p>
            <w:pPr>
              <w:pStyle w:val="22"/>
              <w:bidi w:val="0"/>
              <w:rPr>
                <w:color w:val="auto"/>
                <w:highlight w:val="none"/>
              </w:rPr>
            </w:pPr>
            <w:r>
              <w:rPr>
                <w:rFonts w:hint="eastAsia"/>
                <w:color w:val="auto"/>
                <w:highlight w:val="none"/>
                <w:lang w:val="en-US" w:eastAsia="zh-CN"/>
              </w:rPr>
              <w:t>0.04</w:t>
            </w:r>
          </w:p>
        </w:tc>
        <w:tc>
          <w:tcPr>
            <w:tcW w:w="1277" w:type="dxa"/>
            <w:tcBorders>
              <w:tl2br w:val="nil"/>
              <w:tr2bl w:val="nil"/>
            </w:tcBorders>
            <w:vAlign w:val="center"/>
          </w:tcPr>
          <w:p>
            <w:pPr>
              <w:pStyle w:val="22"/>
              <w:bidi w:val="0"/>
              <w:rPr>
                <w:color w:val="auto"/>
                <w:highlight w:val="none"/>
              </w:rPr>
            </w:pPr>
            <w:r>
              <w:rPr>
                <w:rFonts w:hint="default"/>
                <w:color w:val="auto"/>
                <w:highlight w:val="none"/>
                <w:lang w:val="en-US" w:eastAsia="zh-CN"/>
              </w:rPr>
              <w:t>&lt;</w:t>
            </w:r>
            <w:r>
              <w:rPr>
                <w:rFonts w:hint="eastAsia"/>
                <w:color w:val="auto"/>
                <w:highlight w:val="none"/>
                <w:lang w:val="en-US" w:eastAsia="zh-CN"/>
              </w:rPr>
              <w:t>0.005</w:t>
            </w:r>
          </w:p>
        </w:tc>
        <w:tc>
          <w:tcPr>
            <w:tcW w:w="1277" w:type="dxa"/>
            <w:tcBorders>
              <w:tl2br w:val="nil"/>
              <w:tr2bl w:val="nil"/>
            </w:tcBorders>
            <w:vAlign w:val="center"/>
          </w:tcPr>
          <w:p>
            <w:pPr>
              <w:pStyle w:val="22"/>
              <w:bidi w:val="0"/>
              <w:jc w:val="center"/>
              <w:rPr>
                <w:color w:val="auto"/>
                <w:highlight w:val="none"/>
              </w:rPr>
            </w:pPr>
            <w:r>
              <w:rPr>
                <w:color w:val="auto"/>
                <w:highlight w:val="none"/>
              </w:rPr>
              <w:t>&lt;10</w:t>
            </w:r>
          </w:p>
        </w:tc>
        <w:tc>
          <w:tcPr>
            <w:tcW w:w="1280" w:type="dxa"/>
            <w:tcBorders>
              <w:tl2br w:val="nil"/>
              <w:tr2bl w:val="nil"/>
            </w:tcBorders>
            <w:vAlign w:val="center"/>
          </w:tcPr>
          <w:p>
            <w:pPr>
              <w:pStyle w:val="22"/>
              <w:bidi w:val="0"/>
              <w:rPr>
                <w:rFonts w:hint="default"/>
                <w:color w:val="auto"/>
                <w:highlight w:val="none"/>
                <w:lang w:val="en-US"/>
              </w:rPr>
            </w:pPr>
            <w:r>
              <w:rPr>
                <w:rFonts w:hint="eastAsia"/>
                <w:color w:val="auto"/>
                <w:highlight w:val="none"/>
                <w:lang w:val="en-US" w:eastAsia="zh-CN"/>
              </w:rPr>
              <w:t>0.61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auto"/>
              </w:rPr>
            </w:pPr>
          </w:p>
        </w:tc>
        <w:tc>
          <w:tcPr>
            <w:tcW w:w="1045" w:type="dxa"/>
            <w:vMerge w:val="restart"/>
            <w:tcBorders>
              <w:tl2br w:val="nil"/>
              <w:tr2bl w:val="nil"/>
            </w:tcBorders>
            <w:vAlign w:val="center"/>
          </w:tcPr>
          <w:p>
            <w:pPr>
              <w:pStyle w:val="22"/>
              <w:bidi w:val="0"/>
              <w:rPr>
                <w:color w:val="auto"/>
                <w:highlight w:val="none"/>
              </w:rPr>
            </w:pPr>
            <w:r>
              <w:rPr>
                <w:rFonts w:hint="eastAsia"/>
                <w:color w:val="auto"/>
                <w:highlight w:val="none"/>
                <w:lang w:val="en-US" w:eastAsia="zh-CN"/>
              </w:rPr>
              <w:t>2022年3月5日</w:t>
            </w:r>
          </w:p>
        </w:tc>
        <w:tc>
          <w:tcPr>
            <w:tcW w:w="1622" w:type="dxa"/>
            <w:tcBorders>
              <w:tl2br w:val="nil"/>
              <w:tr2bl w:val="nil"/>
            </w:tcBorders>
            <w:vAlign w:val="center"/>
          </w:tcPr>
          <w:p>
            <w:pPr>
              <w:pStyle w:val="22"/>
              <w:bidi w:val="0"/>
              <w:rPr>
                <w:color w:val="auto"/>
                <w:highlight w:val="none"/>
              </w:rPr>
            </w:pPr>
            <w:r>
              <w:rPr>
                <w:color w:val="auto"/>
                <w:highlight w:val="none"/>
              </w:rPr>
              <w:t>HQ-1#-</w:t>
            </w:r>
            <w:r>
              <w:rPr>
                <w:rFonts w:hint="eastAsia"/>
                <w:color w:val="auto"/>
                <w:highlight w:val="none"/>
                <w:lang w:val="en-US" w:eastAsia="zh-CN"/>
              </w:rPr>
              <w:t>5</w:t>
            </w:r>
            <w:r>
              <w:rPr>
                <w:color w:val="auto"/>
                <w:highlight w:val="none"/>
              </w:rPr>
              <w:t>-1-</w:t>
            </w:r>
            <w:r>
              <w:rPr>
                <w:rFonts w:hint="eastAsia"/>
                <w:color w:val="auto"/>
                <w:highlight w:val="none"/>
                <w:lang w:val="en-US" w:eastAsia="zh-CN"/>
              </w:rPr>
              <w:t>d</w:t>
            </w:r>
          </w:p>
        </w:tc>
        <w:tc>
          <w:tcPr>
            <w:tcW w:w="1277" w:type="dxa"/>
            <w:tcBorders>
              <w:tl2br w:val="nil"/>
              <w:tr2bl w:val="nil"/>
            </w:tcBorders>
            <w:vAlign w:val="center"/>
          </w:tcPr>
          <w:p>
            <w:pPr>
              <w:pStyle w:val="22"/>
              <w:bidi w:val="0"/>
              <w:rPr>
                <w:color w:val="auto"/>
                <w:highlight w:val="none"/>
              </w:rPr>
            </w:pPr>
            <w:r>
              <w:rPr>
                <w:rFonts w:hint="eastAsia"/>
                <w:color w:val="auto"/>
                <w:highlight w:val="none"/>
                <w:lang w:val="en-US" w:eastAsia="zh-CN"/>
              </w:rPr>
              <w:t>0.05</w:t>
            </w:r>
          </w:p>
        </w:tc>
        <w:tc>
          <w:tcPr>
            <w:tcW w:w="1277" w:type="dxa"/>
            <w:tcBorders>
              <w:tl2br w:val="nil"/>
              <w:tr2bl w:val="nil"/>
            </w:tcBorders>
            <w:vAlign w:val="center"/>
          </w:tcPr>
          <w:p>
            <w:pPr>
              <w:pStyle w:val="22"/>
              <w:bidi w:val="0"/>
              <w:rPr>
                <w:color w:val="auto"/>
                <w:highlight w:val="none"/>
              </w:rPr>
            </w:pPr>
            <w:r>
              <w:rPr>
                <w:rFonts w:hint="default"/>
                <w:color w:val="auto"/>
                <w:highlight w:val="none"/>
                <w:lang w:val="en-US" w:eastAsia="zh-CN"/>
              </w:rPr>
              <w:t>&lt;</w:t>
            </w:r>
            <w:r>
              <w:rPr>
                <w:rFonts w:hint="eastAsia"/>
                <w:color w:val="auto"/>
                <w:highlight w:val="none"/>
                <w:lang w:val="en-US" w:eastAsia="zh-CN"/>
              </w:rPr>
              <w:t>0.005</w:t>
            </w:r>
          </w:p>
        </w:tc>
        <w:tc>
          <w:tcPr>
            <w:tcW w:w="1277" w:type="dxa"/>
            <w:tcBorders>
              <w:tl2br w:val="nil"/>
              <w:tr2bl w:val="nil"/>
            </w:tcBorders>
            <w:vAlign w:val="center"/>
          </w:tcPr>
          <w:p>
            <w:pPr>
              <w:pStyle w:val="22"/>
              <w:bidi w:val="0"/>
              <w:jc w:val="center"/>
              <w:rPr>
                <w:color w:val="auto"/>
                <w:highlight w:val="none"/>
              </w:rPr>
            </w:pPr>
            <w:r>
              <w:rPr>
                <w:color w:val="auto"/>
                <w:highlight w:val="none"/>
              </w:rPr>
              <w:t>&lt;10</w:t>
            </w:r>
          </w:p>
        </w:tc>
        <w:tc>
          <w:tcPr>
            <w:tcW w:w="1280" w:type="dxa"/>
            <w:tcBorders>
              <w:tl2br w:val="nil"/>
              <w:tr2bl w:val="nil"/>
            </w:tcBorders>
            <w:vAlign w:val="center"/>
          </w:tcPr>
          <w:p>
            <w:pPr>
              <w:pStyle w:val="22"/>
              <w:bidi w:val="0"/>
              <w:rPr>
                <w:rFonts w:hint="default"/>
                <w:color w:val="auto"/>
                <w:highlight w:val="none"/>
                <w:lang w:val="en-US"/>
              </w:rPr>
            </w:pPr>
            <w:r>
              <w:rPr>
                <w:rFonts w:hint="eastAsia"/>
                <w:color w:val="auto"/>
                <w:highlight w:val="none"/>
                <w:lang w:val="en-US" w:eastAsia="zh-CN"/>
              </w:rPr>
              <w:t>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899" w:type="dxa"/>
            <w:vMerge w:val="continue"/>
            <w:tcBorders>
              <w:tl2br w:val="nil"/>
              <w:tr2bl w:val="nil"/>
            </w:tcBorders>
            <w:vAlign w:val="center"/>
          </w:tcPr>
          <w:p>
            <w:pPr>
              <w:pStyle w:val="22"/>
              <w:bidi w:val="0"/>
              <w:jc w:val="center"/>
              <w:rPr>
                <w:color w:val="auto"/>
              </w:rPr>
            </w:pPr>
          </w:p>
        </w:tc>
        <w:tc>
          <w:tcPr>
            <w:tcW w:w="1045" w:type="dxa"/>
            <w:vMerge w:val="continue"/>
            <w:tcBorders>
              <w:tl2br w:val="nil"/>
              <w:tr2bl w:val="nil"/>
            </w:tcBorders>
            <w:vAlign w:val="center"/>
          </w:tcPr>
          <w:p>
            <w:pPr>
              <w:pStyle w:val="22"/>
              <w:bidi w:val="0"/>
              <w:rPr>
                <w:color w:val="auto"/>
                <w:highlight w:val="none"/>
              </w:rPr>
            </w:pPr>
          </w:p>
        </w:tc>
        <w:tc>
          <w:tcPr>
            <w:tcW w:w="1622" w:type="dxa"/>
            <w:tcBorders>
              <w:tl2br w:val="nil"/>
              <w:tr2bl w:val="nil"/>
            </w:tcBorders>
            <w:vAlign w:val="center"/>
          </w:tcPr>
          <w:p>
            <w:pPr>
              <w:pStyle w:val="22"/>
              <w:bidi w:val="0"/>
              <w:rPr>
                <w:color w:val="auto"/>
                <w:highlight w:val="none"/>
              </w:rPr>
            </w:pPr>
            <w:r>
              <w:rPr>
                <w:color w:val="auto"/>
                <w:highlight w:val="none"/>
              </w:rPr>
              <w:t>HQ-1#-</w:t>
            </w:r>
            <w:r>
              <w:rPr>
                <w:rFonts w:hint="eastAsia"/>
                <w:color w:val="auto"/>
                <w:highlight w:val="none"/>
                <w:lang w:val="en-US" w:eastAsia="zh-CN"/>
              </w:rPr>
              <w:t>5</w:t>
            </w:r>
            <w:r>
              <w:rPr>
                <w:color w:val="auto"/>
                <w:highlight w:val="none"/>
              </w:rPr>
              <w:t>-</w:t>
            </w:r>
            <w:r>
              <w:rPr>
                <w:rFonts w:hint="eastAsia"/>
                <w:color w:val="auto"/>
                <w:highlight w:val="none"/>
                <w:lang w:val="en-US" w:eastAsia="zh-CN"/>
              </w:rPr>
              <w:t>2</w:t>
            </w:r>
            <w:r>
              <w:rPr>
                <w:color w:val="auto"/>
                <w:highlight w:val="none"/>
              </w:rPr>
              <w:t>-</w:t>
            </w:r>
            <w:r>
              <w:rPr>
                <w:rFonts w:hint="eastAsia"/>
                <w:color w:val="auto"/>
                <w:highlight w:val="none"/>
                <w:lang w:val="en-US" w:eastAsia="zh-CN"/>
              </w:rPr>
              <w:t>d</w:t>
            </w:r>
          </w:p>
        </w:tc>
        <w:tc>
          <w:tcPr>
            <w:tcW w:w="1277" w:type="dxa"/>
            <w:tcBorders>
              <w:tl2br w:val="nil"/>
              <w:tr2bl w:val="nil"/>
            </w:tcBorders>
            <w:vAlign w:val="center"/>
          </w:tcPr>
          <w:p>
            <w:pPr>
              <w:pStyle w:val="22"/>
              <w:bidi w:val="0"/>
              <w:rPr>
                <w:color w:val="auto"/>
                <w:highlight w:val="none"/>
              </w:rPr>
            </w:pPr>
            <w:r>
              <w:rPr>
                <w:rFonts w:hint="eastAsia"/>
                <w:color w:val="auto"/>
                <w:highlight w:val="none"/>
                <w:lang w:val="en-US" w:eastAsia="zh-CN"/>
              </w:rPr>
              <w:t>0.04</w:t>
            </w:r>
          </w:p>
        </w:tc>
        <w:tc>
          <w:tcPr>
            <w:tcW w:w="1277" w:type="dxa"/>
            <w:tcBorders>
              <w:tl2br w:val="nil"/>
              <w:tr2bl w:val="nil"/>
            </w:tcBorders>
            <w:vAlign w:val="center"/>
          </w:tcPr>
          <w:p>
            <w:pPr>
              <w:pStyle w:val="22"/>
              <w:bidi w:val="0"/>
              <w:rPr>
                <w:color w:val="auto"/>
                <w:highlight w:val="none"/>
              </w:rPr>
            </w:pPr>
            <w:r>
              <w:rPr>
                <w:rFonts w:hint="default"/>
                <w:color w:val="auto"/>
                <w:highlight w:val="none"/>
                <w:lang w:val="en-US" w:eastAsia="zh-CN"/>
              </w:rPr>
              <w:t>&lt;</w:t>
            </w:r>
            <w:r>
              <w:rPr>
                <w:rFonts w:hint="eastAsia"/>
                <w:color w:val="auto"/>
                <w:highlight w:val="none"/>
                <w:lang w:val="en-US" w:eastAsia="zh-CN"/>
              </w:rPr>
              <w:t>0.005</w:t>
            </w:r>
          </w:p>
        </w:tc>
        <w:tc>
          <w:tcPr>
            <w:tcW w:w="1277" w:type="dxa"/>
            <w:tcBorders>
              <w:tl2br w:val="nil"/>
              <w:tr2bl w:val="nil"/>
            </w:tcBorders>
            <w:vAlign w:val="center"/>
          </w:tcPr>
          <w:p>
            <w:pPr>
              <w:pStyle w:val="22"/>
              <w:bidi w:val="0"/>
              <w:jc w:val="center"/>
              <w:rPr>
                <w:color w:val="auto"/>
                <w:highlight w:val="none"/>
              </w:rPr>
            </w:pPr>
            <w:r>
              <w:rPr>
                <w:color w:val="auto"/>
                <w:highlight w:val="none"/>
              </w:rPr>
              <w:t>&lt;10</w:t>
            </w:r>
          </w:p>
        </w:tc>
        <w:tc>
          <w:tcPr>
            <w:tcW w:w="1280" w:type="dxa"/>
            <w:tcBorders>
              <w:tl2br w:val="nil"/>
              <w:tr2bl w:val="nil"/>
            </w:tcBorders>
            <w:vAlign w:val="center"/>
          </w:tcPr>
          <w:p>
            <w:pPr>
              <w:pStyle w:val="22"/>
              <w:bidi w:val="0"/>
              <w:rPr>
                <w:rFonts w:hint="default"/>
                <w:color w:val="auto"/>
                <w:highlight w:val="none"/>
                <w:lang w:val="en-US"/>
              </w:rPr>
            </w:pPr>
            <w:r>
              <w:rPr>
                <w:rFonts w:hint="eastAsia"/>
                <w:color w:val="auto"/>
                <w:highlight w:val="none"/>
                <w:lang w:val="en-US" w:eastAsia="zh-CN"/>
              </w:rPr>
              <w:t>0.81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auto"/>
              </w:rPr>
            </w:pPr>
          </w:p>
        </w:tc>
        <w:tc>
          <w:tcPr>
            <w:tcW w:w="1045" w:type="dxa"/>
            <w:vMerge w:val="continue"/>
            <w:tcBorders>
              <w:tl2br w:val="nil"/>
              <w:tr2bl w:val="nil"/>
            </w:tcBorders>
            <w:vAlign w:val="center"/>
          </w:tcPr>
          <w:p>
            <w:pPr>
              <w:pStyle w:val="22"/>
              <w:bidi w:val="0"/>
              <w:rPr>
                <w:color w:val="auto"/>
                <w:highlight w:val="none"/>
              </w:rPr>
            </w:pPr>
          </w:p>
        </w:tc>
        <w:tc>
          <w:tcPr>
            <w:tcW w:w="1622" w:type="dxa"/>
            <w:tcBorders>
              <w:tl2br w:val="nil"/>
              <w:tr2bl w:val="nil"/>
            </w:tcBorders>
            <w:vAlign w:val="center"/>
          </w:tcPr>
          <w:p>
            <w:pPr>
              <w:pStyle w:val="22"/>
              <w:bidi w:val="0"/>
              <w:rPr>
                <w:color w:val="auto"/>
                <w:highlight w:val="none"/>
              </w:rPr>
            </w:pPr>
            <w:r>
              <w:rPr>
                <w:color w:val="auto"/>
                <w:highlight w:val="none"/>
              </w:rPr>
              <w:t>HQ-1#-</w:t>
            </w:r>
            <w:r>
              <w:rPr>
                <w:rFonts w:hint="eastAsia"/>
                <w:color w:val="auto"/>
                <w:highlight w:val="none"/>
                <w:lang w:val="en-US" w:eastAsia="zh-CN"/>
              </w:rPr>
              <w:t>5</w:t>
            </w:r>
            <w:r>
              <w:rPr>
                <w:color w:val="auto"/>
                <w:highlight w:val="none"/>
              </w:rPr>
              <w:t>-</w:t>
            </w:r>
            <w:r>
              <w:rPr>
                <w:rFonts w:hint="eastAsia"/>
                <w:color w:val="auto"/>
                <w:highlight w:val="none"/>
                <w:lang w:val="en-US" w:eastAsia="zh-CN"/>
              </w:rPr>
              <w:t>3</w:t>
            </w:r>
            <w:r>
              <w:rPr>
                <w:color w:val="auto"/>
                <w:highlight w:val="none"/>
              </w:rPr>
              <w:t>-</w:t>
            </w:r>
            <w:r>
              <w:rPr>
                <w:rFonts w:hint="eastAsia"/>
                <w:color w:val="auto"/>
                <w:highlight w:val="none"/>
                <w:lang w:val="en-US" w:eastAsia="zh-CN"/>
              </w:rPr>
              <w:t>d</w:t>
            </w:r>
          </w:p>
        </w:tc>
        <w:tc>
          <w:tcPr>
            <w:tcW w:w="1277" w:type="dxa"/>
            <w:tcBorders>
              <w:tl2br w:val="nil"/>
              <w:tr2bl w:val="nil"/>
            </w:tcBorders>
            <w:vAlign w:val="center"/>
          </w:tcPr>
          <w:p>
            <w:pPr>
              <w:pStyle w:val="22"/>
              <w:bidi w:val="0"/>
              <w:rPr>
                <w:color w:val="auto"/>
                <w:highlight w:val="none"/>
              </w:rPr>
            </w:pPr>
            <w:r>
              <w:rPr>
                <w:rFonts w:hint="eastAsia"/>
                <w:color w:val="auto"/>
                <w:highlight w:val="none"/>
                <w:lang w:val="en-US" w:eastAsia="zh-CN"/>
              </w:rPr>
              <w:t>0.05</w:t>
            </w:r>
          </w:p>
        </w:tc>
        <w:tc>
          <w:tcPr>
            <w:tcW w:w="1277" w:type="dxa"/>
            <w:tcBorders>
              <w:tl2br w:val="nil"/>
              <w:tr2bl w:val="nil"/>
            </w:tcBorders>
            <w:vAlign w:val="center"/>
          </w:tcPr>
          <w:p>
            <w:pPr>
              <w:pStyle w:val="22"/>
              <w:bidi w:val="0"/>
              <w:rPr>
                <w:color w:val="auto"/>
                <w:highlight w:val="none"/>
              </w:rPr>
            </w:pPr>
            <w:r>
              <w:rPr>
                <w:rFonts w:hint="default"/>
                <w:color w:val="auto"/>
                <w:highlight w:val="none"/>
                <w:lang w:val="en-US" w:eastAsia="zh-CN"/>
              </w:rPr>
              <w:t>&lt;</w:t>
            </w:r>
            <w:r>
              <w:rPr>
                <w:rFonts w:hint="eastAsia"/>
                <w:color w:val="auto"/>
                <w:highlight w:val="none"/>
                <w:lang w:val="en-US" w:eastAsia="zh-CN"/>
              </w:rPr>
              <w:t>0.005</w:t>
            </w:r>
          </w:p>
        </w:tc>
        <w:tc>
          <w:tcPr>
            <w:tcW w:w="1277" w:type="dxa"/>
            <w:tcBorders>
              <w:tl2br w:val="nil"/>
              <w:tr2bl w:val="nil"/>
            </w:tcBorders>
            <w:vAlign w:val="center"/>
          </w:tcPr>
          <w:p>
            <w:pPr>
              <w:pStyle w:val="22"/>
              <w:bidi w:val="0"/>
              <w:jc w:val="center"/>
              <w:rPr>
                <w:color w:val="auto"/>
                <w:highlight w:val="none"/>
              </w:rPr>
            </w:pPr>
            <w:r>
              <w:rPr>
                <w:color w:val="auto"/>
                <w:highlight w:val="none"/>
              </w:rPr>
              <w:t>&lt;10</w:t>
            </w:r>
          </w:p>
        </w:tc>
        <w:tc>
          <w:tcPr>
            <w:tcW w:w="1280" w:type="dxa"/>
            <w:tcBorders>
              <w:tl2br w:val="nil"/>
              <w:tr2bl w:val="nil"/>
            </w:tcBorders>
            <w:vAlign w:val="center"/>
          </w:tcPr>
          <w:p>
            <w:pPr>
              <w:pStyle w:val="22"/>
              <w:bidi w:val="0"/>
              <w:rPr>
                <w:rFonts w:hint="default"/>
                <w:color w:val="auto"/>
                <w:highlight w:val="none"/>
                <w:lang w:val="en-US"/>
              </w:rPr>
            </w:pPr>
            <w:r>
              <w:rPr>
                <w:rFonts w:hint="eastAsia"/>
                <w:color w:val="auto"/>
                <w:highlight w:val="none"/>
                <w:lang w:val="en-US" w:eastAsia="zh-CN"/>
              </w:rPr>
              <w:t>0.83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auto"/>
              </w:rPr>
            </w:pPr>
          </w:p>
        </w:tc>
        <w:tc>
          <w:tcPr>
            <w:tcW w:w="1045" w:type="dxa"/>
            <w:vMerge w:val="continue"/>
            <w:tcBorders>
              <w:tl2br w:val="nil"/>
              <w:tr2bl w:val="nil"/>
            </w:tcBorders>
            <w:vAlign w:val="center"/>
          </w:tcPr>
          <w:p>
            <w:pPr>
              <w:pStyle w:val="22"/>
              <w:bidi w:val="0"/>
              <w:rPr>
                <w:color w:val="auto"/>
                <w:highlight w:val="none"/>
              </w:rPr>
            </w:pPr>
          </w:p>
        </w:tc>
        <w:tc>
          <w:tcPr>
            <w:tcW w:w="1622" w:type="dxa"/>
            <w:tcBorders>
              <w:tl2br w:val="nil"/>
              <w:tr2bl w:val="nil"/>
            </w:tcBorders>
            <w:vAlign w:val="center"/>
          </w:tcPr>
          <w:p>
            <w:pPr>
              <w:pStyle w:val="22"/>
              <w:bidi w:val="0"/>
              <w:rPr>
                <w:color w:val="auto"/>
                <w:highlight w:val="none"/>
              </w:rPr>
            </w:pPr>
            <w:r>
              <w:rPr>
                <w:color w:val="auto"/>
                <w:highlight w:val="none"/>
              </w:rPr>
              <w:t>HQ-1#-</w:t>
            </w:r>
            <w:r>
              <w:rPr>
                <w:rFonts w:hint="eastAsia"/>
                <w:color w:val="auto"/>
                <w:highlight w:val="none"/>
                <w:lang w:val="en-US" w:eastAsia="zh-CN"/>
              </w:rPr>
              <w:t>5</w:t>
            </w:r>
            <w:r>
              <w:rPr>
                <w:color w:val="auto"/>
                <w:highlight w:val="none"/>
              </w:rPr>
              <w:t>-</w:t>
            </w:r>
            <w:r>
              <w:rPr>
                <w:rFonts w:hint="eastAsia"/>
                <w:color w:val="auto"/>
                <w:highlight w:val="none"/>
                <w:lang w:val="en-US" w:eastAsia="zh-CN"/>
              </w:rPr>
              <w:t>4</w:t>
            </w:r>
            <w:r>
              <w:rPr>
                <w:color w:val="auto"/>
                <w:highlight w:val="none"/>
              </w:rPr>
              <w:t>-</w:t>
            </w:r>
            <w:r>
              <w:rPr>
                <w:rFonts w:hint="eastAsia"/>
                <w:color w:val="auto"/>
                <w:highlight w:val="none"/>
                <w:lang w:val="en-US" w:eastAsia="zh-CN"/>
              </w:rPr>
              <w:t>d</w:t>
            </w:r>
          </w:p>
        </w:tc>
        <w:tc>
          <w:tcPr>
            <w:tcW w:w="1277" w:type="dxa"/>
            <w:tcBorders>
              <w:tl2br w:val="nil"/>
              <w:tr2bl w:val="nil"/>
            </w:tcBorders>
            <w:vAlign w:val="center"/>
          </w:tcPr>
          <w:p>
            <w:pPr>
              <w:pStyle w:val="22"/>
              <w:bidi w:val="0"/>
              <w:rPr>
                <w:color w:val="auto"/>
                <w:highlight w:val="none"/>
              </w:rPr>
            </w:pPr>
            <w:r>
              <w:rPr>
                <w:rFonts w:hint="eastAsia"/>
                <w:color w:val="auto"/>
                <w:highlight w:val="none"/>
                <w:lang w:val="en-US" w:eastAsia="zh-CN"/>
              </w:rPr>
              <w:t>0.05</w:t>
            </w:r>
          </w:p>
        </w:tc>
        <w:tc>
          <w:tcPr>
            <w:tcW w:w="1277" w:type="dxa"/>
            <w:tcBorders>
              <w:tl2br w:val="nil"/>
              <w:tr2bl w:val="nil"/>
            </w:tcBorders>
            <w:vAlign w:val="center"/>
          </w:tcPr>
          <w:p>
            <w:pPr>
              <w:pStyle w:val="22"/>
              <w:bidi w:val="0"/>
              <w:rPr>
                <w:color w:val="auto"/>
                <w:highlight w:val="none"/>
              </w:rPr>
            </w:pPr>
            <w:r>
              <w:rPr>
                <w:rFonts w:hint="default"/>
                <w:color w:val="auto"/>
                <w:highlight w:val="none"/>
                <w:lang w:val="en-US" w:eastAsia="zh-CN"/>
              </w:rPr>
              <w:t>&lt;</w:t>
            </w:r>
            <w:r>
              <w:rPr>
                <w:rFonts w:hint="eastAsia"/>
                <w:color w:val="auto"/>
                <w:highlight w:val="none"/>
                <w:lang w:val="en-US" w:eastAsia="zh-CN"/>
              </w:rPr>
              <w:t>0.005</w:t>
            </w:r>
          </w:p>
        </w:tc>
        <w:tc>
          <w:tcPr>
            <w:tcW w:w="1277" w:type="dxa"/>
            <w:tcBorders>
              <w:tl2br w:val="nil"/>
              <w:tr2bl w:val="nil"/>
            </w:tcBorders>
            <w:vAlign w:val="center"/>
          </w:tcPr>
          <w:p>
            <w:pPr>
              <w:pStyle w:val="22"/>
              <w:bidi w:val="0"/>
              <w:jc w:val="center"/>
              <w:rPr>
                <w:color w:val="auto"/>
                <w:highlight w:val="none"/>
              </w:rPr>
            </w:pPr>
            <w:r>
              <w:rPr>
                <w:color w:val="auto"/>
                <w:highlight w:val="none"/>
              </w:rPr>
              <w:t>&lt;10</w:t>
            </w:r>
          </w:p>
        </w:tc>
        <w:tc>
          <w:tcPr>
            <w:tcW w:w="1280" w:type="dxa"/>
            <w:tcBorders>
              <w:tl2br w:val="nil"/>
              <w:tr2bl w:val="nil"/>
            </w:tcBorders>
            <w:vAlign w:val="center"/>
          </w:tcPr>
          <w:p>
            <w:pPr>
              <w:pStyle w:val="22"/>
              <w:bidi w:val="0"/>
              <w:rPr>
                <w:rFonts w:hint="default"/>
                <w:color w:val="auto"/>
                <w:highlight w:val="none"/>
                <w:lang w:val="en-US"/>
              </w:rPr>
            </w:pPr>
            <w:r>
              <w:rPr>
                <w:rFonts w:hint="eastAsia"/>
                <w:color w:val="auto"/>
                <w:highlight w:val="none"/>
                <w:lang w:val="en-US" w:eastAsia="zh-CN"/>
              </w:rPr>
              <w:t>0.82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auto"/>
              </w:rPr>
            </w:pPr>
          </w:p>
        </w:tc>
        <w:tc>
          <w:tcPr>
            <w:tcW w:w="1045" w:type="dxa"/>
            <w:vMerge w:val="restart"/>
            <w:tcBorders>
              <w:tl2br w:val="nil"/>
              <w:tr2bl w:val="nil"/>
            </w:tcBorders>
            <w:vAlign w:val="center"/>
          </w:tcPr>
          <w:p>
            <w:pPr>
              <w:pStyle w:val="22"/>
              <w:bidi w:val="0"/>
              <w:rPr>
                <w:color w:val="auto"/>
                <w:highlight w:val="none"/>
              </w:rPr>
            </w:pPr>
            <w:r>
              <w:rPr>
                <w:rFonts w:hint="eastAsia"/>
                <w:color w:val="auto"/>
                <w:highlight w:val="none"/>
                <w:lang w:val="en-US" w:eastAsia="zh-CN"/>
              </w:rPr>
              <w:t>2022年3月6日</w:t>
            </w:r>
          </w:p>
        </w:tc>
        <w:tc>
          <w:tcPr>
            <w:tcW w:w="1622" w:type="dxa"/>
            <w:tcBorders>
              <w:tl2br w:val="nil"/>
              <w:tr2bl w:val="nil"/>
            </w:tcBorders>
            <w:vAlign w:val="center"/>
          </w:tcPr>
          <w:p>
            <w:pPr>
              <w:pStyle w:val="22"/>
              <w:bidi w:val="0"/>
              <w:rPr>
                <w:color w:val="auto"/>
                <w:highlight w:val="none"/>
              </w:rPr>
            </w:pPr>
            <w:r>
              <w:rPr>
                <w:color w:val="auto"/>
                <w:highlight w:val="none"/>
              </w:rPr>
              <w:t>HQ-1#-</w:t>
            </w:r>
            <w:r>
              <w:rPr>
                <w:rFonts w:hint="eastAsia"/>
                <w:color w:val="auto"/>
                <w:highlight w:val="none"/>
                <w:lang w:val="en-US" w:eastAsia="zh-CN"/>
              </w:rPr>
              <w:t>6</w:t>
            </w:r>
            <w:r>
              <w:rPr>
                <w:color w:val="auto"/>
                <w:highlight w:val="none"/>
              </w:rPr>
              <w:t>-1-</w:t>
            </w:r>
            <w:r>
              <w:rPr>
                <w:rFonts w:hint="eastAsia"/>
                <w:color w:val="auto"/>
                <w:highlight w:val="none"/>
                <w:lang w:val="en-US" w:eastAsia="zh-CN"/>
              </w:rPr>
              <w:t>d</w:t>
            </w:r>
          </w:p>
        </w:tc>
        <w:tc>
          <w:tcPr>
            <w:tcW w:w="1277" w:type="dxa"/>
            <w:tcBorders>
              <w:tl2br w:val="nil"/>
              <w:tr2bl w:val="nil"/>
            </w:tcBorders>
            <w:vAlign w:val="center"/>
          </w:tcPr>
          <w:p>
            <w:pPr>
              <w:pStyle w:val="22"/>
              <w:bidi w:val="0"/>
              <w:rPr>
                <w:color w:val="auto"/>
                <w:highlight w:val="none"/>
              </w:rPr>
            </w:pPr>
            <w:r>
              <w:rPr>
                <w:rFonts w:hint="eastAsia"/>
                <w:color w:val="auto"/>
                <w:highlight w:val="none"/>
                <w:lang w:val="en-US" w:eastAsia="zh-CN"/>
              </w:rPr>
              <w:t>0.04</w:t>
            </w:r>
          </w:p>
        </w:tc>
        <w:tc>
          <w:tcPr>
            <w:tcW w:w="1277" w:type="dxa"/>
            <w:tcBorders>
              <w:tl2br w:val="nil"/>
              <w:tr2bl w:val="nil"/>
            </w:tcBorders>
            <w:vAlign w:val="center"/>
          </w:tcPr>
          <w:p>
            <w:pPr>
              <w:pStyle w:val="22"/>
              <w:bidi w:val="0"/>
              <w:rPr>
                <w:color w:val="auto"/>
                <w:highlight w:val="none"/>
              </w:rPr>
            </w:pPr>
            <w:r>
              <w:rPr>
                <w:rFonts w:hint="default"/>
                <w:color w:val="auto"/>
                <w:highlight w:val="none"/>
                <w:lang w:val="en-US" w:eastAsia="zh-CN"/>
              </w:rPr>
              <w:t>&lt;</w:t>
            </w:r>
            <w:r>
              <w:rPr>
                <w:rFonts w:hint="eastAsia"/>
                <w:color w:val="auto"/>
                <w:highlight w:val="none"/>
                <w:lang w:val="en-US" w:eastAsia="zh-CN"/>
              </w:rPr>
              <w:t>0.005</w:t>
            </w:r>
          </w:p>
        </w:tc>
        <w:tc>
          <w:tcPr>
            <w:tcW w:w="1277" w:type="dxa"/>
            <w:tcBorders>
              <w:tl2br w:val="nil"/>
              <w:tr2bl w:val="nil"/>
            </w:tcBorders>
            <w:vAlign w:val="center"/>
          </w:tcPr>
          <w:p>
            <w:pPr>
              <w:pStyle w:val="22"/>
              <w:bidi w:val="0"/>
              <w:jc w:val="center"/>
              <w:rPr>
                <w:color w:val="auto"/>
                <w:highlight w:val="none"/>
              </w:rPr>
            </w:pPr>
            <w:r>
              <w:rPr>
                <w:color w:val="auto"/>
                <w:highlight w:val="none"/>
              </w:rPr>
              <w:t>&lt;10</w:t>
            </w:r>
          </w:p>
        </w:tc>
        <w:tc>
          <w:tcPr>
            <w:tcW w:w="1280" w:type="dxa"/>
            <w:tcBorders>
              <w:tl2br w:val="nil"/>
              <w:tr2bl w:val="nil"/>
            </w:tcBorders>
            <w:vAlign w:val="center"/>
          </w:tcPr>
          <w:p>
            <w:pPr>
              <w:pStyle w:val="22"/>
              <w:bidi w:val="0"/>
              <w:rPr>
                <w:color w:val="auto"/>
                <w:highlight w:val="none"/>
              </w:rPr>
            </w:pPr>
            <w:r>
              <w:rPr>
                <w:rFonts w:hint="eastAsia"/>
                <w:color w:val="auto"/>
                <w:highlight w:val="none"/>
                <w:lang w:val="en-US" w:eastAsia="zh-CN"/>
              </w:rPr>
              <w:t>0.82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899" w:type="dxa"/>
            <w:vMerge w:val="continue"/>
            <w:tcBorders>
              <w:tl2br w:val="nil"/>
              <w:tr2bl w:val="nil"/>
            </w:tcBorders>
            <w:vAlign w:val="center"/>
          </w:tcPr>
          <w:p>
            <w:pPr>
              <w:pStyle w:val="22"/>
              <w:bidi w:val="0"/>
              <w:jc w:val="center"/>
              <w:rPr>
                <w:color w:val="auto"/>
              </w:rPr>
            </w:pPr>
          </w:p>
        </w:tc>
        <w:tc>
          <w:tcPr>
            <w:tcW w:w="1045" w:type="dxa"/>
            <w:vMerge w:val="continue"/>
            <w:tcBorders>
              <w:tl2br w:val="nil"/>
              <w:tr2bl w:val="nil"/>
            </w:tcBorders>
            <w:vAlign w:val="center"/>
          </w:tcPr>
          <w:p>
            <w:pPr>
              <w:pStyle w:val="22"/>
              <w:bidi w:val="0"/>
              <w:rPr>
                <w:color w:val="auto"/>
                <w:highlight w:val="none"/>
              </w:rPr>
            </w:pPr>
          </w:p>
        </w:tc>
        <w:tc>
          <w:tcPr>
            <w:tcW w:w="1622" w:type="dxa"/>
            <w:tcBorders>
              <w:tl2br w:val="nil"/>
              <w:tr2bl w:val="nil"/>
            </w:tcBorders>
            <w:vAlign w:val="center"/>
          </w:tcPr>
          <w:p>
            <w:pPr>
              <w:pStyle w:val="22"/>
              <w:bidi w:val="0"/>
              <w:rPr>
                <w:color w:val="auto"/>
                <w:highlight w:val="none"/>
              </w:rPr>
            </w:pPr>
            <w:r>
              <w:rPr>
                <w:color w:val="auto"/>
                <w:highlight w:val="none"/>
              </w:rPr>
              <w:t>HQ-1#-</w:t>
            </w:r>
            <w:r>
              <w:rPr>
                <w:rFonts w:hint="eastAsia"/>
                <w:color w:val="auto"/>
                <w:highlight w:val="none"/>
                <w:lang w:val="en-US" w:eastAsia="zh-CN"/>
              </w:rPr>
              <w:t>6</w:t>
            </w:r>
            <w:r>
              <w:rPr>
                <w:color w:val="auto"/>
                <w:highlight w:val="none"/>
              </w:rPr>
              <w:t>-</w:t>
            </w:r>
            <w:r>
              <w:rPr>
                <w:rFonts w:hint="eastAsia"/>
                <w:color w:val="auto"/>
                <w:highlight w:val="none"/>
                <w:lang w:val="en-US" w:eastAsia="zh-CN"/>
              </w:rPr>
              <w:t>2</w:t>
            </w:r>
            <w:r>
              <w:rPr>
                <w:color w:val="auto"/>
                <w:highlight w:val="none"/>
              </w:rPr>
              <w:t>-</w:t>
            </w:r>
            <w:r>
              <w:rPr>
                <w:rFonts w:hint="eastAsia"/>
                <w:color w:val="auto"/>
                <w:highlight w:val="none"/>
                <w:lang w:val="en-US" w:eastAsia="zh-CN"/>
              </w:rPr>
              <w:t>d</w:t>
            </w:r>
          </w:p>
        </w:tc>
        <w:tc>
          <w:tcPr>
            <w:tcW w:w="1277" w:type="dxa"/>
            <w:tcBorders>
              <w:tl2br w:val="nil"/>
              <w:tr2bl w:val="nil"/>
            </w:tcBorders>
            <w:vAlign w:val="center"/>
          </w:tcPr>
          <w:p>
            <w:pPr>
              <w:pStyle w:val="22"/>
              <w:bidi w:val="0"/>
              <w:rPr>
                <w:color w:val="auto"/>
                <w:highlight w:val="none"/>
              </w:rPr>
            </w:pPr>
            <w:r>
              <w:rPr>
                <w:rFonts w:hint="eastAsia"/>
                <w:color w:val="auto"/>
                <w:highlight w:val="none"/>
                <w:lang w:val="en-US" w:eastAsia="zh-CN"/>
              </w:rPr>
              <w:t>0.04</w:t>
            </w:r>
          </w:p>
        </w:tc>
        <w:tc>
          <w:tcPr>
            <w:tcW w:w="1277" w:type="dxa"/>
            <w:tcBorders>
              <w:tl2br w:val="nil"/>
              <w:tr2bl w:val="nil"/>
            </w:tcBorders>
            <w:vAlign w:val="center"/>
          </w:tcPr>
          <w:p>
            <w:pPr>
              <w:pStyle w:val="22"/>
              <w:bidi w:val="0"/>
              <w:rPr>
                <w:color w:val="auto"/>
                <w:highlight w:val="none"/>
              </w:rPr>
            </w:pPr>
            <w:r>
              <w:rPr>
                <w:rFonts w:hint="default"/>
                <w:color w:val="auto"/>
                <w:highlight w:val="none"/>
                <w:lang w:val="en-US" w:eastAsia="zh-CN"/>
              </w:rPr>
              <w:t>&lt;</w:t>
            </w:r>
            <w:r>
              <w:rPr>
                <w:rFonts w:hint="eastAsia"/>
                <w:color w:val="auto"/>
                <w:highlight w:val="none"/>
                <w:lang w:val="en-US" w:eastAsia="zh-CN"/>
              </w:rPr>
              <w:t>0.005</w:t>
            </w:r>
          </w:p>
        </w:tc>
        <w:tc>
          <w:tcPr>
            <w:tcW w:w="1277" w:type="dxa"/>
            <w:tcBorders>
              <w:tl2br w:val="nil"/>
              <w:tr2bl w:val="nil"/>
            </w:tcBorders>
            <w:vAlign w:val="center"/>
          </w:tcPr>
          <w:p>
            <w:pPr>
              <w:pStyle w:val="22"/>
              <w:bidi w:val="0"/>
              <w:jc w:val="center"/>
              <w:rPr>
                <w:color w:val="auto"/>
                <w:highlight w:val="none"/>
              </w:rPr>
            </w:pPr>
            <w:r>
              <w:rPr>
                <w:color w:val="auto"/>
                <w:highlight w:val="none"/>
              </w:rPr>
              <w:t>&lt;10</w:t>
            </w:r>
          </w:p>
        </w:tc>
        <w:tc>
          <w:tcPr>
            <w:tcW w:w="1280" w:type="dxa"/>
            <w:tcBorders>
              <w:tl2br w:val="nil"/>
              <w:tr2bl w:val="nil"/>
            </w:tcBorders>
            <w:vAlign w:val="center"/>
          </w:tcPr>
          <w:p>
            <w:pPr>
              <w:pStyle w:val="22"/>
              <w:bidi w:val="0"/>
              <w:rPr>
                <w:color w:val="auto"/>
                <w:highlight w:val="none"/>
              </w:rPr>
            </w:pPr>
            <w:r>
              <w:rPr>
                <w:rFonts w:hint="eastAsia"/>
                <w:color w:val="auto"/>
                <w:highlight w:val="none"/>
                <w:lang w:val="en-US" w:eastAsia="zh-CN"/>
              </w:rPr>
              <w:t>0.83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auto"/>
              </w:rPr>
            </w:pPr>
          </w:p>
        </w:tc>
        <w:tc>
          <w:tcPr>
            <w:tcW w:w="1045" w:type="dxa"/>
            <w:vMerge w:val="continue"/>
            <w:tcBorders>
              <w:tl2br w:val="nil"/>
              <w:tr2bl w:val="nil"/>
            </w:tcBorders>
            <w:vAlign w:val="center"/>
          </w:tcPr>
          <w:p>
            <w:pPr>
              <w:pStyle w:val="22"/>
              <w:bidi w:val="0"/>
              <w:rPr>
                <w:color w:val="auto"/>
                <w:highlight w:val="none"/>
              </w:rPr>
            </w:pPr>
          </w:p>
        </w:tc>
        <w:tc>
          <w:tcPr>
            <w:tcW w:w="1622" w:type="dxa"/>
            <w:tcBorders>
              <w:tl2br w:val="nil"/>
              <w:tr2bl w:val="nil"/>
            </w:tcBorders>
            <w:vAlign w:val="center"/>
          </w:tcPr>
          <w:p>
            <w:pPr>
              <w:pStyle w:val="22"/>
              <w:bidi w:val="0"/>
              <w:rPr>
                <w:color w:val="auto"/>
                <w:highlight w:val="none"/>
              </w:rPr>
            </w:pPr>
            <w:r>
              <w:rPr>
                <w:color w:val="auto"/>
                <w:highlight w:val="none"/>
              </w:rPr>
              <w:t>HQ-1#-</w:t>
            </w:r>
            <w:r>
              <w:rPr>
                <w:rFonts w:hint="eastAsia"/>
                <w:color w:val="auto"/>
                <w:highlight w:val="none"/>
                <w:lang w:val="en-US" w:eastAsia="zh-CN"/>
              </w:rPr>
              <w:t>6</w:t>
            </w:r>
            <w:r>
              <w:rPr>
                <w:color w:val="auto"/>
                <w:highlight w:val="none"/>
              </w:rPr>
              <w:t>-</w:t>
            </w:r>
            <w:r>
              <w:rPr>
                <w:rFonts w:hint="eastAsia"/>
                <w:color w:val="auto"/>
                <w:highlight w:val="none"/>
                <w:lang w:val="en-US" w:eastAsia="zh-CN"/>
              </w:rPr>
              <w:t>3</w:t>
            </w:r>
            <w:r>
              <w:rPr>
                <w:color w:val="auto"/>
                <w:highlight w:val="none"/>
              </w:rPr>
              <w:t>-</w:t>
            </w:r>
            <w:r>
              <w:rPr>
                <w:rFonts w:hint="eastAsia"/>
                <w:color w:val="auto"/>
                <w:highlight w:val="none"/>
                <w:lang w:val="en-US" w:eastAsia="zh-CN"/>
              </w:rPr>
              <w:t>d</w:t>
            </w:r>
          </w:p>
        </w:tc>
        <w:tc>
          <w:tcPr>
            <w:tcW w:w="1277" w:type="dxa"/>
            <w:tcBorders>
              <w:tl2br w:val="nil"/>
              <w:tr2bl w:val="nil"/>
            </w:tcBorders>
            <w:vAlign w:val="center"/>
          </w:tcPr>
          <w:p>
            <w:pPr>
              <w:pStyle w:val="22"/>
              <w:bidi w:val="0"/>
              <w:rPr>
                <w:color w:val="auto"/>
                <w:highlight w:val="none"/>
              </w:rPr>
            </w:pPr>
            <w:r>
              <w:rPr>
                <w:rFonts w:hint="eastAsia"/>
                <w:color w:val="auto"/>
                <w:highlight w:val="none"/>
                <w:lang w:val="en-US" w:eastAsia="zh-CN"/>
              </w:rPr>
              <w:t>0.05</w:t>
            </w:r>
          </w:p>
        </w:tc>
        <w:tc>
          <w:tcPr>
            <w:tcW w:w="1277" w:type="dxa"/>
            <w:tcBorders>
              <w:tl2br w:val="nil"/>
              <w:tr2bl w:val="nil"/>
            </w:tcBorders>
            <w:vAlign w:val="center"/>
          </w:tcPr>
          <w:p>
            <w:pPr>
              <w:pStyle w:val="22"/>
              <w:bidi w:val="0"/>
              <w:rPr>
                <w:color w:val="auto"/>
                <w:highlight w:val="none"/>
              </w:rPr>
            </w:pPr>
            <w:r>
              <w:rPr>
                <w:rFonts w:hint="default"/>
                <w:color w:val="auto"/>
                <w:highlight w:val="none"/>
                <w:lang w:val="en-US" w:eastAsia="zh-CN"/>
              </w:rPr>
              <w:t>&lt;</w:t>
            </w:r>
            <w:r>
              <w:rPr>
                <w:rFonts w:hint="eastAsia"/>
                <w:color w:val="auto"/>
                <w:highlight w:val="none"/>
                <w:lang w:val="en-US" w:eastAsia="zh-CN"/>
              </w:rPr>
              <w:t>0.005</w:t>
            </w:r>
          </w:p>
        </w:tc>
        <w:tc>
          <w:tcPr>
            <w:tcW w:w="1277" w:type="dxa"/>
            <w:tcBorders>
              <w:tl2br w:val="nil"/>
              <w:tr2bl w:val="nil"/>
            </w:tcBorders>
            <w:vAlign w:val="center"/>
          </w:tcPr>
          <w:p>
            <w:pPr>
              <w:pStyle w:val="22"/>
              <w:bidi w:val="0"/>
              <w:jc w:val="center"/>
              <w:rPr>
                <w:color w:val="auto"/>
                <w:highlight w:val="none"/>
              </w:rPr>
            </w:pPr>
            <w:r>
              <w:rPr>
                <w:color w:val="auto"/>
                <w:highlight w:val="none"/>
              </w:rPr>
              <w:t>&lt;10</w:t>
            </w:r>
          </w:p>
        </w:tc>
        <w:tc>
          <w:tcPr>
            <w:tcW w:w="1280" w:type="dxa"/>
            <w:tcBorders>
              <w:tl2br w:val="nil"/>
              <w:tr2bl w:val="nil"/>
            </w:tcBorders>
            <w:vAlign w:val="center"/>
          </w:tcPr>
          <w:p>
            <w:pPr>
              <w:pStyle w:val="22"/>
              <w:bidi w:val="0"/>
              <w:rPr>
                <w:color w:val="auto"/>
                <w:highlight w:val="none"/>
              </w:rPr>
            </w:pPr>
            <w:r>
              <w:rPr>
                <w:rFonts w:hint="eastAsia"/>
                <w:color w:val="auto"/>
                <w:highlight w:val="none"/>
                <w:lang w:val="en-US" w:eastAsia="zh-CN"/>
              </w:rPr>
              <w:t>0.85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auto"/>
              </w:rPr>
            </w:pPr>
          </w:p>
        </w:tc>
        <w:tc>
          <w:tcPr>
            <w:tcW w:w="1045" w:type="dxa"/>
            <w:vMerge w:val="continue"/>
            <w:tcBorders>
              <w:tl2br w:val="nil"/>
              <w:tr2bl w:val="nil"/>
            </w:tcBorders>
            <w:vAlign w:val="center"/>
          </w:tcPr>
          <w:p>
            <w:pPr>
              <w:pStyle w:val="22"/>
              <w:bidi w:val="0"/>
              <w:rPr>
                <w:color w:val="auto"/>
                <w:highlight w:val="none"/>
              </w:rPr>
            </w:pPr>
          </w:p>
        </w:tc>
        <w:tc>
          <w:tcPr>
            <w:tcW w:w="1622" w:type="dxa"/>
            <w:tcBorders>
              <w:tl2br w:val="nil"/>
              <w:tr2bl w:val="nil"/>
            </w:tcBorders>
            <w:vAlign w:val="center"/>
          </w:tcPr>
          <w:p>
            <w:pPr>
              <w:pStyle w:val="22"/>
              <w:bidi w:val="0"/>
              <w:rPr>
                <w:color w:val="auto"/>
                <w:highlight w:val="none"/>
              </w:rPr>
            </w:pPr>
            <w:r>
              <w:rPr>
                <w:color w:val="auto"/>
                <w:highlight w:val="none"/>
              </w:rPr>
              <w:t>HQ-1#-</w:t>
            </w:r>
            <w:r>
              <w:rPr>
                <w:rFonts w:hint="eastAsia"/>
                <w:color w:val="auto"/>
                <w:highlight w:val="none"/>
                <w:lang w:val="en-US" w:eastAsia="zh-CN"/>
              </w:rPr>
              <w:t>6</w:t>
            </w:r>
            <w:r>
              <w:rPr>
                <w:color w:val="auto"/>
                <w:highlight w:val="none"/>
              </w:rPr>
              <w:t>-</w:t>
            </w:r>
            <w:r>
              <w:rPr>
                <w:rFonts w:hint="eastAsia"/>
                <w:color w:val="auto"/>
                <w:highlight w:val="none"/>
                <w:lang w:val="en-US" w:eastAsia="zh-CN"/>
              </w:rPr>
              <w:t>4</w:t>
            </w:r>
            <w:r>
              <w:rPr>
                <w:color w:val="auto"/>
                <w:highlight w:val="none"/>
              </w:rPr>
              <w:t>-</w:t>
            </w:r>
            <w:r>
              <w:rPr>
                <w:rFonts w:hint="eastAsia"/>
                <w:color w:val="auto"/>
                <w:highlight w:val="none"/>
                <w:lang w:val="en-US" w:eastAsia="zh-CN"/>
              </w:rPr>
              <w:t>d</w:t>
            </w:r>
          </w:p>
        </w:tc>
        <w:tc>
          <w:tcPr>
            <w:tcW w:w="1277" w:type="dxa"/>
            <w:tcBorders>
              <w:tl2br w:val="nil"/>
              <w:tr2bl w:val="nil"/>
            </w:tcBorders>
            <w:vAlign w:val="center"/>
          </w:tcPr>
          <w:p>
            <w:pPr>
              <w:pStyle w:val="22"/>
              <w:bidi w:val="0"/>
              <w:rPr>
                <w:color w:val="auto"/>
                <w:highlight w:val="none"/>
              </w:rPr>
            </w:pPr>
            <w:r>
              <w:rPr>
                <w:rFonts w:hint="eastAsia"/>
                <w:color w:val="auto"/>
                <w:highlight w:val="none"/>
                <w:lang w:val="en-US" w:eastAsia="zh-CN"/>
              </w:rPr>
              <w:t>0.05</w:t>
            </w:r>
          </w:p>
        </w:tc>
        <w:tc>
          <w:tcPr>
            <w:tcW w:w="1277" w:type="dxa"/>
            <w:tcBorders>
              <w:tl2br w:val="nil"/>
              <w:tr2bl w:val="nil"/>
            </w:tcBorders>
            <w:vAlign w:val="center"/>
          </w:tcPr>
          <w:p>
            <w:pPr>
              <w:pStyle w:val="22"/>
              <w:bidi w:val="0"/>
              <w:rPr>
                <w:color w:val="auto"/>
                <w:highlight w:val="none"/>
              </w:rPr>
            </w:pPr>
            <w:r>
              <w:rPr>
                <w:rFonts w:hint="default"/>
                <w:color w:val="auto"/>
                <w:highlight w:val="none"/>
                <w:lang w:val="en-US" w:eastAsia="zh-CN"/>
              </w:rPr>
              <w:t>&lt;</w:t>
            </w:r>
            <w:r>
              <w:rPr>
                <w:rFonts w:hint="eastAsia"/>
                <w:color w:val="auto"/>
                <w:highlight w:val="none"/>
                <w:lang w:val="en-US" w:eastAsia="zh-CN"/>
              </w:rPr>
              <w:t>0.005</w:t>
            </w:r>
          </w:p>
        </w:tc>
        <w:tc>
          <w:tcPr>
            <w:tcW w:w="1277" w:type="dxa"/>
            <w:tcBorders>
              <w:tl2br w:val="nil"/>
              <w:tr2bl w:val="nil"/>
            </w:tcBorders>
            <w:vAlign w:val="center"/>
          </w:tcPr>
          <w:p>
            <w:pPr>
              <w:pStyle w:val="22"/>
              <w:bidi w:val="0"/>
              <w:jc w:val="center"/>
              <w:rPr>
                <w:color w:val="auto"/>
                <w:highlight w:val="none"/>
              </w:rPr>
            </w:pPr>
            <w:r>
              <w:rPr>
                <w:color w:val="auto"/>
                <w:highlight w:val="none"/>
              </w:rPr>
              <w:t>&lt;10</w:t>
            </w:r>
          </w:p>
        </w:tc>
        <w:tc>
          <w:tcPr>
            <w:tcW w:w="1280" w:type="dxa"/>
            <w:tcBorders>
              <w:tl2br w:val="nil"/>
              <w:tr2bl w:val="nil"/>
            </w:tcBorders>
            <w:vAlign w:val="center"/>
          </w:tcPr>
          <w:p>
            <w:pPr>
              <w:pStyle w:val="22"/>
              <w:bidi w:val="0"/>
              <w:rPr>
                <w:color w:val="auto"/>
                <w:highlight w:val="none"/>
              </w:rPr>
            </w:pPr>
            <w:r>
              <w:rPr>
                <w:rFonts w:hint="eastAsia"/>
                <w:color w:val="auto"/>
                <w:highlight w:val="none"/>
                <w:lang w:val="en-US" w:eastAsia="zh-CN"/>
              </w:rPr>
              <w:t>0.83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auto"/>
              </w:rPr>
            </w:pPr>
          </w:p>
        </w:tc>
        <w:tc>
          <w:tcPr>
            <w:tcW w:w="1045" w:type="dxa"/>
            <w:vMerge w:val="restart"/>
            <w:tcBorders>
              <w:tl2br w:val="nil"/>
              <w:tr2bl w:val="nil"/>
            </w:tcBorders>
            <w:vAlign w:val="center"/>
          </w:tcPr>
          <w:p>
            <w:pPr>
              <w:pStyle w:val="22"/>
              <w:bidi w:val="0"/>
              <w:rPr>
                <w:color w:val="auto"/>
                <w:highlight w:val="none"/>
              </w:rPr>
            </w:pPr>
            <w:r>
              <w:rPr>
                <w:rFonts w:hint="eastAsia"/>
                <w:color w:val="auto"/>
                <w:highlight w:val="none"/>
                <w:lang w:val="en-US" w:eastAsia="zh-CN"/>
              </w:rPr>
              <w:t>2022年3月7日</w:t>
            </w:r>
          </w:p>
        </w:tc>
        <w:tc>
          <w:tcPr>
            <w:tcW w:w="1622" w:type="dxa"/>
            <w:tcBorders>
              <w:tl2br w:val="nil"/>
              <w:tr2bl w:val="nil"/>
            </w:tcBorders>
            <w:vAlign w:val="center"/>
          </w:tcPr>
          <w:p>
            <w:pPr>
              <w:pStyle w:val="22"/>
              <w:bidi w:val="0"/>
              <w:rPr>
                <w:color w:val="auto"/>
                <w:highlight w:val="none"/>
              </w:rPr>
            </w:pPr>
            <w:r>
              <w:rPr>
                <w:color w:val="auto"/>
                <w:highlight w:val="none"/>
              </w:rPr>
              <w:t>HQ-1#-</w:t>
            </w:r>
            <w:r>
              <w:rPr>
                <w:rFonts w:hint="eastAsia"/>
                <w:color w:val="auto"/>
                <w:highlight w:val="none"/>
                <w:lang w:val="en-US" w:eastAsia="zh-CN"/>
              </w:rPr>
              <w:t>7</w:t>
            </w:r>
            <w:r>
              <w:rPr>
                <w:color w:val="auto"/>
                <w:highlight w:val="none"/>
              </w:rPr>
              <w:t>-1-</w:t>
            </w:r>
            <w:r>
              <w:rPr>
                <w:rFonts w:hint="eastAsia"/>
                <w:color w:val="auto"/>
                <w:highlight w:val="none"/>
                <w:lang w:val="en-US" w:eastAsia="zh-CN"/>
              </w:rPr>
              <w:t>d</w:t>
            </w:r>
          </w:p>
        </w:tc>
        <w:tc>
          <w:tcPr>
            <w:tcW w:w="1277" w:type="dxa"/>
            <w:tcBorders>
              <w:tl2br w:val="nil"/>
              <w:tr2bl w:val="nil"/>
            </w:tcBorders>
            <w:vAlign w:val="center"/>
          </w:tcPr>
          <w:p>
            <w:pPr>
              <w:pStyle w:val="22"/>
              <w:bidi w:val="0"/>
              <w:rPr>
                <w:color w:val="auto"/>
                <w:highlight w:val="none"/>
              </w:rPr>
            </w:pPr>
            <w:r>
              <w:rPr>
                <w:rFonts w:hint="eastAsia"/>
                <w:color w:val="auto"/>
                <w:highlight w:val="none"/>
                <w:lang w:val="en-US" w:eastAsia="zh-CN"/>
              </w:rPr>
              <w:t>0.05</w:t>
            </w:r>
          </w:p>
        </w:tc>
        <w:tc>
          <w:tcPr>
            <w:tcW w:w="1277" w:type="dxa"/>
            <w:tcBorders>
              <w:tl2br w:val="nil"/>
              <w:tr2bl w:val="nil"/>
            </w:tcBorders>
            <w:vAlign w:val="center"/>
          </w:tcPr>
          <w:p>
            <w:pPr>
              <w:pStyle w:val="22"/>
              <w:bidi w:val="0"/>
              <w:rPr>
                <w:color w:val="auto"/>
                <w:highlight w:val="none"/>
              </w:rPr>
            </w:pPr>
            <w:r>
              <w:rPr>
                <w:rFonts w:hint="default"/>
                <w:color w:val="auto"/>
                <w:highlight w:val="none"/>
                <w:lang w:val="en-US" w:eastAsia="zh-CN"/>
              </w:rPr>
              <w:t>&lt;</w:t>
            </w:r>
            <w:r>
              <w:rPr>
                <w:rFonts w:hint="eastAsia"/>
                <w:color w:val="auto"/>
                <w:highlight w:val="none"/>
                <w:lang w:val="en-US" w:eastAsia="zh-CN"/>
              </w:rPr>
              <w:t>0.005</w:t>
            </w:r>
          </w:p>
        </w:tc>
        <w:tc>
          <w:tcPr>
            <w:tcW w:w="1277" w:type="dxa"/>
            <w:tcBorders>
              <w:tl2br w:val="nil"/>
              <w:tr2bl w:val="nil"/>
            </w:tcBorders>
            <w:vAlign w:val="center"/>
          </w:tcPr>
          <w:p>
            <w:pPr>
              <w:pStyle w:val="22"/>
              <w:bidi w:val="0"/>
              <w:jc w:val="center"/>
              <w:rPr>
                <w:color w:val="auto"/>
                <w:highlight w:val="none"/>
              </w:rPr>
            </w:pPr>
            <w:r>
              <w:rPr>
                <w:color w:val="auto"/>
                <w:highlight w:val="none"/>
              </w:rPr>
              <w:t>&lt;10</w:t>
            </w:r>
          </w:p>
        </w:tc>
        <w:tc>
          <w:tcPr>
            <w:tcW w:w="1280" w:type="dxa"/>
            <w:tcBorders>
              <w:tl2br w:val="nil"/>
              <w:tr2bl w:val="nil"/>
            </w:tcBorders>
            <w:vAlign w:val="center"/>
          </w:tcPr>
          <w:p>
            <w:pPr>
              <w:pStyle w:val="22"/>
              <w:bidi w:val="0"/>
              <w:rPr>
                <w:rFonts w:hint="default"/>
                <w:color w:val="auto"/>
                <w:highlight w:val="none"/>
                <w:lang w:val="en-US"/>
              </w:rPr>
            </w:pPr>
            <w:r>
              <w:rPr>
                <w:rFonts w:hint="eastAsia"/>
                <w:color w:val="auto"/>
                <w:highlight w:val="none"/>
                <w:lang w:val="en-US" w:eastAsia="zh-CN"/>
              </w:rPr>
              <w:t>0.87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auto"/>
              </w:rPr>
            </w:pPr>
          </w:p>
        </w:tc>
        <w:tc>
          <w:tcPr>
            <w:tcW w:w="1045" w:type="dxa"/>
            <w:vMerge w:val="continue"/>
            <w:tcBorders>
              <w:tl2br w:val="nil"/>
              <w:tr2bl w:val="nil"/>
            </w:tcBorders>
            <w:vAlign w:val="center"/>
          </w:tcPr>
          <w:p>
            <w:pPr>
              <w:pStyle w:val="22"/>
              <w:bidi w:val="0"/>
              <w:jc w:val="center"/>
              <w:rPr>
                <w:color w:val="auto"/>
                <w:highlight w:val="none"/>
              </w:rPr>
            </w:pPr>
          </w:p>
        </w:tc>
        <w:tc>
          <w:tcPr>
            <w:tcW w:w="1622" w:type="dxa"/>
            <w:tcBorders>
              <w:tl2br w:val="nil"/>
              <w:tr2bl w:val="nil"/>
            </w:tcBorders>
            <w:vAlign w:val="center"/>
          </w:tcPr>
          <w:p>
            <w:pPr>
              <w:pStyle w:val="22"/>
              <w:bidi w:val="0"/>
              <w:rPr>
                <w:color w:val="auto"/>
                <w:highlight w:val="none"/>
              </w:rPr>
            </w:pPr>
            <w:r>
              <w:rPr>
                <w:color w:val="auto"/>
                <w:highlight w:val="none"/>
              </w:rPr>
              <w:t>HQ-1#-</w:t>
            </w:r>
            <w:r>
              <w:rPr>
                <w:rFonts w:hint="eastAsia"/>
                <w:color w:val="auto"/>
                <w:highlight w:val="none"/>
                <w:lang w:val="en-US" w:eastAsia="zh-CN"/>
              </w:rPr>
              <w:t>7</w:t>
            </w:r>
            <w:r>
              <w:rPr>
                <w:color w:val="auto"/>
                <w:highlight w:val="none"/>
              </w:rPr>
              <w:t>-</w:t>
            </w:r>
            <w:r>
              <w:rPr>
                <w:rFonts w:hint="eastAsia"/>
                <w:color w:val="auto"/>
                <w:highlight w:val="none"/>
                <w:lang w:val="en-US" w:eastAsia="zh-CN"/>
              </w:rPr>
              <w:t>2</w:t>
            </w:r>
            <w:r>
              <w:rPr>
                <w:color w:val="auto"/>
                <w:highlight w:val="none"/>
              </w:rPr>
              <w:t>-</w:t>
            </w:r>
            <w:r>
              <w:rPr>
                <w:rFonts w:hint="eastAsia"/>
                <w:color w:val="auto"/>
                <w:highlight w:val="none"/>
                <w:lang w:val="en-US" w:eastAsia="zh-CN"/>
              </w:rPr>
              <w:t>d</w:t>
            </w:r>
          </w:p>
        </w:tc>
        <w:tc>
          <w:tcPr>
            <w:tcW w:w="1277" w:type="dxa"/>
            <w:tcBorders>
              <w:tl2br w:val="nil"/>
              <w:tr2bl w:val="nil"/>
            </w:tcBorders>
            <w:vAlign w:val="center"/>
          </w:tcPr>
          <w:p>
            <w:pPr>
              <w:pStyle w:val="22"/>
              <w:bidi w:val="0"/>
              <w:rPr>
                <w:color w:val="auto"/>
                <w:highlight w:val="none"/>
              </w:rPr>
            </w:pPr>
            <w:r>
              <w:rPr>
                <w:rFonts w:hint="eastAsia"/>
                <w:color w:val="auto"/>
                <w:highlight w:val="none"/>
                <w:lang w:val="en-US" w:eastAsia="zh-CN"/>
              </w:rPr>
              <w:t>0.04</w:t>
            </w:r>
          </w:p>
        </w:tc>
        <w:tc>
          <w:tcPr>
            <w:tcW w:w="1277" w:type="dxa"/>
            <w:tcBorders>
              <w:tl2br w:val="nil"/>
              <w:tr2bl w:val="nil"/>
            </w:tcBorders>
            <w:vAlign w:val="center"/>
          </w:tcPr>
          <w:p>
            <w:pPr>
              <w:pStyle w:val="22"/>
              <w:bidi w:val="0"/>
              <w:rPr>
                <w:color w:val="auto"/>
                <w:highlight w:val="none"/>
              </w:rPr>
            </w:pPr>
            <w:r>
              <w:rPr>
                <w:rFonts w:hint="default"/>
                <w:color w:val="auto"/>
                <w:highlight w:val="none"/>
                <w:lang w:val="en-US" w:eastAsia="zh-CN"/>
              </w:rPr>
              <w:t>&lt;</w:t>
            </w:r>
            <w:r>
              <w:rPr>
                <w:rFonts w:hint="eastAsia"/>
                <w:color w:val="auto"/>
                <w:highlight w:val="none"/>
                <w:lang w:val="en-US" w:eastAsia="zh-CN"/>
              </w:rPr>
              <w:t>0.005</w:t>
            </w:r>
          </w:p>
        </w:tc>
        <w:tc>
          <w:tcPr>
            <w:tcW w:w="1277" w:type="dxa"/>
            <w:tcBorders>
              <w:tl2br w:val="nil"/>
              <w:tr2bl w:val="nil"/>
            </w:tcBorders>
            <w:vAlign w:val="center"/>
          </w:tcPr>
          <w:p>
            <w:pPr>
              <w:pStyle w:val="22"/>
              <w:bidi w:val="0"/>
              <w:jc w:val="center"/>
              <w:rPr>
                <w:color w:val="auto"/>
                <w:highlight w:val="none"/>
              </w:rPr>
            </w:pPr>
            <w:r>
              <w:rPr>
                <w:color w:val="auto"/>
                <w:highlight w:val="none"/>
              </w:rPr>
              <w:t>&lt;10</w:t>
            </w:r>
          </w:p>
        </w:tc>
        <w:tc>
          <w:tcPr>
            <w:tcW w:w="1280" w:type="dxa"/>
            <w:tcBorders>
              <w:tl2br w:val="nil"/>
              <w:tr2bl w:val="nil"/>
            </w:tcBorders>
            <w:vAlign w:val="center"/>
          </w:tcPr>
          <w:p>
            <w:pPr>
              <w:pStyle w:val="22"/>
              <w:bidi w:val="0"/>
              <w:rPr>
                <w:rFonts w:hint="default"/>
                <w:color w:val="auto"/>
                <w:highlight w:val="none"/>
                <w:lang w:val="en-US"/>
              </w:rPr>
            </w:pPr>
            <w:r>
              <w:rPr>
                <w:rFonts w:hint="eastAsia"/>
                <w:color w:val="auto"/>
                <w:highlight w:val="none"/>
                <w:lang w:val="en-US" w:eastAsia="zh-CN"/>
              </w:rPr>
              <w:t>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8" w:hRule="atLeast"/>
          <w:jc w:val="center"/>
        </w:trPr>
        <w:tc>
          <w:tcPr>
            <w:tcW w:w="899" w:type="dxa"/>
            <w:vMerge w:val="continue"/>
            <w:tcBorders>
              <w:tl2br w:val="nil"/>
              <w:tr2bl w:val="nil"/>
            </w:tcBorders>
            <w:vAlign w:val="center"/>
          </w:tcPr>
          <w:p>
            <w:pPr>
              <w:pStyle w:val="22"/>
              <w:bidi w:val="0"/>
              <w:jc w:val="center"/>
              <w:rPr>
                <w:color w:val="auto"/>
              </w:rPr>
            </w:pPr>
          </w:p>
        </w:tc>
        <w:tc>
          <w:tcPr>
            <w:tcW w:w="1045" w:type="dxa"/>
            <w:vMerge w:val="continue"/>
            <w:tcBorders>
              <w:tl2br w:val="nil"/>
              <w:tr2bl w:val="nil"/>
            </w:tcBorders>
            <w:vAlign w:val="center"/>
          </w:tcPr>
          <w:p>
            <w:pPr>
              <w:pStyle w:val="22"/>
              <w:bidi w:val="0"/>
              <w:jc w:val="center"/>
              <w:rPr>
                <w:color w:val="auto"/>
                <w:highlight w:val="none"/>
              </w:rPr>
            </w:pPr>
          </w:p>
        </w:tc>
        <w:tc>
          <w:tcPr>
            <w:tcW w:w="1622" w:type="dxa"/>
            <w:tcBorders>
              <w:tl2br w:val="nil"/>
              <w:tr2bl w:val="nil"/>
            </w:tcBorders>
            <w:vAlign w:val="center"/>
          </w:tcPr>
          <w:p>
            <w:pPr>
              <w:pStyle w:val="22"/>
              <w:bidi w:val="0"/>
              <w:rPr>
                <w:color w:val="auto"/>
                <w:highlight w:val="none"/>
              </w:rPr>
            </w:pPr>
            <w:r>
              <w:rPr>
                <w:color w:val="auto"/>
                <w:highlight w:val="none"/>
              </w:rPr>
              <w:t>HQ-1#-</w:t>
            </w:r>
            <w:r>
              <w:rPr>
                <w:rFonts w:hint="eastAsia"/>
                <w:color w:val="auto"/>
                <w:highlight w:val="none"/>
                <w:lang w:val="en-US" w:eastAsia="zh-CN"/>
              </w:rPr>
              <w:t>7</w:t>
            </w:r>
            <w:r>
              <w:rPr>
                <w:color w:val="auto"/>
                <w:highlight w:val="none"/>
              </w:rPr>
              <w:t>-</w:t>
            </w:r>
            <w:r>
              <w:rPr>
                <w:rFonts w:hint="eastAsia"/>
                <w:color w:val="auto"/>
                <w:highlight w:val="none"/>
                <w:lang w:val="en-US" w:eastAsia="zh-CN"/>
              </w:rPr>
              <w:t>3</w:t>
            </w:r>
            <w:r>
              <w:rPr>
                <w:color w:val="auto"/>
                <w:highlight w:val="none"/>
              </w:rPr>
              <w:t>-</w:t>
            </w:r>
            <w:r>
              <w:rPr>
                <w:rFonts w:hint="eastAsia"/>
                <w:color w:val="auto"/>
                <w:highlight w:val="none"/>
                <w:lang w:val="en-US" w:eastAsia="zh-CN"/>
              </w:rPr>
              <w:t>d</w:t>
            </w:r>
          </w:p>
        </w:tc>
        <w:tc>
          <w:tcPr>
            <w:tcW w:w="1277" w:type="dxa"/>
            <w:tcBorders>
              <w:tl2br w:val="nil"/>
              <w:tr2bl w:val="nil"/>
            </w:tcBorders>
            <w:vAlign w:val="center"/>
          </w:tcPr>
          <w:p>
            <w:pPr>
              <w:pStyle w:val="22"/>
              <w:bidi w:val="0"/>
              <w:rPr>
                <w:color w:val="auto"/>
                <w:highlight w:val="none"/>
              </w:rPr>
            </w:pPr>
            <w:r>
              <w:rPr>
                <w:rFonts w:hint="eastAsia"/>
                <w:color w:val="auto"/>
                <w:highlight w:val="none"/>
                <w:lang w:val="en-US" w:eastAsia="zh-CN"/>
              </w:rPr>
              <w:t>0.04</w:t>
            </w:r>
          </w:p>
        </w:tc>
        <w:tc>
          <w:tcPr>
            <w:tcW w:w="1277" w:type="dxa"/>
            <w:tcBorders>
              <w:tl2br w:val="nil"/>
              <w:tr2bl w:val="nil"/>
            </w:tcBorders>
            <w:vAlign w:val="center"/>
          </w:tcPr>
          <w:p>
            <w:pPr>
              <w:pStyle w:val="22"/>
              <w:bidi w:val="0"/>
              <w:rPr>
                <w:color w:val="auto"/>
                <w:highlight w:val="none"/>
              </w:rPr>
            </w:pPr>
            <w:r>
              <w:rPr>
                <w:rFonts w:hint="default"/>
                <w:color w:val="auto"/>
                <w:highlight w:val="none"/>
                <w:lang w:val="en-US" w:eastAsia="zh-CN"/>
              </w:rPr>
              <w:t>&lt;</w:t>
            </w:r>
            <w:r>
              <w:rPr>
                <w:rFonts w:hint="eastAsia"/>
                <w:color w:val="auto"/>
                <w:highlight w:val="none"/>
                <w:lang w:val="en-US" w:eastAsia="zh-CN"/>
              </w:rPr>
              <w:t>0.005</w:t>
            </w:r>
          </w:p>
        </w:tc>
        <w:tc>
          <w:tcPr>
            <w:tcW w:w="1277" w:type="dxa"/>
            <w:tcBorders>
              <w:tl2br w:val="nil"/>
              <w:tr2bl w:val="nil"/>
            </w:tcBorders>
            <w:vAlign w:val="center"/>
          </w:tcPr>
          <w:p>
            <w:pPr>
              <w:pStyle w:val="22"/>
              <w:bidi w:val="0"/>
              <w:jc w:val="center"/>
              <w:rPr>
                <w:color w:val="auto"/>
                <w:highlight w:val="none"/>
              </w:rPr>
            </w:pPr>
            <w:r>
              <w:rPr>
                <w:color w:val="auto"/>
                <w:highlight w:val="none"/>
              </w:rPr>
              <w:t>&lt;10</w:t>
            </w:r>
          </w:p>
        </w:tc>
        <w:tc>
          <w:tcPr>
            <w:tcW w:w="1280" w:type="dxa"/>
            <w:tcBorders>
              <w:tl2br w:val="nil"/>
              <w:tr2bl w:val="nil"/>
            </w:tcBorders>
            <w:vAlign w:val="center"/>
          </w:tcPr>
          <w:p>
            <w:pPr>
              <w:pStyle w:val="22"/>
              <w:bidi w:val="0"/>
              <w:rPr>
                <w:rFonts w:hint="default"/>
                <w:color w:val="auto"/>
                <w:highlight w:val="none"/>
                <w:lang w:val="en-US"/>
              </w:rPr>
            </w:pPr>
            <w:r>
              <w:rPr>
                <w:rFonts w:hint="eastAsia"/>
                <w:color w:val="auto"/>
                <w:highlight w:val="none"/>
                <w:lang w:val="en-US" w:eastAsia="zh-CN"/>
              </w:rPr>
              <w:t>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899" w:type="dxa"/>
            <w:vMerge w:val="continue"/>
            <w:tcBorders>
              <w:tl2br w:val="nil"/>
              <w:tr2bl w:val="nil"/>
            </w:tcBorders>
            <w:vAlign w:val="center"/>
          </w:tcPr>
          <w:p>
            <w:pPr>
              <w:pStyle w:val="22"/>
              <w:bidi w:val="0"/>
              <w:jc w:val="center"/>
              <w:rPr>
                <w:color w:val="auto"/>
              </w:rPr>
            </w:pPr>
          </w:p>
        </w:tc>
        <w:tc>
          <w:tcPr>
            <w:tcW w:w="1045" w:type="dxa"/>
            <w:vMerge w:val="continue"/>
            <w:tcBorders>
              <w:tl2br w:val="nil"/>
              <w:tr2bl w:val="nil"/>
            </w:tcBorders>
            <w:vAlign w:val="center"/>
          </w:tcPr>
          <w:p>
            <w:pPr>
              <w:pStyle w:val="22"/>
              <w:bidi w:val="0"/>
              <w:jc w:val="center"/>
              <w:rPr>
                <w:color w:val="auto"/>
                <w:highlight w:val="none"/>
              </w:rPr>
            </w:pPr>
          </w:p>
        </w:tc>
        <w:tc>
          <w:tcPr>
            <w:tcW w:w="1622" w:type="dxa"/>
            <w:tcBorders>
              <w:tl2br w:val="nil"/>
              <w:tr2bl w:val="nil"/>
            </w:tcBorders>
            <w:vAlign w:val="center"/>
          </w:tcPr>
          <w:p>
            <w:pPr>
              <w:pStyle w:val="22"/>
              <w:bidi w:val="0"/>
              <w:rPr>
                <w:color w:val="auto"/>
                <w:highlight w:val="none"/>
              </w:rPr>
            </w:pPr>
            <w:r>
              <w:rPr>
                <w:color w:val="auto"/>
                <w:highlight w:val="none"/>
              </w:rPr>
              <w:t>HQ-1#-</w:t>
            </w:r>
            <w:r>
              <w:rPr>
                <w:rFonts w:hint="eastAsia"/>
                <w:color w:val="auto"/>
                <w:highlight w:val="none"/>
                <w:lang w:val="en-US" w:eastAsia="zh-CN"/>
              </w:rPr>
              <w:t>7</w:t>
            </w:r>
            <w:r>
              <w:rPr>
                <w:color w:val="auto"/>
                <w:highlight w:val="none"/>
              </w:rPr>
              <w:t>-</w:t>
            </w:r>
            <w:r>
              <w:rPr>
                <w:rFonts w:hint="eastAsia"/>
                <w:color w:val="auto"/>
                <w:highlight w:val="none"/>
                <w:lang w:val="en-US" w:eastAsia="zh-CN"/>
              </w:rPr>
              <w:t>4</w:t>
            </w:r>
            <w:r>
              <w:rPr>
                <w:color w:val="auto"/>
                <w:highlight w:val="none"/>
              </w:rPr>
              <w:t>-</w:t>
            </w:r>
            <w:r>
              <w:rPr>
                <w:rFonts w:hint="eastAsia"/>
                <w:color w:val="auto"/>
                <w:highlight w:val="none"/>
                <w:lang w:val="en-US" w:eastAsia="zh-CN"/>
              </w:rPr>
              <w:t>d</w:t>
            </w:r>
          </w:p>
        </w:tc>
        <w:tc>
          <w:tcPr>
            <w:tcW w:w="1277" w:type="dxa"/>
            <w:tcBorders>
              <w:tl2br w:val="nil"/>
              <w:tr2bl w:val="nil"/>
            </w:tcBorders>
            <w:vAlign w:val="center"/>
          </w:tcPr>
          <w:p>
            <w:pPr>
              <w:pStyle w:val="22"/>
              <w:bidi w:val="0"/>
              <w:rPr>
                <w:color w:val="auto"/>
                <w:highlight w:val="none"/>
              </w:rPr>
            </w:pPr>
            <w:r>
              <w:rPr>
                <w:rFonts w:hint="eastAsia"/>
                <w:color w:val="auto"/>
                <w:highlight w:val="none"/>
                <w:lang w:val="en-US" w:eastAsia="zh-CN"/>
              </w:rPr>
              <w:t>0.05</w:t>
            </w:r>
          </w:p>
        </w:tc>
        <w:tc>
          <w:tcPr>
            <w:tcW w:w="1277" w:type="dxa"/>
            <w:tcBorders>
              <w:tl2br w:val="nil"/>
              <w:tr2bl w:val="nil"/>
            </w:tcBorders>
            <w:vAlign w:val="center"/>
          </w:tcPr>
          <w:p>
            <w:pPr>
              <w:pStyle w:val="22"/>
              <w:bidi w:val="0"/>
              <w:rPr>
                <w:color w:val="auto"/>
                <w:highlight w:val="none"/>
              </w:rPr>
            </w:pPr>
            <w:r>
              <w:rPr>
                <w:rFonts w:hint="default"/>
                <w:color w:val="auto"/>
                <w:highlight w:val="none"/>
                <w:lang w:val="en-US" w:eastAsia="zh-CN"/>
              </w:rPr>
              <w:t>&lt;</w:t>
            </w:r>
            <w:r>
              <w:rPr>
                <w:rFonts w:hint="eastAsia"/>
                <w:color w:val="auto"/>
                <w:highlight w:val="none"/>
                <w:lang w:val="en-US" w:eastAsia="zh-CN"/>
              </w:rPr>
              <w:t>0.005</w:t>
            </w:r>
          </w:p>
        </w:tc>
        <w:tc>
          <w:tcPr>
            <w:tcW w:w="1277" w:type="dxa"/>
            <w:tcBorders>
              <w:tl2br w:val="nil"/>
              <w:tr2bl w:val="nil"/>
            </w:tcBorders>
            <w:vAlign w:val="center"/>
          </w:tcPr>
          <w:p>
            <w:pPr>
              <w:pStyle w:val="22"/>
              <w:bidi w:val="0"/>
              <w:jc w:val="center"/>
              <w:rPr>
                <w:color w:val="auto"/>
                <w:highlight w:val="none"/>
              </w:rPr>
            </w:pPr>
            <w:r>
              <w:rPr>
                <w:color w:val="auto"/>
                <w:highlight w:val="none"/>
              </w:rPr>
              <w:t>&lt;10</w:t>
            </w:r>
          </w:p>
        </w:tc>
        <w:tc>
          <w:tcPr>
            <w:tcW w:w="1280" w:type="dxa"/>
            <w:tcBorders>
              <w:tl2br w:val="nil"/>
              <w:tr2bl w:val="nil"/>
            </w:tcBorders>
            <w:vAlign w:val="center"/>
          </w:tcPr>
          <w:p>
            <w:pPr>
              <w:pStyle w:val="22"/>
              <w:bidi w:val="0"/>
              <w:rPr>
                <w:color w:val="auto"/>
                <w:highlight w:val="none"/>
              </w:rPr>
            </w:pPr>
            <w:r>
              <w:rPr>
                <w:rFonts w:hint="eastAsia"/>
                <w:color w:val="auto"/>
                <w:highlight w:val="none"/>
                <w:lang w:val="en-US" w:eastAsia="zh-CN"/>
              </w:rPr>
              <w:t>0.74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944" w:type="dxa"/>
            <w:gridSpan w:val="2"/>
            <w:tcBorders>
              <w:tl2br w:val="nil"/>
              <w:tr2bl w:val="nil"/>
            </w:tcBorders>
            <w:vAlign w:val="center"/>
          </w:tcPr>
          <w:p>
            <w:pPr>
              <w:pStyle w:val="22"/>
              <w:bidi w:val="0"/>
              <w:jc w:val="center"/>
              <w:rPr>
                <w:color w:val="auto"/>
                <w:highlight w:val="none"/>
              </w:rPr>
            </w:pPr>
            <w:r>
              <w:rPr>
                <w:color w:val="auto"/>
                <w:highlight w:val="none"/>
              </w:rPr>
              <w:t>浓度范围（mg/m</w:t>
            </w:r>
            <w:r>
              <w:rPr>
                <w:color w:val="auto"/>
                <w:highlight w:val="none"/>
                <w:vertAlign w:val="superscript"/>
              </w:rPr>
              <w:t>3</w:t>
            </w:r>
            <w:r>
              <w:rPr>
                <w:color w:val="auto"/>
                <w:highlight w:val="none"/>
              </w:rPr>
              <w:t>）</w:t>
            </w:r>
          </w:p>
        </w:tc>
        <w:tc>
          <w:tcPr>
            <w:tcW w:w="1622" w:type="dxa"/>
            <w:tcBorders>
              <w:tl2br w:val="nil"/>
              <w:tr2bl w:val="nil"/>
            </w:tcBorders>
            <w:vAlign w:val="center"/>
          </w:tcPr>
          <w:p>
            <w:pPr>
              <w:pStyle w:val="22"/>
              <w:bidi w:val="0"/>
              <w:jc w:val="center"/>
              <w:rPr>
                <w:color w:val="auto"/>
                <w:highlight w:val="none"/>
              </w:rPr>
            </w:pPr>
            <w:r>
              <w:rPr>
                <w:color w:val="auto"/>
                <w:highlight w:val="none"/>
              </w:rPr>
              <w:t>/</w:t>
            </w:r>
          </w:p>
        </w:tc>
        <w:tc>
          <w:tcPr>
            <w:tcW w:w="1277" w:type="dxa"/>
            <w:tcBorders>
              <w:tl2br w:val="nil"/>
              <w:tr2bl w:val="nil"/>
            </w:tcBorders>
            <w:vAlign w:val="center"/>
          </w:tcPr>
          <w:p>
            <w:pPr>
              <w:pStyle w:val="22"/>
              <w:bidi w:val="0"/>
              <w:jc w:val="center"/>
              <w:rPr>
                <w:rFonts w:hint="default" w:eastAsia="宋体"/>
                <w:color w:val="auto"/>
                <w:highlight w:val="none"/>
                <w:lang w:val="en-US" w:eastAsia="zh-CN"/>
              </w:rPr>
            </w:pPr>
            <w:r>
              <w:rPr>
                <w:rFonts w:hint="eastAsia"/>
                <w:color w:val="auto"/>
                <w:highlight w:val="none"/>
                <w:lang w:val="en-US" w:eastAsia="zh-CN"/>
              </w:rPr>
              <w:t>0.04~0.05</w:t>
            </w:r>
          </w:p>
        </w:tc>
        <w:tc>
          <w:tcPr>
            <w:tcW w:w="1277" w:type="dxa"/>
            <w:tcBorders>
              <w:tl2br w:val="nil"/>
              <w:tr2bl w:val="nil"/>
            </w:tcBorders>
            <w:vAlign w:val="center"/>
          </w:tcPr>
          <w:p>
            <w:pPr>
              <w:pStyle w:val="22"/>
              <w:bidi w:val="0"/>
              <w:jc w:val="center"/>
              <w:rPr>
                <w:color w:val="auto"/>
                <w:highlight w:val="none"/>
              </w:rPr>
            </w:pPr>
            <w:r>
              <w:rPr>
                <w:color w:val="auto"/>
                <w:highlight w:val="none"/>
              </w:rPr>
              <w:t>0.005</w:t>
            </w:r>
          </w:p>
        </w:tc>
        <w:tc>
          <w:tcPr>
            <w:tcW w:w="1277" w:type="dxa"/>
            <w:tcBorders>
              <w:tl2br w:val="nil"/>
              <w:tr2bl w:val="nil"/>
            </w:tcBorders>
            <w:vAlign w:val="center"/>
          </w:tcPr>
          <w:p>
            <w:pPr>
              <w:pStyle w:val="22"/>
              <w:bidi w:val="0"/>
              <w:jc w:val="center"/>
              <w:rPr>
                <w:color w:val="auto"/>
                <w:highlight w:val="none"/>
              </w:rPr>
            </w:pPr>
            <w:r>
              <w:rPr>
                <w:color w:val="auto"/>
                <w:highlight w:val="none"/>
              </w:rPr>
              <w:t>&lt;10</w:t>
            </w:r>
          </w:p>
        </w:tc>
        <w:tc>
          <w:tcPr>
            <w:tcW w:w="1280" w:type="dxa"/>
            <w:tcBorders>
              <w:tl2br w:val="nil"/>
              <w:tr2bl w:val="nil"/>
            </w:tcBorders>
            <w:vAlign w:val="center"/>
          </w:tcPr>
          <w:p>
            <w:pPr>
              <w:pStyle w:val="22"/>
              <w:bidi w:val="0"/>
              <w:jc w:val="center"/>
              <w:rPr>
                <w:rFonts w:hint="default" w:eastAsia="宋体"/>
                <w:color w:val="auto"/>
                <w:highlight w:val="none"/>
                <w:lang w:val="en-US" w:eastAsia="zh-CN"/>
              </w:rPr>
            </w:pPr>
            <w:r>
              <w:rPr>
                <w:rFonts w:hint="eastAsia"/>
                <w:color w:val="auto"/>
                <w:highlight w:val="none"/>
                <w:lang w:val="en-US" w:eastAsia="zh-CN"/>
              </w:rPr>
              <w:t>0.57~0.85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944" w:type="dxa"/>
            <w:gridSpan w:val="2"/>
            <w:tcBorders>
              <w:tl2br w:val="nil"/>
              <w:tr2bl w:val="nil"/>
            </w:tcBorders>
            <w:vAlign w:val="center"/>
          </w:tcPr>
          <w:p>
            <w:pPr>
              <w:pStyle w:val="22"/>
              <w:bidi w:val="0"/>
              <w:jc w:val="center"/>
              <w:rPr>
                <w:color w:val="auto"/>
                <w:highlight w:val="none"/>
              </w:rPr>
            </w:pPr>
            <w:r>
              <w:rPr>
                <w:color w:val="auto"/>
                <w:highlight w:val="none"/>
              </w:rPr>
              <w:t>浓度限值（mg/m</w:t>
            </w:r>
            <w:r>
              <w:rPr>
                <w:color w:val="auto"/>
                <w:highlight w:val="none"/>
                <w:vertAlign w:val="superscript"/>
              </w:rPr>
              <w:t>3</w:t>
            </w:r>
            <w:r>
              <w:rPr>
                <w:color w:val="auto"/>
                <w:highlight w:val="none"/>
              </w:rPr>
              <w:t>）</w:t>
            </w:r>
          </w:p>
        </w:tc>
        <w:tc>
          <w:tcPr>
            <w:tcW w:w="1622" w:type="dxa"/>
            <w:tcBorders>
              <w:tl2br w:val="nil"/>
              <w:tr2bl w:val="nil"/>
            </w:tcBorders>
            <w:vAlign w:val="center"/>
          </w:tcPr>
          <w:p>
            <w:pPr>
              <w:pStyle w:val="22"/>
              <w:bidi w:val="0"/>
              <w:jc w:val="center"/>
              <w:rPr>
                <w:color w:val="auto"/>
                <w:highlight w:val="none"/>
              </w:rPr>
            </w:pPr>
            <w:r>
              <w:rPr>
                <w:color w:val="auto"/>
                <w:highlight w:val="none"/>
              </w:rPr>
              <w:t>/</w:t>
            </w:r>
          </w:p>
        </w:tc>
        <w:tc>
          <w:tcPr>
            <w:tcW w:w="1277" w:type="dxa"/>
            <w:tcBorders>
              <w:tl2br w:val="nil"/>
              <w:tr2bl w:val="nil"/>
            </w:tcBorders>
            <w:vAlign w:val="center"/>
          </w:tcPr>
          <w:p>
            <w:pPr>
              <w:pStyle w:val="22"/>
              <w:bidi w:val="0"/>
              <w:jc w:val="center"/>
              <w:rPr>
                <w:color w:val="auto"/>
                <w:highlight w:val="none"/>
              </w:rPr>
            </w:pPr>
            <w:r>
              <w:rPr>
                <w:color w:val="auto"/>
                <w:highlight w:val="none"/>
              </w:rPr>
              <w:t>＜0.2</w:t>
            </w:r>
          </w:p>
        </w:tc>
        <w:tc>
          <w:tcPr>
            <w:tcW w:w="1277" w:type="dxa"/>
            <w:tcBorders>
              <w:tl2br w:val="nil"/>
              <w:tr2bl w:val="nil"/>
            </w:tcBorders>
            <w:vAlign w:val="center"/>
          </w:tcPr>
          <w:p>
            <w:pPr>
              <w:pStyle w:val="22"/>
              <w:bidi w:val="0"/>
              <w:jc w:val="center"/>
              <w:rPr>
                <w:color w:val="auto"/>
                <w:highlight w:val="none"/>
              </w:rPr>
            </w:pPr>
            <w:r>
              <w:rPr>
                <w:color w:val="auto"/>
                <w:highlight w:val="none"/>
              </w:rPr>
              <w:t>＜0.01</w:t>
            </w:r>
          </w:p>
        </w:tc>
        <w:tc>
          <w:tcPr>
            <w:tcW w:w="1277" w:type="dxa"/>
            <w:tcBorders>
              <w:tl2br w:val="nil"/>
              <w:tr2bl w:val="nil"/>
            </w:tcBorders>
            <w:vAlign w:val="center"/>
          </w:tcPr>
          <w:p>
            <w:pPr>
              <w:pStyle w:val="22"/>
              <w:bidi w:val="0"/>
              <w:jc w:val="center"/>
              <w:rPr>
                <w:color w:val="auto"/>
                <w:highlight w:val="none"/>
              </w:rPr>
            </w:pPr>
            <w:r>
              <w:rPr>
                <w:color w:val="auto"/>
                <w:highlight w:val="none"/>
              </w:rPr>
              <w:t>10</w:t>
            </w:r>
          </w:p>
        </w:tc>
        <w:tc>
          <w:tcPr>
            <w:tcW w:w="1280" w:type="dxa"/>
            <w:tcBorders>
              <w:tl2br w:val="nil"/>
              <w:tr2bl w:val="nil"/>
            </w:tcBorders>
            <w:vAlign w:val="center"/>
          </w:tcPr>
          <w:p>
            <w:pPr>
              <w:pStyle w:val="22"/>
              <w:bidi w:val="0"/>
              <w:jc w:val="center"/>
              <w:rPr>
                <w:rFonts w:hint="default" w:eastAsia="宋体"/>
                <w:color w:val="auto"/>
                <w:highlight w:val="none"/>
                <w:lang w:val="en-US" w:eastAsia="zh-CN"/>
              </w:rPr>
            </w:pPr>
            <w:r>
              <w:rPr>
                <w:rFonts w:hint="eastAsia"/>
                <w:color w:val="auto"/>
                <w:highlight w:val="none"/>
                <w:lang w:val="en-US" w:eastAsia="zh-CN"/>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9" w:hRule="atLeast"/>
          <w:jc w:val="center"/>
        </w:trPr>
        <w:tc>
          <w:tcPr>
            <w:tcW w:w="1944" w:type="dxa"/>
            <w:gridSpan w:val="2"/>
            <w:tcBorders>
              <w:tl2br w:val="nil"/>
              <w:tr2bl w:val="nil"/>
            </w:tcBorders>
            <w:vAlign w:val="center"/>
          </w:tcPr>
          <w:p>
            <w:pPr>
              <w:pStyle w:val="22"/>
              <w:bidi w:val="0"/>
              <w:jc w:val="center"/>
              <w:rPr>
                <w:color w:val="auto"/>
                <w:highlight w:val="none"/>
              </w:rPr>
            </w:pPr>
            <w:r>
              <w:rPr>
                <w:color w:val="auto"/>
                <w:highlight w:val="none"/>
              </w:rPr>
              <w:t>最大浓度占标率（%）</w:t>
            </w:r>
          </w:p>
        </w:tc>
        <w:tc>
          <w:tcPr>
            <w:tcW w:w="1622" w:type="dxa"/>
            <w:tcBorders>
              <w:tl2br w:val="nil"/>
              <w:tr2bl w:val="nil"/>
            </w:tcBorders>
            <w:vAlign w:val="center"/>
          </w:tcPr>
          <w:p>
            <w:pPr>
              <w:pStyle w:val="22"/>
              <w:bidi w:val="0"/>
              <w:jc w:val="center"/>
              <w:rPr>
                <w:color w:val="auto"/>
                <w:highlight w:val="none"/>
              </w:rPr>
            </w:pPr>
            <w:r>
              <w:rPr>
                <w:color w:val="auto"/>
                <w:highlight w:val="none"/>
              </w:rPr>
              <w:t>/</w:t>
            </w:r>
          </w:p>
        </w:tc>
        <w:tc>
          <w:tcPr>
            <w:tcW w:w="1277" w:type="dxa"/>
            <w:tcBorders>
              <w:tl2br w:val="nil"/>
              <w:tr2bl w:val="nil"/>
            </w:tcBorders>
            <w:vAlign w:val="center"/>
          </w:tcPr>
          <w:p>
            <w:pPr>
              <w:pStyle w:val="22"/>
              <w:bidi w:val="0"/>
              <w:jc w:val="center"/>
              <w:rPr>
                <w:rFonts w:hint="default" w:eastAsia="宋体"/>
                <w:color w:val="auto"/>
                <w:highlight w:val="none"/>
                <w:lang w:val="en-US" w:eastAsia="zh-CN"/>
              </w:rPr>
            </w:pPr>
            <w:r>
              <w:rPr>
                <w:rFonts w:hint="eastAsia"/>
                <w:color w:val="auto"/>
                <w:highlight w:val="none"/>
                <w:lang w:val="en-US" w:eastAsia="zh-CN"/>
              </w:rPr>
              <w:t>25</w:t>
            </w:r>
          </w:p>
        </w:tc>
        <w:tc>
          <w:tcPr>
            <w:tcW w:w="1277" w:type="dxa"/>
            <w:tcBorders>
              <w:tl2br w:val="nil"/>
              <w:tr2bl w:val="nil"/>
            </w:tcBorders>
            <w:vAlign w:val="center"/>
          </w:tcPr>
          <w:p>
            <w:pPr>
              <w:pStyle w:val="22"/>
              <w:bidi w:val="0"/>
              <w:jc w:val="center"/>
              <w:rPr>
                <w:rFonts w:hint="default" w:eastAsia="宋体"/>
                <w:color w:val="auto"/>
                <w:highlight w:val="none"/>
                <w:lang w:val="en-US" w:eastAsia="zh-CN"/>
              </w:rPr>
            </w:pPr>
            <w:r>
              <w:rPr>
                <w:rFonts w:hint="eastAsia"/>
                <w:color w:val="auto"/>
                <w:highlight w:val="none"/>
                <w:lang w:val="en-US" w:eastAsia="zh-CN"/>
              </w:rPr>
              <w:t>50</w:t>
            </w:r>
          </w:p>
        </w:tc>
        <w:tc>
          <w:tcPr>
            <w:tcW w:w="1277" w:type="dxa"/>
            <w:tcBorders>
              <w:tl2br w:val="nil"/>
              <w:tr2bl w:val="nil"/>
            </w:tcBorders>
            <w:vAlign w:val="center"/>
          </w:tcPr>
          <w:p>
            <w:pPr>
              <w:pStyle w:val="22"/>
              <w:bidi w:val="0"/>
              <w:jc w:val="center"/>
              <w:rPr>
                <w:color w:val="auto"/>
                <w:highlight w:val="none"/>
              </w:rPr>
            </w:pPr>
            <w:r>
              <w:rPr>
                <w:color w:val="auto"/>
                <w:highlight w:val="none"/>
              </w:rPr>
              <w:t>&lt;1</w:t>
            </w:r>
          </w:p>
        </w:tc>
        <w:tc>
          <w:tcPr>
            <w:tcW w:w="1280" w:type="dxa"/>
            <w:tcBorders>
              <w:tl2br w:val="nil"/>
              <w:tr2bl w:val="nil"/>
            </w:tcBorders>
            <w:vAlign w:val="center"/>
          </w:tcPr>
          <w:p>
            <w:pPr>
              <w:pStyle w:val="22"/>
              <w:bidi w:val="0"/>
              <w:jc w:val="center"/>
              <w:rPr>
                <w:rFonts w:hint="default" w:eastAsia="宋体"/>
                <w:color w:val="auto"/>
                <w:highlight w:val="none"/>
                <w:lang w:val="en-US" w:eastAsia="zh-CN"/>
              </w:rPr>
            </w:pPr>
            <w:r>
              <w:rPr>
                <w:rFonts w:hint="eastAsia"/>
                <w:color w:val="auto"/>
                <w:highlight w:val="none"/>
                <w:lang w:val="en-US" w:eastAsia="zh-CN"/>
              </w:rPr>
              <w:t>42.5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 w:hRule="atLeast"/>
          <w:jc w:val="center"/>
        </w:trPr>
        <w:tc>
          <w:tcPr>
            <w:tcW w:w="1944" w:type="dxa"/>
            <w:gridSpan w:val="2"/>
            <w:tcBorders>
              <w:tl2br w:val="nil"/>
              <w:tr2bl w:val="nil"/>
            </w:tcBorders>
            <w:vAlign w:val="center"/>
          </w:tcPr>
          <w:p>
            <w:pPr>
              <w:pStyle w:val="22"/>
              <w:bidi w:val="0"/>
              <w:jc w:val="center"/>
              <w:rPr>
                <w:color w:val="auto"/>
                <w:highlight w:val="none"/>
              </w:rPr>
            </w:pPr>
            <w:r>
              <w:rPr>
                <w:color w:val="auto"/>
                <w:highlight w:val="none"/>
              </w:rPr>
              <w:t>超标率（%）</w:t>
            </w:r>
          </w:p>
        </w:tc>
        <w:tc>
          <w:tcPr>
            <w:tcW w:w="1622" w:type="dxa"/>
            <w:tcBorders>
              <w:tl2br w:val="nil"/>
              <w:tr2bl w:val="nil"/>
            </w:tcBorders>
            <w:vAlign w:val="center"/>
          </w:tcPr>
          <w:p>
            <w:pPr>
              <w:pStyle w:val="22"/>
              <w:bidi w:val="0"/>
              <w:jc w:val="center"/>
              <w:rPr>
                <w:color w:val="auto"/>
                <w:highlight w:val="none"/>
              </w:rPr>
            </w:pPr>
            <w:r>
              <w:rPr>
                <w:color w:val="auto"/>
                <w:highlight w:val="none"/>
              </w:rPr>
              <w:t>0</w:t>
            </w:r>
          </w:p>
        </w:tc>
        <w:tc>
          <w:tcPr>
            <w:tcW w:w="1277" w:type="dxa"/>
            <w:tcBorders>
              <w:tl2br w:val="nil"/>
              <w:tr2bl w:val="nil"/>
            </w:tcBorders>
            <w:vAlign w:val="center"/>
          </w:tcPr>
          <w:p>
            <w:pPr>
              <w:pStyle w:val="22"/>
              <w:bidi w:val="0"/>
              <w:jc w:val="center"/>
              <w:rPr>
                <w:color w:val="auto"/>
                <w:highlight w:val="none"/>
              </w:rPr>
            </w:pPr>
            <w:r>
              <w:rPr>
                <w:color w:val="auto"/>
                <w:highlight w:val="none"/>
              </w:rPr>
              <w:t>0</w:t>
            </w:r>
          </w:p>
        </w:tc>
        <w:tc>
          <w:tcPr>
            <w:tcW w:w="1277" w:type="dxa"/>
            <w:tcBorders>
              <w:tl2br w:val="nil"/>
              <w:tr2bl w:val="nil"/>
            </w:tcBorders>
            <w:vAlign w:val="center"/>
          </w:tcPr>
          <w:p>
            <w:pPr>
              <w:pStyle w:val="22"/>
              <w:bidi w:val="0"/>
              <w:jc w:val="center"/>
              <w:rPr>
                <w:color w:val="auto"/>
                <w:highlight w:val="none"/>
              </w:rPr>
            </w:pPr>
            <w:r>
              <w:rPr>
                <w:color w:val="auto"/>
                <w:highlight w:val="none"/>
              </w:rPr>
              <w:t>0</w:t>
            </w:r>
          </w:p>
        </w:tc>
        <w:tc>
          <w:tcPr>
            <w:tcW w:w="1277" w:type="dxa"/>
            <w:tcBorders>
              <w:tl2br w:val="nil"/>
              <w:tr2bl w:val="nil"/>
            </w:tcBorders>
            <w:vAlign w:val="center"/>
          </w:tcPr>
          <w:p>
            <w:pPr>
              <w:pStyle w:val="22"/>
              <w:bidi w:val="0"/>
              <w:jc w:val="center"/>
              <w:rPr>
                <w:color w:val="auto"/>
                <w:highlight w:val="none"/>
              </w:rPr>
            </w:pPr>
            <w:r>
              <w:rPr>
                <w:color w:val="auto"/>
                <w:highlight w:val="none"/>
              </w:rPr>
              <w:t>0</w:t>
            </w:r>
          </w:p>
        </w:tc>
        <w:tc>
          <w:tcPr>
            <w:tcW w:w="1280" w:type="dxa"/>
            <w:tcBorders>
              <w:tl2br w:val="nil"/>
              <w:tr2bl w:val="nil"/>
            </w:tcBorders>
            <w:vAlign w:val="center"/>
          </w:tcPr>
          <w:p>
            <w:pPr>
              <w:pStyle w:val="22"/>
              <w:bidi w:val="0"/>
              <w:jc w:val="center"/>
              <w:rPr>
                <w:rFonts w:hint="eastAsia" w:eastAsia="宋体"/>
                <w:color w:val="auto"/>
                <w:highlight w:val="none"/>
                <w:lang w:val="en-US" w:eastAsia="zh-CN"/>
              </w:rPr>
            </w:pPr>
            <w:r>
              <w:rPr>
                <w:rFonts w:hint="eastAsia"/>
                <w:color w:val="auto"/>
                <w:highlight w:val="none"/>
                <w:lang w:val="en-US" w:eastAsia="zh-CN"/>
              </w:rPr>
              <w:t>0</w:t>
            </w:r>
          </w:p>
        </w:tc>
      </w:tr>
    </w:tbl>
    <w:p>
      <w:pPr>
        <w:pStyle w:val="22"/>
        <w:bidi w:val="0"/>
        <w:jc w:val="left"/>
        <w:rPr>
          <w:color w:val="auto"/>
        </w:rPr>
      </w:pPr>
      <w:r>
        <w:rPr>
          <w:color w:val="auto"/>
        </w:rPr>
        <w:t>注：数字加L：其中数字表示检出限，L表示小于检出限。</w:t>
      </w:r>
    </w:p>
    <w:p>
      <w:pPr>
        <w:bidi w:val="0"/>
        <w:rPr>
          <w:color w:val="auto"/>
        </w:rPr>
      </w:pPr>
      <w:r>
        <w:rPr>
          <w:rFonts w:hint="eastAsia" w:ascii="Times New Roman" w:eastAsia="宋体"/>
          <w:color w:val="auto"/>
          <w:lang w:val="en-US" w:eastAsia="zh-CN"/>
        </w:rPr>
        <w:t>由</w:t>
      </w:r>
      <w:r>
        <w:rPr>
          <w:color w:val="auto"/>
        </w:rPr>
        <w:t>表</w:t>
      </w:r>
      <w:r>
        <w:rPr>
          <w:rFonts w:hint="eastAsia" w:ascii="Times New Roman" w:eastAsia="宋体"/>
          <w:color w:val="auto"/>
          <w:lang w:val="en-US" w:eastAsia="zh-CN"/>
        </w:rPr>
        <w:t>4.2-3</w:t>
      </w:r>
      <w:r>
        <w:rPr>
          <w:color w:val="auto"/>
        </w:rPr>
        <w:t>可知，疾控中心下风向NH</w:t>
      </w:r>
      <w:r>
        <w:rPr>
          <w:color w:val="auto"/>
          <w:vertAlign w:val="subscript"/>
        </w:rPr>
        <w:t>3</w:t>
      </w:r>
      <w:r>
        <w:rPr>
          <w:color w:val="auto"/>
        </w:rPr>
        <w:t>、H</w:t>
      </w:r>
      <w:r>
        <w:rPr>
          <w:color w:val="auto"/>
          <w:vertAlign w:val="subscript"/>
        </w:rPr>
        <w:t>2</w:t>
      </w:r>
      <w:r>
        <w:rPr>
          <w:color w:val="auto"/>
        </w:rPr>
        <w:t>S均能满足《环境影响评价技术导则大气环境》（H.J2.2-2018）附D的相关标准。</w:t>
      </w:r>
    </w:p>
    <w:p>
      <w:pPr>
        <w:bidi w:val="0"/>
        <w:rPr>
          <w:color w:val="auto"/>
        </w:rPr>
      </w:pPr>
      <w:r>
        <w:rPr>
          <w:color w:val="auto"/>
        </w:rPr>
        <w:t>非甲烷总烃</w:t>
      </w:r>
      <w:r>
        <w:rPr>
          <w:rFonts w:hint="eastAsia" w:ascii="Times New Roman" w:eastAsia="宋体"/>
          <w:color w:val="auto"/>
          <w:lang w:val="en-US" w:eastAsia="zh-CN"/>
        </w:rPr>
        <w:t>满足</w:t>
      </w:r>
      <w:r>
        <w:rPr>
          <w:color w:val="auto"/>
        </w:rPr>
        <w:t>《大气污染物综合排放标准详解》（国家环境保护局科技标准司主编，中国环境科学出版社，1997）中提出的环境标准限值；</w:t>
      </w:r>
    </w:p>
    <w:p>
      <w:pPr>
        <w:bidi w:val="0"/>
        <w:rPr>
          <w:color w:val="auto"/>
        </w:rPr>
      </w:pPr>
      <w:r>
        <w:rPr>
          <w:color w:val="auto"/>
        </w:rPr>
        <w:t>我国尚未出台臭气浓度环境质量标准，通过监测，臭气浓度符合《医疗机构水污染物排放标准》（GB18466-2005）中表3的排放标准限要求。</w:t>
      </w:r>
    </w:p>
    <w:p>
      <w:pPr>
        <w:bidi w:val="0"/>
        <w:rPr>
          <w:color w:val="auto"/>
        </w:rPr>
      </w:pPr>
      <w:r>
        <w:rPr>
          <w:color w:val="auto"/>
        </w:rPr>
        <w:t>本项目臭气浓度监测结果可以作为工程建设前区域背景值，作为本项目环境管理基础数据。</w:t>
      </w:r>
    </w:p>
    <w:p>
      <w:pPr>
        <w:pStyle w:val="6"/>
        <w:bidi w:val="0"/>
        <w:rPr>
          <w:color w:val="auto"/>
        </w:rPr>
      </w:pPr>
      <w:bookmarkStart w:id="85" w:name="_Toc24118"/>
      <w:r>
        <w:rPr>
          <w:color w:val="auto"/>
        </w:rPr>
        <w:t>4.2.2地表水环境现状调查及评价</w:t>
      </w:r>
      <w:bookmarkEnd w:id="85"/>
    </w:p>
    <w:p>
      <w:pPr>
        <w:bidi w:val="0"/>
        <w:rPr>
          <w:rFonts w:hint="eastAsia"/>
          <w:color w:val="auto"/>
          <w:lang w:val="en-US" w:eastAsia="zh-CN"/>
        </w:rPr>
      </w:pPr>
      <w:r>
        <w:rPr>
          <w:rFonts w:hint="eastAsia"/>
          <w:color w:val="auto"/>
          <w:lang w:val="en-US" w:eastAsia="zh-CN"/>
        </w:rPr>
        <w:t>本项目地表水评价等级为三级B，且项目区周边无地表水体分布，因此无需进行地表水环境质量现状调查。</w:t>
      </w:r>
    </w:p>
    <w:p>
      <w:pPr>
        <w:pStyle w:val="6"/>
        <w:bidi w:val="0"/>
        <w:rPr>
          <w:color w:val="auto"/>
        </w:rPr>
      </w:pPr>
      <w:bookmarkStart w:id="86" w:name="_Toc3812"/>
      <w:r>
        <w:rPr>
          <w:color w:val="auto"/>
        </w:rPr>
        <w:t>4.2.3地下水质量现状调查与评价</w:t>
      </w:r>
      <w:bookmarkEnd w:id="86"/>
    </w:p>
    <w:p>
      <w:pPr>
        <w:bidi w:val="0"/>
        <w:rPr>
          <w:color w:val="auto"/>
        </w:rPr>
      </w:pPr>
      <w:r>
        <w:rPr>
          <w:color w:val="auto"/>
        </w:rPr>
        <w:t>根据《环境影响评价技术导则地下水环境》（HJ610-2016）中附录A，本项目为疾病预防和控制中心项目，确定本项目所属地下水环境影响评价项目类别为Ⅳ类项目（V社会事业与服务业160疾病预防和控制中心）。本项目区不属于生活供水水源地准保护区以及补给径流区，也不属于特殊地下水资源（如热水、矿泉水、温泉等）保护区及以外的分布区，地下水环境敏感程度分级为“不敏感”。</w:t>
      </w:r>
    </w:p>
    <w:p>
      <w:pPr>
        <w:bidi w:val="0"/>
        <w:rPr>
          <w:color w:val="auto"/>
        </w:rPr>
      </w:pPr>
      <w:r>
        <w:rPr>
          <w:color w:val="auto"/>
        </w:rPr>
        <w:t>按照导则要求，Ⅳ类项目可不开展地下水环境影响评价，因此，项目仅对地下水进行简单分析。</w:t>
      </w:r>
    </w:p>
    <w:p>
      <w:pPr>
        <w:pStyle w:val="6"/>
        <w:bidi w:val="0"/>
        <w:rPr>
          <w:color w:val="auto"/>
        </w:rPr>
      </w:pPr>
      <w:bookmarkStart w:id="87" w:name="_Toc10807"/>
      <w:r>
        <w:rPr>
          <w:color w:val="auto"/>
        </w:rPr>
        <w:t>4.2.4声环境质量现状调查与评价</w:t>
      </w:r>
      <w:bookmarkEnd w:id="87"/>
    </w:p>
    <w:p>
      <w:pPr>
        <w:bidi w:val="0"/>
        <w:rPr>
          <w:rFonts w:hint="eastAsia"/>
          <w:color w:val="auto"/>
          <w:lang w:val="en-US" w:eastAsia="zh-CN"/>
        </w:rPr>
      </w:pPr>
      <w:r>
        <w:rPr>
          <w:rFonts w:hint="eastAsia"/>
          <w:color w:val="auto"/>
          <w:lang w:val="en-US" w:eastAsia="zh-CN"/>
        </w:rPr>
        <w:t>（1）监测点位</w:t>
      </w:r>
    </w:p>
    <w:p>
      <w:pPr>
        <w:bidi w:val="0"/>
        <w:rPr>
          <w:rFonts w:hint="default" w:eastAsia="宋体"/>
          <w:color w:val="auto"/>
          <w:lang w:val="en-US" w:eastAsia="zh-CN"/>
        </w:rPr>
      </w:pPr>
      <w:r>
        <w:rPr>
          <w:color w:val="auto"/>
        </w:rPr>
        <w:t>根据本项目建设内容及总体布置，结合调查范围内敏感目标分布情况，本次评价声环境质量现状监测共设置</w:t>
      </w:r>
      <w:r>
        <w:rPr>
          <w:rFonts w:hint="eastAsia"/>
          <w:color w:val="auto"/>
          <w:lang w:val="en-US" w:eastAsia="zh-CN"/>
        </w:rPr>
        <w:t>4</w:t>
      </w:r>
      <w:r>
        <w:rPr>
          <w:color w:val="auto"/>
        </w:rPr>
        <w:t>个监测点，分别在项目区东、南、西、北边界、声环境质量现状监测点位布设情况见表4</w:t>
      </w:r>
      <w:r>
        <w:rPr>
          <w:rFonts w:hint="eastAsia"/>
          <w:color w:val="auto"/>
          <w:lang w:val="en-US" w:eastAsia="zh-CN"/>
        </w:rPr>
        <w:t>.2-4。</w:t>
      </w:r>
    </w:p>
    <w:p>
      <w:pPr>
        <w:pStyle w:val="22"/>
        <w:bidi w:val="0"/>
        <w:rPr>
          <w:b w:val="0"/>
          <w:bCs w:val="0"/>
          <w:color w:val="auto"/>
        </w:rPr>
      </w:pPr>
      <w:r>
        <w:rPr>
          <w:b/>
          <w:bCs/>
          <w:color w:val="auto"/>
        </w:rPr>
        <w:t>表4</w:t>
      </w:r>
      <w:r>
        <w:rPr>
          <w:rFonts w:hint="eastAsia"/>
          <w:b/>
          <w:bCs/>
          <w:color w:val="auto"/>
          <w:lang w:val="en-US" w:eastAsia="zh-CN"/>
        </w:rPr>
        <w:t>.2-4</w:t>
      </w:r>
      <w:r>
        <w:rPr>
          <w:b/>
          <w:bCs/>
          <w:color w:val="auto"/>
        </w:rPr>
        <w:t>声环境质量现状监测点位布设情况一览表</w:t>
      </w:r>
    </w:p>
    <w:tbl>
      <w:tblPr>
        <w:tblStyle w:val="23"/>
        <w:tblW w:w="852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
        <w:gridCol w:w="2382"/>
        <w:gridCol w:w="3"/>
        <w:gridCol w:w="3128"/>
        <w:gridCol w:w="3"/>
        <w:gridCol w:w="3007"/>
        <w:gridCol w:w="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dxa"/>
          <w:trHeight w:val="320" w:hRule="atLeast"/>
          <w:jc w:val="center"/>
        </w:trPr>
        <w:tc>
          <w:tcPr>
            <w:tcW w:w="2385" w:type="dxa"/>
            <w:gridSpan w:val="2"/>
            <w:vAlign w:val="center"/>
          </w:tcPr>
          <w:p>
            <w:pPr>
              <w:pStyle w:val="22"/>
              <w:bidi w:val="0"/>
              <w:jc w:val="center"/>
              <w:rPr>
                <w:b/>
                <w:bCs/>
                <w:color w:val="auto"/>
              </w:rPr>
            </w:pPr>
            <w:r>
              <w:rPr>
                <w:b/>
                <w:bCs/>
                <w:color w:val="auto"/>
              </w:rPr>
              <w:t>监测点编号</w:t>
            </w:r>
          </w:p>
        </w:tc>
        <w:tc>
          <w:tcPr>
            <w:tcW w:w="3131" w:type="dxa"/>
            <w:gridSpan w:val="2"/>
            <w:vAlign w:val="center"/>
          </w:tcPr>
          <w:p>
            <w:pPr>
              <w:pStyle w:val="22"/>
              <w:bidi w:val="0"/>
              <w:jc w:val="center"/>
              <w:rPr>
                <w:b/>
                <w:bCs/>
                <w:color w:val="auto"/>
              </w:rPr>
            </w:pPr>
            <w:r>
              <w:rPr>
                <w:b/>
                <w:bCs/>
                <w:color w:val="auto"/>
              </w:rPr>
              <w:t>监测点位置</w:t>
            </w:r>
          </w:p>
        </w:tc>
        <w:tc>
          <w:tcPr>
            <w:tcW w:w="3010" w:type="dxa"/>
            <w:gridSpan w:val="2"/>
            <w:vAlign w:val="center"/>
          </w:tcPr>
          <w:p>
            <w:pPr>
              <w:pStyle w:val="22"/>
              <w:bidi w:val="0"/>
              <w:jc w:val="center"/>
              <w:rPr>
                <w:b/>
                <w:bCs/>
                <w:color w:val="auto"/>
              </w:rPr>
            </w:pPr>
            <w:r>
              <w:rPr>
                <w:b/>
                <w:bCs/>
                <w:color w:val="auto"/>
              </w:rPr>
              <w:t>点位功能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dxa"/>
          <w:trHeight w:val="316" w:hRule="atLeast"/>
          <w:jc w:val="center"/>
        </w:trPr>
        <w:tc>
          <w:tcPr>
            <w:tcW w:w="2385" w:type="dxa"/>
            <w:gridSpan w:val="2"/>
            <w:vAlign w:val="center"/>
          </w:tcPr>
          <w:p>
            <w:pPr>
              <w:pStyle w:val="22"/>
              <w:bidi w:val="0"/>
              <w:jc w:val="center"/>
              <w:rPr>
                <w:color w:val="auto"/>
              </w:rPr>
            </w:pPr>
            <w:r>
              <w:rPr>
                <w:color w:val="auto"/>
              </w:rPr>
              <w:t>1#</w:t>
            </w:r>
          </w:p>
        </w:tc>
        <w:tc>
          <w:tcPr>
            <w:tcW w:w="3131" w:type="dxa"/>
            <w:gridSpan w:val="2"/>
            <w:vAlign w:val="center"/>
          </w:tcPr>
          <w:p>
            <w:pPr>
              <w:pStyle w:val="22"/>
              <w:bidi w:val="0"/>
              <w:jc w:val="center"/>
              <w:rPr>
                <w:color w:val="auto"/>
              </w:rPr>
            </w:pPr>
            <w:r>
              <w:rPr>
                <w:color w:val="auto"/>
              </w:rPr>
              <w:t>东厂界</w:t>
            </w:r>
          </w:p>
        </w:tc>
        <w:tc>
          <w:tcPr>
            <w:tcW w:w="3010" w:type="dxa"/>
            <w:gridSpan w:val="2"/>
            <w:vAlign w:val="center"/>
          </w:tcPr>
          <w:p>
            <w:pPr>
              <w:pStyle w:val="22"/>
              <w:bidi w:val="0"/>
              <w:jc w:val="center"/>
              <w:rPr>
                <w:color w:val="auto"/>
              </w:rPr>
            </w:pPr>
            <w:r>
              <w:rPr>
                <w:color w:val="auto"/>
              </w:rPr>
              <w:t>厂界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dxa"/>
          <w:trHeight w:val="316" w:hRule="atLeast"/>
          <w:jc w:val="center"/>
        </w:trPr>
        <w:tc>
          <w:tcPr>
            <w:tcW w:w="2385" w:type="dxa"/>
            <w:gridSpan w:val="2"/>
            <w:vAlign w:val="center"/>
          </w:tcPr>
          <w:p>
            <w:pPr>
              <w:pStyle w:val="22"/>
              <w:bidi w:val="0"/>
              <w:jc w:val="center"/>
              <w:rPr>
                <w:color w:val="auto"/>
              </w:rPr>
            </w:pPr>
            <w:r>
              <w:rPr>
                <w:color w:val="auto"/>
              </w:rPr>
              <w:t>2#</w:t>
            </w:r>
          </w:p>
        </w:tc>
        <w:tc>
          <w:tcPr>
            <w:tcW w:w="3131" w:type="dxa"/>
            <w:gridSpan w:val="2"/>
            <w:vAlign w:val="center"/>
          </w:tcPr>
          <w:p>
            <w:pPr>
              <w:pStyle w:val="22"/>
              <w:bidi w:val="0"/>
              <w:jc w:val="center"/>
              <w:rPr>
                <w:color w:val="auto"/>
              </w:rPr>
            </w:pPr>
            <w:r>
              <w:rPr>
                <w:color w:val="auto"/>
              </w:rPr>
              <w:t>南厂界</w:t>
            </w:r>
          </w:p>
        </w:tc>
        <w:tc>
          <w:tcPr>
            <w:tcW w:w="3010" w:type="dxa"/>
            <w:gridSpan w:val="2"/>
            <w:vAlign w:val="center"/>
          </w:tcPr>
          <w:p>
            <w:pPr>
              <w:pStyle w:val="22"/>
              <w:bidi w:val="0"/>
              <w:jc w:val="center"/>
              <w:rPr>
                <w:color w:val="auto"/>
              </w:rPr>
            </w:pPr>
            <w:r>
              <w:rPr>
                <w:color w:val="auto"/>
              </w:rPr>
              <w:t>厂界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3" w:type="dxa"/>
          <w:trHeight w:val="318" w:hRule="atLeast"/>
          <w:jc w:val="center"/>
        </w:trPr>
        <w:tc>
          <w:tcPr>
            <w:tcW w:w="2385" w:type="dxa"/>
            <w:gridSpan w:val="2"/>
            <w:vAlign w:val="center"/>
          </w:tcPr>
          <w:p>
            <w:pPr>
              <w:pStyle w:val="22"/>
              <w:bidi w:val="0"/>
              <w:jc w:val="center"/>
              <w:rPr>
                <w:color w:val="auto"/>
              </w:rPr>
            </w:pPr>
            <w:r>
              <w:rPr>
                <w:color w:val="auto"/>
              </w:rPr>
              <w:t>3#</w:t>
            </w:r>
          </w:p>
        </w:tc>
        <w:tc>
          <w:tcPr>
            <w:tcW w:w="3131" w:type="dxa"/>
            <w:gridSpan w:val="2"/>
            <w:vAlign w:val="center"/>
          </w:tcPr>
          <w:p>
            <w:pPr>
              <w:pStyle w:val="22"/>
              <w:bidi w:val="0"/>
              <w:jc w:val="center"/>
              <w:rPr>
                <w:color w:val="auto"/>
              </w:rPr>
            </w:pPr>
            <w:r>
              <w:rPr>
                <w:color w:val="auto"/>
              </w:rPr>
              <w:t>西厂界</w:t>
            </w:r>
          </w:p>
        </w:tc>
        <w:tc>
          <w:tcPr>
            <w:tcW w:w="3010" w:type="dxa"/>
            <w:gridSpan w:val="2"/>
            <w:vAlign w:val="center"/>
          </w:tcPr>
          <w:p>
            <w:pPr>
              <w:pStyle w:val="22"/>
              <w:bidi w:val="0"/>
              <w:jc w:val="center"/>
              <w:rPr>
                <w:color w:val="auto"/>
              </w:rPr>
            </w:pPr>
            <w:r>
              <w:rPr>
                <w:color w:val="auto"/>
              </w:rPr>
              <w:t>厂界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Before w:val="1"/>
          <w:wBefore w:w="3" w:type="dxa"/>
          <w:trHeight w:val="320" w:hRule="atLeast"/>
          <w:jc w:val="center"/>
        </w:trPr>
        <w:tc>
          <w:tcPr>
            <w:tcW w:w="2385" w:type="dxa"/>
            <w:gridSpan w:val="2"/>
            <w:vAlign w:val="center"/>
          </w:tcPr>
          <w:p>
            <w:pPr>
              <w:pStyle w:val="22"/>
              <w:bidi w:val="0"/>
              <w:jc w:val="center"/>
              <w:rPr>
                <w:color w:val="auto"/>
              </w:rPr>
            </w:pPr>
            <w:r>
              <w:rPr>
                <w:color w:val="auto"/>
              </w:rPr>
              <w:t>4#</w:t>
            </w:r>
          </w:p>
        </w:tc>
        <w:tc>
          <w:tcPr>
            <w:tcW w:w="3131" w:type="dxa"/>
            <w:gridSpan w:val="2"/>
            <w:vAlign w:val="center"/>
          </w:tcPr>
          <w:p>
            <w:pPr>
              <w:pStyle w:val="22"/>
              <w:bidi w:val="0"/>
              <w:jc w:val="center"/>
              <w:rPr>
                <w:color w:val="auto"/>
              </w:rPr>
            </w:pPr>
            <w:r>
              <w:rPr>
                <w:color w:val="auto"/>
              </w:rPr>
              <w:t>北厂界</w:t>
            </w:r>
          </w:p>
        </w:tc>
        <w:tc>
          <w:tcPr>
            <w:tcW w:w="3010" w:type="dxa"/>
            <w:gridSpan w:val="2"/>
            <w:vAlign w:val="center"/>
          </w:tcPr>
          <w:p>
            <w:pPr>
              <w:pStyle w:val="22"/>
              <w:bidi w:val="0"/>
              <w:jc w:val="center"/>
              <w:rPr>
                <w:color w:val="auto"/>
              </w:rPr>
            </w:pPr>
            <w:r>
              <w:rPr>
                <w:color w:val="auto"/>
              </w:rPr>
              <w:t>厂界</w:t>
            </w:r>
          </w:p>
        </w:tc>
      </w:tr>
    </w:tbl>
    <w:p>
      <w:pPr>
        <w:bidi w:val="0"/>
        <w:rPr>
          <w:color w:val="auto"/>
        </w:rPr>
      </w:pPr>
      <w:r>
        <w:rPr>
          <w:rFonts w:hint="eastAsia"/>
          <w:color w:val="auto"/>
          <w:lang w:eastAsia="zh-CN"/>
        </w:rPr>
        <w:t>（</w:t>
      </w:r>
      <w:r>
        <w:rPr>
          <w:rFonts w:hint="eastAsia"/>
          <w:color w:val="auto"/>
          <w:lang w:val="en-US" w:eastAsia="zh-CN"/>
        </w:rPr>
        <w:t>2</w:t>
      </w:r>
      <w:r>
        <w:rPr>
          <w:rFonts w:hint="eastAsia"/>
          <w:color w:val="auto"/>
          <w:lang w:eastAsia="zh-CN"/>
        </w:rPr>
        <w:t>）</w:t>
      </w:r>
      <w:r>
        <w:rPr>
          <w:color w:val="auto"/>
        </w:rPr>
        <w:t>监测时间及监测频率</w:t>
      </w:r>
    </w:p>
    <w:p>
      <w:pPr>
        <w:bidi w:val="0"/>
        <w:rPr>
          <w:color w:val="auto"/>
        </w:rPr>
      </w:pPr>
      <w:r>
        <w:rPr>
          <w:color w:val="auto"/>
        </w:rPr>
        <w:t>监测1天，昼夜各监测一次。</w:t>
      </w:r>
      <w:r>
        <w:rPr>
          <w:rFonts w:hint="eastAsia"/>
          <w:color w:val="auto"/>
          <w:lang w:val="en-US" w:eastAsia="zh-CN"/>
        </w:rPr>
        <w:t>新疆锡水金山环境科技有限公司</w:t>
      </w:r>
      <w:r>
        <w:rPr>
          <w:color w:val="auto"/>
        </w:rPr>
        <w:t>于202</w:t>
      </w:r>
      <w:r>
        <w:rPr>
          <w:rFonts w:hint="eastAsia"/>
          <w:color w:val="auto"/>
          <w:lang w:val="en-US" w:eastAsia="zh-CN"/>
        </w:rPr>
        <w:t>2</w:t>
      </w:r>
      <w:r>
        <w:rPr>
          <w:color w:val="auto"/>
        </w:rPr>
        <w:t>年</w:t>
      </w:r>
      <w:r>
        <w:rPr>
          <w:rFonts w:hint="eastAsia"/>
          <w:color w:val="auto"/>
          <w:lang w:val="en-US" w:eastAsia="zh-CN"/>
        </w:rPr>
        <w:t>3</w:t>
      </w:r>
      <w:r>
        <w:rPr>
          <w:color w:val="auto"/>
        </w:rPr>
        <w:t>月</w:t>
      </w:r>
      <w:r>
        <w:rPr>
          <w:rFonts w:hint="eastAsia"/>
          <w:color w:val="auto"/>
          <w:lang w:val="en-US" w:eastAsia="zh-CN"/>
        </w:rPr>
        <w:t>1</w:t>
      </w:r>
      <w:r>
        <w:rPr>
          <w:color w:val="auto"/>
        </w:rPr>
        <w:t>日对声环境质量现状监测点位进行了监测。</w:t>
      </w:r>
    </w:p>
    <w:p>
      <w:pPr>
        <w:bidi w:val="0"/>
        <w:rPr>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color w:val="auto"/>
        </w:rPr>
        <w:t>评价方法</w:t>
      </w:r>
    </w:p>
    <w:p>
      <w:pPr>
        <w:bidi w:val="0"/>
        <w:rPr>
          <w:color w:val="auto"/>
        </w:rPr>
      </w:pPr>
      <w:r>
        <w:rPr>
          <w:color w:val="auto"/>
        </w:rPr>
        <w:t>根据声环境现状监测结果，采用等效声级法，结合噪声评价标准，对场址声环境质量现状进行评价。</w:t>
      </w:r>
    </w:p>
    <w:p>
      <w:pPr>
        <w:bidi w:val="0"/>
        <w:rPr>
          <w:color w:val="auto"/>
        </w:rPr>
      </w:pPr>
      <w:r>
        <w:rPr>
          <w:rFonts w:hint="eastAsia"/>
          <w:color w:val="auto"/>
          <w:lang w:eastAsia="zh-CN"/>
        </w:rPr>
        <w:t>（</w:t>
      </w:r>
      <w:r>
        <w:rPr>
          <w:rFonts w:hint="eastAsia"/>
          <w:color w:val="auto"/>
          <w:lang w:val="en-US" w:eastAsia="zh-CN"/>
        </w:rPr>
        <w:t>4</w:t>
      </w:r>
      <w:r>
        <w:rPr>
          <w:rFonts w:hint="eastAsia"/>
          <w:color w:val="auto"/>
          <w:lang w:eastAsia="zh-CN"/>
        </w:rPr>
        <w:t>）</w:t>
      </w:r>
      <w:r>
        <w:rPr>
          <w:color w:val="auto"/>
        </w:rPr>
        <w:t>评价标准</w:t>
      </w:r>
    </w:p>
    <w:p>
      <w:pPr>
        <w:bidi w:val="0"/>
        <w:rPr>
          <w:color w:val="auto"/>
        </w:rPr>
      </w:pPr>
      <w:r>
        <w:rPr>
          <w:color w:val="auto"/>
        </w:rPr>
        <w:t>本次声环境质量现状评价执行《声环境质量标准》（GB3096-2008）1类标准要求，本次声环境质量评价标准见表4</w:t>
      </w:r>
      <w:r>
        <w:rPr>
          <w:rFonts w:hint="eastAsia"/>
          <w:color w:val="auto"/>
          <w:lang w:val="en-US" w:eastAsia="zh-CN"/>
        </w:rPr>
        <w:t>.2-5</w:t>
      </w:r>
      <w:r>
        <w:rPr>
          <w:color w:val="auto"/>
        </w:rPr>
        <w:t>。</w:t>
      </w:r>
    </w:p>
    <w:p>
      <w:pPr>
        <w:pStyle w:val="22"/>
        <w:bidi w:val="0"/>
        <w:rPr>
          <w:b/>
          <w:bCs/>
          <w:color w:val="auto"/>
        </w:rPr>
      </w:pPr>
      <w:r>
        <w:rPr>
          <w:b/>
          <w:bCs/>
          <w:color w:val="auto"/>
        </w:rPr>
        <w:t>表4</w:t>
      </w:r>
      <w:r>
        <w:rPr>
          <w:rFonts w:hint="eastAsia"/>
          <w:b/>
          <w:bCs/>
          <w:color w:val="auto"/>
          <w:lang w:val="en-US" w:eastAsia="zh-CN"/>
        </w:rPr>
        <w:t>.2-5</w:t>
      </w:r>
      <w:r>
        <w:rPr>
          <w:b/>
          <w:bCs/>
          <w:color w:val="auto"/>
        </w:rPr>
        <w:t>声环境质量评价标准</w:t>
      </w:r>
    </w:p>
    <w:p>
      <w:pPr>
        <w:spacing w:line="34" w:lineRule="exact"/>
        <w:rPr>
          <w:color w:val="auto"/>
        </w:rPr>
      </w:pPr>
    </w:p>
    <w:tbl>
      <w:tblPr>
        <w:tblStyle w:val="23"/>
        <w:tblW w:w="853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44"/>
        <w:gridCol w:w="2891"/>
        <w:gridCol w:w="289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jc w:val="center"/>
        </w:trPr>
        <w:tc>
          <w:tcPr>
            <w:tcW w:w="2744" w:type="dxa"/>
            <w:vAlign w:val="center"/>
          </w:tcPr>
          <w:p>
            <w:pPr>
              <w:pStyle w:val="22"/>
              <w:bidi w:val="0"/>
              <w:jc w:val="center"/>
              <w:rPr>
                <w:b/>
                <w:bCs/>
                <w:color w:val="auto"/>
              </w:rPr>
            </w:pPr>
            <w:r>
              <w:rPr>
                <w:b/>
                <w:bCs/>
                <w:color w:val="auto"/>
              </w:rPr>
              <w:t>声环境功能区类别</w:t>
            </w:r>
          </w:p>
        </w:tc>
        <w:tc>
          <w:tcPr>
            <w:tcW w:w="2891" w:type="dxa"/>
            <w:vAlign w:val="center"/>
          </w:tcPr>
          <w:p>
            <w:pPr>
              <w:pStyle w:val="22"/>
              <w:bidi w:val="0"/>
              <w:jc w:val="center"/>
              <w:rPr>
                <w:b/>
                <w:bCs/>
                <w:color w:val="auto"/>
              </w:rPr>
            </w:pPr>
            <w:r>
              <w:rPr>
                <w:b/>
                <w:bCs/>
                <w:color w:val="auto"/>
              </w:rPr>
              <w:t>昼间[dB(A)]</w:t>
            </w:r>
          </w:p>
        </w:tc>
        <w:tc>
          <w:tcPr>
            <w:tcW w:w="2897" w:type="dxa"/>
            <w:vAlign w:val="center"/>
          </w:tcPr>
          <w:p>
            <w:pPr>
              <w:pStyle w:val="22"/>
              <w:bidi w:val="0"/>
              <w:jc w:val="center"/>
              <w:rPr>
                <w:b/>
                <w:bCs/>
                <w:color w:val="auto"/>
              </w:rPr>
            </w:pPr>
            <w:r>
              <w:rPr>
                <w:b/>
                <w:bCs/>
                <w:color w:val="auto"/>
              </w:rPr>
              <w:t>夜间[dB(A)]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3" w:hRule="atLeast"/>
          <w:jc w:val="center"/>
        </w:trPr>
        <w:tc>
          <w:tcPr>
            <w:tcW w:w="2744" w:type="dxa"/>
            <w:vAlign w:val="center"/>
          </w:tcPr>
          <w:p>
            <w:pPr>
              <w:pStyle w:val="22"/>
              <w:bidi w:val="0"/>
              <w:jc w:val="center"/>
              <w:rPr>
                <w:color w:val="auto"/>
              </w:rPr>
            </w:pPr>
            <w:r>
              <w:rPr>
                <w:color w:val="auto"/>
              </w:rPr>
              <w:t>1类</w:t>
            </w:r>
          </w:p>
        </w:tc>
        <w:tc>
          <w:tcPr>
            <w:tcW w:w="2891" w:type="dxa"/>
            <w:vAlign w:val="center"/>
          </w:tcPr>
          <w:p>
            <w:pPr>
              <w:pStyle w:val="22"/>
              <w:bidi w:val="0"/>
              <w:jc w:val="center"/>
              <w:rPr>
                <w:color w:val="auto"/>
              </w:rPr>
            </w:pPr>
            <w:r>
              <w:rPr>
                <w:color w:val="auto"/>
              </w:rPr>
              <w:t>55</w:t>
            </w:r>
          </w:p>
        </w:tc>
        <w:tc>
          <w:tcPr>
            <w:tcW w:w="2897" w:type="dxa"/>
            <w:vAlign w:val="center"/>
          </w:tcPr>
          <w:p>
            <w:pPr>
              <w:pStyle w:val="22"/>
              <w:bidi w:val="0"/>
              <w:jc w:val="center"/>
              <w:rPr>
                <w:color w:val="auto"/>
              </w:rPr>
            </w:pPr>
            <w:r>
              <w:rPr>
                <w:color w:val="auto"/>
              </w:rPr>
              <w:t>45</w:t>
            </w:r>
          </w:p>
        </w:tc>
      </w:tr>
    </w:tbl>
    <w:p>
      <w:pPr>
        <w:bidi w:val="0"/>
        <w:rPr>
          <w:color w:val="auto"/>
        </w:rPr>
      </w:pPr>
      <w:r>
        <w:rPr>
          <w:rFonts w:hint="eastAsia"/>
          <w:color w:val="auto"/>
          <w:lang w:eastAsia="zh-CN"/>
        </w:rPr>
        <w:t>（</w:t>
      </w:r>
      <w:r>
        <w:rPr>
          <w:rFonts w:hint="eastAsia"/>
          <w:color w:val="auto"/>
          <w:lang w:val="en-US" w:eastAsia="zh-CN"/>
        </w:rPr>
        <w:t>5</w:t>
      </w:r>
      <w:r>
        <w:rPr>
          <w:rFonts w:hint="eastAsia"/>
          <w:color w:val="auto"/>
          <w:lang w:eastAsia="zh-CN"/>
        </w:rPr>
        <w:t>）</w:t>
      </w:r>
      <w:r>
        <w:rPr>
          <w:color w:val="auto"/>
        </w:rPr>
        <w:t>监测结果统计及评价</w:t>
      </w:r>
    </w:p>
    <w:p>
      <w:pPr>
        <w:bidi w:val="0"/>
        <w:rPr>
          <w:color w:val="auto"/>
        </w:rPr>
      </w:pPr>
      <w:r>
        <w:rPr>
          <w:color w:val="auto"/>
        </w:rPr>
        <w:t>本次声环境质量现状监测数据统计分析结果见表4</w:t>
      </w:r>
      <w:r>
        <w:rPr>
          <w:rFonts w:hint="eastAsia"/>
          <w:color w:val="auto"/>
          <w:lang w:val="en-US" w:eastAsia="zh-CN"/>
        </w:rPr>
        <w:t>.2-6</w:t>
      </w:r>
      <w:r>
        <w:rPr>
          <w:color w:val="auto"/>
        </w:rPr>
        <w:t>。</w:t>
      </w:r>
    </w:p>
    <w:p>
      <w:pPr>
        <w:pStyle w:val="22"/>
        <w:bidi w:val="0"/>
        <w:rPr>
          <w:b/>
          <w:bCs/>
          <w:color w:val="auto"/>
        </w:rPr>
      </w:pPr>
      <w:r>
        <w:rPr>
          <w:b/>
          <w:bCs/>
          <w:color w:val="auto"/>
        </w:rPr>
        <w:t>表4</w:t>
      </w:r>
      <w:r>
        <w:rPr>
          <w:rFonts w:hint="eastAsia"/>
          <w:b/>
          <w:bCs/>
          <w:color w:val="auto"/>
          <w:lang w:val="en-US" w:eastAsia="zh-CN"/>
        </w:rPr>
        <w:t>.2-6</w:t>
      </w:r>
      <w:r>
        <w:rPr>
          <w:b/>
          <w:bCs/>
          <w:color w:val="auto"/>
        </w:rPr>
        <w:t>声环境质量现状监测结果统计一览表</w:t>
      </w:r>
    </w:p>
    <w:p>
      <w:pPr>
        <w:spacing w:line="36" w:lineRule="exact"/>
        <w:rPr>
          <w:color w:val="auto"/>
        </w:rPr>
      </w:pPr>
    </w:p>
    <w:tbl>
      <w:tblPr>
        <w:tblStyle w:val="23"/>
        <w:tblW w:w="8532"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
        <w:gridCol w:w="2661"/>
        <w:gridCol w:w="1275"/>
        <w:gridCol w:w="1416"/>
        <w:gridCol w:w="1426"/>
        <w:gridCol w:w="17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jc w:val="center"/>
        </w:trPr>
        <w:tc>
          <w:tcPr>
            <w:tcW w:w="2666" w:type="dxa"/>
            <w:gridSpan w:val="2"/>
            <w:tcBorders>
              <w:tl2br w:val="nil"/>
              <w:tr2bl w:val="nil"/>
            </w:tcBorders>
            <w:vAlign w:val="center"/>
          </w:tcPr>
          <w:p>
            <w:pPr>
              <w:pStyle w:val="22"/>
              <w:bidi w:val="0"/>
              <w:rPr>
                <w:b/>
                <w:bCs/>
                <w:color w:val="auto"/>
              </w:rPr>
            </w:pPr>
            <w:r>
              <w:rPr>
                <w:b/>
                <w:bCs/>
                <w:color w:val="auto"/>
              </w:rPr>
              <w:t>监测位置</w:t>
            </w:r>
          </w:p>
        </w:tc>
        <w:tc>
          <w:tcPr>
            <w:tcW w:w="1275" w:type="dxa"/>
            <w:tcBorders>
              <w:tl2br w:val="nil"/>
              <w:tr2bl w:val="nil"/>
            </w:tcBorders>
            <w:vAlign w:val="center"/>
          </w:tcPr>
          <w:p>
            <w:pPr>
              <w:pStyle w:val="22"/>
              <w:bidi w:val="0"/>
              <w:rPr>
                <w:b/>
                <w:bCs/>
                <w:color w:val="auto"/>
              </w:rPr>
            </w:pPr>
            <w:r>
              <w:rPr>
                <w:b/>
                <w:bCs/>
                <w:color w:val="auto"/>
              </w:rPr>
              <w:t>监测时间</w:t>
            </w:r>
          </w:p>
        </w:tc>
        <w:tc>
          <w:tcPr>
            <w:tcW w:w="1416" w:type="dxa"/>
            <w:tcBorders>
              <w:tl2br w:val="nil"/>
              <w:tr2bl w:val="nil"/>
            </w:tcBorders>
            <w:vAlign w:val="center"/>
          </w:tcPr>
          <w:p>
            <w:pPr>
              <w:pStyle w:val="22"/>
              <w:bidi w:val="0"/>
              <w:rPr>
                <w:b/>
                <w:bCs/>
                <w:color w:val="auto"/>
              </w:rPr>
            </w:pPr>
            <w:r>
              <w:rPr>
                <w:b/>
                <w:bCs/>
                <w:color w:val="auto"/>
              </w:rPr>
              <w:t>昼间[dB(A)]</w:t>
            </w:r>
          </w:p>
        </w:tc>
        <w:tc>
          <w:tcPr>
            <w:tcW w:w="1426" w:type="dxa"/>
            <w:tcBorders>
              <w:tl2br w:val="nil"/>
              <w:tr2bl w:val="nil"/>
            </w:tcBorders>
            <w:vAlign w:val="center"/>
          </w:tcPr>
          <w:p>
            <w:pPr>
              <w:pStyle w:val="22"/>
              <w:bidi w:val="0"/>
              <w:rPr>
                <w:b/>
                <w:bCs/>
                <w:color w:val="auto"/>
              </w:rPr>
            </w:pPr>
            <w:r>
              <w:rPr>
                <w:b/>
                <w:bCs/>
                <w:color w:val="auto"/>
              </w:rPr>
              <w:t>夜间[dB(A)]</w:t>
            </w:r>
          </w:p>
        </w:tc>
        <w:tc>
          <w:tcPr>
            <w:tcW w:w="1749" w:type="dxa"/>
            <w:tcBorders>
              <w:tl2br w:val="nil"/>
              <w:tr2bl w:val="nil"/>
            </w:tcBorders>
            <w:vAlign w:val="center"/>
          </w:tcPr>
          <w:p>
            <w:pPr>
              <w:pStyle w:val="22"/>
              <w:bidi w:val="0"/>
              <w:rPr>
                <w:b/>
                <w:bCs/>
                <w:color w:val="auto"/>
              </w:rPr>
            </w:pPr>
            <w:r>
              <w:rPr>
                <w:b/>
                <w:bCs/>
                <w:color w:val="auto"/>
              </w:rPr>
              <w:t>标准限值[dB(A)]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2666" w:type="dxa"/>
            <w:gridSpan w:val="2"/>
            <w:tcBorders>
              <w:tl2br w:val="nil"/>
              <w:tr2bl w:val="nil"/>
            </w:tcBorders>
            <w:vAlign w:val="center"/>
          </w:tcPr>
          <w:p>
            <w:pPr>
              <w:pStyle w:val="22"/>
              <w:bidi w:val="0"/>
              <w:rPr>
                <w:rFonts w:hint="default"/>
                <w:color w:val="auto"/>
                <w:lang w:val="en-US"/>
              </w:rPr>
            </w:pPr>
            <w:r>
              <w:rPr>
                <w:rFonts w:hint="eastAsia"/>
                <w:color w:val="auto"/>
                <w:lang w:val="en-US" w:eastAsia="zh-CN"/>
              </w:rPr>
              <w:t>项目区东南侧</w:t>
            </w:r>
          </w:p>
        </w:tc>
        <w:tc>
          <w:tcPr>
            <w:tcW w:w="1275" w:type="dxa"/>
            <w:vMerge w:val="restart"/>
            <w:tcBorders>
              <w:tl2br w:val="nil"/>
              <w:tr2bl w:val="nil"/>
            </w:tcBorders>
            <w:vAlign w:val="center"/>
          </w:tcPr>
          <w:p>
            <w:pPr>
              <w:pStyle w:val="22"/>
              <w:bidi w:val="0"/>
              <w:rPr>
                <w:rFonts w:hint="eastAsia"/>
                <w:color w:val="auto"/>
                <w:lang w:eastAsia="zh-CN"/>
              </w:rPr>
            </w:pPr>
            <w:r>
              <w:rPr>
                <w:color w:val="auto"/>
              </w:rPr>
              <w:t>202</w:t>
            </w:r>
            <w:r>
              <w:rPr>
                <w:rFonts w:hint="eastAsia"/>
                <w:color w:val="auto"/>
                <w:lang w:val="en-US" w:eastAsia="zh-CN"/>
              </w:rPr>
              <w:t>2</w:t>
            </w:r>
            <w:r>
              <w:rPr>
                <w:color w:val="auto"/>
              </w:rPr>
              <w:t>.</w:t>
            </w:r>
            <w:r>
              <w:rPr>
                <w:rFonts w:hint="eastAsia"/>
                <w:color w:val="auto"/>
                <w:lang w:val="en-US" w:eastAsia="zh-CN"/>
              </w:rPr>
              <w:t>3</w:t>
            </w:r>
            <w:r>
              <w:rPr>
                <w:color w:val="auto"/>
              </w:rPr>
              <w:t>.</w:t>
            </w:r>
            <w:r>
              <w:rPr>
                <w:rFonts w:hint="eastAsia"/>
                <w:color w:val="auto"/>
                <w:lang w:val="en-US" w:eastAsia="zh-CN"/>
              </w:rPr>
              <w:t>1</w:t>
            </w:r>
          </w:p>
        </w:tc>
        <w:tc>
          <w:tcPr>
            <w:tcW w:w="1416" w:type="dxa"/>
            <w:tcBorders>
              <w:tl2br w:val="nil"/>
              <w:tr2bl w:val="nil"/>
            </w:tcBorders>
            <w:vAlign w:val="center"/>
          </w:tcPr>
          <w:p>
            <w:pPr>
              <w:pStyle w:val="22"/>
              <w:bidi w:val="0"/>
              <w:rPr>
                <w:color w:val="auto"/>
              </w:rPr>
            </w:pPr>
            <w:r>
              <w:rPr>
                <w:rFonts w:hint="eastAsia"/>
                <w:color w:val="auto"/>
                <w:lang w:val="en-US" w:eastAsia="zh-CN"/>
              </w:rPr>
              <w:t>42</w:t>
            </w:r>
          </w:p>
        </w:tc>
        <w:tc>
          <w:tcPr>
            <w:tcW w:w="1426" w:type="dxa"/>
            <w:tcBorders>
              <w:tl2br w:val="nil"/>
              <w:tr2bl w:val="nil"/>
            </w:tcBorders>
            <w:vAlign w:val="center"/>
          </w:tcPr>
          <w:p>
            <w:pPr>
              <w:pStyle w:val="22"/>
              <w:bidi w:val="0"/>
              <w:rPr>
                <w:color w:val="auto"/>
              </w:rPr>
            </w:pPr>
            <w:r>
              <w:rPr>
                <w:rFonts w:hint="eastAsia"/>
                <w:color w:val="auto"/>
                <w:lang w:val="en-US" w:eastAsia="zh-CN"/>
              </w:rPr>
              <w:t>38</w:t>
            </w:r>
          </w:p>
        </w:tc>
        <w:tc>
          <w:tcPr>
            <w:tcW w:w="1749" w:type="dxa"/>
            <w:vMerge w:val="restart"/>
            <w:tcBorders>
              <w:tl2br w:val="nil"/>
              <w:tr2bl w:val="nil"/>
            </w:tcBorders>
            <w:vAlign w:val="center"/>
          </w:tcPr>
          <w:p>
            <w:pPr>
              <w:pStyle w:val="22"/>
              <w:bidi w:val="0"/>
              <w:rPr>
                <w:color w:val="auto"/>
              </w:rPr>
            </w:pPr>
            <w:r>
              <w:rPr>
                <w:color w:val="auto"/>
              </w:rPr>
              <w:t>昼间：55</w:t>
            </w:r>
          </w:p>
          <w:p>
            <w:pPr>
              <w:pStyle w:val="22"/>
              <w:bidi w:val="0"/>
              <w:rPr>
                <w:color w:val="auto"/>
              </w:rPr>
            </w:pPr>
            <w:r>
              <w:rPr>
                <w:color w:val="auto"/>
              </w:rPr>
              <w:t>夜间：45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2666" w:type="dxa"/>
            <w:gridSpan w:val="2"/>
            <w:tcBorders>
              <w:tl2br w:val="nil"/>
              <w:tr2bl w:val="nil"/>
            </w:tcBorders>
            <w:vAlign w:val="center"/>
          </w:tcPr>
          <w:p>
            <w:pPr>
              <w:pStyle w:val="22"/>
              <w:bidi w:val="0"/>
              <w:rPr>
                <w:color w:val="auto"/>
              </w:rPr>
            </w:pPr>
            <w:r>
              <w:rPr>
                <w:rFonts w:hint="eastAsia"/>
                <w:color w:val="auto"/>
                <w:lang w:val="en-US" w:eastAsia="zh-CN"/>
              </w:rPr>
              <w:t>项目区西南侧</w:t>
            </w:r>
          </w:p>
        </w:tc>
        <w:tc>
          <w:tcPr>
            <w:tcW w:w="1275" w:type="dxa"/>
            <w:vMerge w:val="continue"/>
            <w:tcBorders>
              <w:tl2br w:val="nil"/>
              <w:tr2bl w:val="nil"/>
            </w:tcBorders>
            <w:vAlign w:val="center"/>
          </w:tcPr>
          <w:p>
            <w:pPr>
              <w:pStyle w:val="22"/>
              <w:bidi w:val="0"/>
              <w:rPr>
                <w:color w:val="auto"/>
              </w:rPr>
            </w:pPr>
          </w:p>
        </w:tc>
        <w:tc>
          <w:tcPr>
            <w:tcW w:w="1416" w:type="dxa"/>
            <w:tcBorders>
              <w:tl2br w:val="nil"/>
              <w:tr2bl w:val="nil"/>
            </w:tcBorders>
            <w:vAlign w:val="center"/>
          </w:tcPr>
          <w:p>
            <w:pPr>
              <w:pStyle w:val="22"/>
              <w:bidi w:val="0"/>
              <w:rPr>
                <w:color w:val="auto"/>
              </w:rPr>
            </w:pPr>
            <w:r>
              <w:rPr>
                <w:rFonts w:hint="eastAsia"/>
                <w:color w:val="auto"/>
                <w:lang w:val="en-US" w:eastAsia="zh-CN"/>
              </w:rPr>
              <w:t>41</w:t>
            </w:r>
          </w:p>
        </w:tc>
        <w:tc>
          <w:tcPr>
            <w:tcW w:w="1426" w:type="dxa"/>
            <w:tcBorders>
              <w:tl2br w:val="nil"/>
              <w:tr2bl w:val="nil"/>
            </w:tcBorders>
            <w:vAlign w:val="center"/>
          </w:tcPr>
          <w:p>
            <w:pPr>
              <w:pStyle w:val="22"/>
              <w:bidi w:val="0"/>
              <w:rPr>
                <w:color w:val="auto"/>
              </w:rPr>
            </w:pPr>
            <w:r>
              <w:rPr>
                <w:rFonts w:hint="eastAsia"/>
                <w:color w:val="auto"/>
                <w:lang w:val="en-US" w:eastAsia="zh-CN"/>
              </w:rPr>
              <w:t>38</w:t>
            </w:r>
          </w:p>
        </w:tc>
        <w:tc>
          <w:tcPr>
            <w:tcW w:w="1749" w:type="dxa"/>
            <w:vMerge w:val="continue"/>
            <w:tcBorders>
              <w:tl2br w:val="nil"/>
              <w:tr2bl w:val="nil"/>
            </w:tcBorders>
            <w:vAlign w:val="center"/>
          </w:tcPr>
          <w:p>
            <w:pPr>
              <w:pStyle w:val="22"/>
              <w:bidi w:val="0"/>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2666" w:type="dxa"/>
            <w:gridSpan w:val="2"/>
            <w:tcBorders>
              <w:tl2br w:val="nil"/>
              <w:tr2bl w:val="nil"/>
            </w:tcBorders>
            <w:vAlign w:val="center"/>
          </w:tcPr>
          <w:p>
            <w:pPr>
              <w:pStyle w:val="22"/>
              <w:bidi w:val="0"/>
              <w:rPr>
                <w:color w:val="auto"/>
              </w:rPr>
            </w:pPr>
            <w:r>
              <w:rPr>
                <w:rFonts w:hint="eastAsia"/>
                <w:color w:val="auto"/>
                <w:lang w:val="en-US" w:eastAsia="zh-CN"/>
              </w:rPr>
              <w:t>项目区西北侧</w:t>
            </w:r>
          </w:p>
        </w:tc>
        <w:tc>
          <w:tcPr>
            <w:tcW w:w="1275" w:type="dxa"/>
            <w:vMerge w:val="continue"/>
            <w:tcBorders>
              <w:tl2br w:val="nil"/>
              <w:tr2bl w:val="nil"/>
            </w:tcBorders>
            <w:vAlign w:val="center"/>
          </w:tcPr>
          <w:p>
            <w:pPr>
              <w:pStyle w:val="22"/>
              <w:bidi w:val="0"/>
              <w:rPr>
                <w:color w:val="auto"/>
              </w:rPr>
            </w:pPr>
          </w:p>
        </w:tc>
        <w:tc>
          <w:tcPr>
            <w:tcW w:w="1416" w:type="dxa"/>
            <w:tcBorders>
              <w:tl2br w:val="nil"/>
              <w:tr2bl w:val="nil"/>
            </w:tcBorders>
            <w:vAlign w:val="center"/>
          </w:tcPr>
          <w:p>
            <w:pPr>
              <w:pStyle w:val="22"/>
              <w:bidi w:val="0"/>
              <w:rPr>
                <w:rFonts w:hint="default"/>
                <w:color w:val="auto"/>
                <w:lang w:val="en-US"/>
              </w:rPr>
            </w:pPr>
            <w:r>
              <w:rPr>
                <w:rFonts w:hint="eastAsia"/>
                <w:color w:val="auto"/>
                <w:lang w:val="en-US" w:eastAsia="zh-CN"/>
              </w:rPr>
              <w:t>40</w:t>
            </w:r>
          </w:p>
        </w:tc>
        <w:tc>
          <w:tcPr>
            <w:tcW w:w="1426" w:type="dxa"/>
            <w:tcBorders>
              <w:tl2br w:val="nil"/>
              <w:tr2bl w:val="nil"/>
            </w:tcBorders>
            <w:vAlign w:val="center"/>
          </w:tcPr>
          <w:p>
            <w:pPr>
              <w:pStyle w:val="22"/>
              <w:bidi w:val="0"/>
              <w:rPr>
                <w:rFonts w:hint="default"/>
                <w:color w:val="auto"/>
                <w:lang w:val="en-US"/>
              </w:rPr>
            </w:pPr>
            <w:r>
              <w:rPr>
                <w:rFonts w:hint="eastAsia"/>
                <w:color w:val="auto"/>
                <w:lang w:val="en-US" w:eastAsia="zh-CN"/>
              </w:rPr>
              <w:t>37</w:t>
            </w:r>
          </w:p>
        </w:tc>
        <w:tc>
          <w:tcPr>
            <w:tcW w:w="1749" w:type="dxa"/>
            <w:vMerge w:val="continue"/>
            <w:tcBorders>
              <w:tl2br w:val="nil"/>
              <w:tr2bl w:val="nil"/>
            </w:tcBorders>
            <w:vAlign w:val="center"/>
          </w:tcPr>
          <w:p>
            <w:pPr>
              <w:pStyle w:val="22"/>
              <w:bidi w:val="0"/>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0" w:hRule="atLeast"/>
          <w:jc w:val="center"/>
        </w:trPr>
        <w:tc>
          <w:tcPr>
            <w:tcW w:w="0" w:type="auto"/>
            <w:tcBorders>
              <w:tl2br w:val="nil"/>
              <w:tr2bl w:val="nil"/>
            </w:tcBorders>
            <w:vAlign w:val="center"/>
          </w:tcPr>
          <w:p>
            <w:pPr>
              <w:pStyle w:val="22"/>
              <w:bidi w:val="0"/>
              <w:rPr>
                <w:color w:val="auto"/>
              </w:rPr>
            </w:pPr>
          </w:p>
        </w:tc>
        <w:tc>
          <w:tcPr>
            <w:tcW w:w="2661" w:type="dxa"/>
            <w:tcBorders>
              <w:tl2br w:val="nil"/>
              <w:tr2bl w:val="nil"/>
            </w:tcBorders>
            <w:vAlign w:val="center"/>
          </w:tcPr>
          <w:p>
            <w:pPr>
              <w:pStyle w:val="22"/>
              <w:bidi w:val="0"/>
              <w:rPr>
                <w:color w:val="auto"/>
              </w:rPr>
            </w:pPr>
            <w:r>
              <w:rPr>
                <w:rFonts w:hint="eastAsia"/>
                <w:color w:val="auto"/>
                <w:lang w:val="en-US" w:eastAsia="zh-CN"/>
              </w:rPr>
              <w:t>项目区东北侧</w:t>
            </w:r>
          </w:p>
        </w:tc>
        <w:tc>
          <w:tcPr>
            <w:tcW w:w="1275" w:type="dxa"/>
            <w:vMerge w:val="continue"/>
            <w:tcBorders>
              <w:tl2br w:val="nil"/>
              <w:tr2bl w:val="nil"/>
            </w:tcBorders>
            <w:vAlign w:val="center"/>
          </w:tcPr>
          <w:p>
            <w:pPr>
              <w:pStyle w:val="22"/>
              <w:bidi w:val="0"/>
              <w:rPr>
                <w:color w:val="auto"/>
              </w:rPr>
            </w:pPr>
          </w:p>
        </w:tc>
        <w:tc>
          <w:tcPr>
            <w:tcW w:w="1416" w:type="dxa"/>
            <w:tcBorders>
              <w:tl2br w:val="nil"/>
              <w:tr2bl w:val="nil"/>
            </w:tcBorders>
            <w:vAlign w:val="center"/>
          </w:tcPr>
          <w:p>
            <w:pPr>
              <w:pStyle w:val="22"/>
              <w:bidi w:val="0"/>
              <w:rPr>
                <w:color w:val="auto"/>
              </w:rPr>
            </w:pPr>
            <w:r>
              <w:rPr>
                <w:rFonts w:hint="eastAsia"/>
                <w:color w:val="auto"/>
                <w:lang w:val="en-US" w:eastAsia="zh-CN"/>
              </w:rPr>
              <w:t>42</w:t>
            </w:r>
          </w:p>
        </w:tc>
        <w:tc>
          <w:tcPr>
            <w:tcW w:w="1426" w:type="dxa"/>
            <w:tcBorders>
              <w:tl2br w:val="nil"/>
              <w:tr2bl w:val="nil"/>
            </w:tcBorders>
            <w:vAlign w:val="center"/>
          </w:tcPr>
          <w:p>
            <w:pPr>
              <w:pStyle w:val="22"/>
              <w:bidi w:val="0"/>
              <w:rPr>
                <w:color w:val="auto"/>
              </w:rPr>
            </w:pPr>
            <w:r>
              <w:rPr>
                <w:rFonts w:hint="eastAsia"/>
                <w:color w:val="auto"/>
                <w:lang w:val="en-US" w:eastAsia="zh-CN"/>
              </w:rPr>
              <w:t>38</w:t>
            </w:r>
          </w:p>
        </w:tc>
        <w:tc>
          <w:tcPr>
            <w:tcW w:w="1749" w:type="dxa"/>
            <w:vMerge w:val="continue"/>
            <w:tcBorders>
              <w:tl2br w:val="nil"/>
              <w:tr2bl w:val="nil"/>
            </w:tcBorders>
            <w:vAlign w:val="center"/>
          </w:tcPr>
          <w:p>
            <w:pPr>
              <w:pStyle w:val="22"/>
              <w:bidi w:val="0"/>
              <w:rPr>
                <w:color w:val="auto"/>
              </w:rPr>
            </w:pPr>
          </w:p>
        </w:tc>
      </w:tr>
    </w:tbl>
    <w:p>
      <w:pPr>
        <w:bidi w:val="0"/>
        <w:rPr>
          <w:color w:val="auto"/>
        </w:rPr>
      </w:pPr>
      <w:r>
        <w:rPr>
          <w:color w:val="auto"/>
        </w:rPr>
        <w:t>由上表可以看出，各监测点位声环境质量现状昼、夜监测结果均能够满足《声环境质量标准》（GB3096-2008）1类标准要求。</w:t>
      </w:r>
    </w:p>
    <w:p>
      <w:pPr>
        <w:pStyle w:val="6"/>
        <w:bidi w:val="0"/>
        <w:rPr>
          <w:color w:val="auto"/>
        </w:rPr>
      </w:pPr>
      <w:bookmarkStart w:id="88" w:name="_Toc10396"/>
      <w:r>
        <w:rPr>
          <w:color w:val="auto"/>
        </w:rPr>
        <w:t>4.2.5土壤环境质量现状调查与评价</w:t>
      </w:r>
      <w:bookmarkEnd w:id="88"/>
    </w:p>
    <w:p>
      <w:pPr>
        <w:bidi w:val="0"/>
        <w:rPr>
          <w:color w:val="auto"/>
        </w:rPr>
      </w:pPr>
      <w:r>
        <w:rPr>
          <w:color w:val="auto"/>
        </w:rPr>
        <w:t>按照《环境影响评价技术导则土壤环境》（HJ964-2018）中内容。本项目是医疗机构项目，属于导则中附录A中社会事业与服务业中的其他类，为Ⅳ类项目。按照《环境影响评价技术导则土壤环境》（HJ964-2018）中4.2.2内容：其中Ⅳ类建设项目可不开展土壤环境影响评价。</w:t>
      </w:r>
    </w:p>
    <w:p>
      <w:pPr>
        <w:pStyle w:val="6"/>
        <w:bidi w:val="0"/>
        <w:rPr>
          <w:rFonts w:hint="eastAsia"/>
          <w:color w:val="auto"/>
          <w:lang w:val="en-US" w:eastAsia="zh-CN"/>
        </w:rPr>
      </w:pPr>
      <w:bookmarkStart w:id="89" w:name="_Toc29442"/>
      <w:r>
        <w:rPr>
          <w:rFonts w:hint="eastAsia"/>
          <w:color w:val="auto"/>
          <w:lang w:val="en-US" w:eastAsia="zh-CN"/>
        </w:rPr>
        <w:t>4.2.6生态环境</w:t>
      </w:r>
      <w:bookmarkEnd w:id="89"/>
    </w:p>
    <w:p>
      <w:pPr>
        <w:pStyle w:val="7"/>
        <w:bidi w:val="0"/>
        <w:rPr>
          <w:rFonts w:hint="default"/>
          <w:color w:val="auto"/>
        </w:rPr>
      </w:pPr>
      <w:r>
        <w:rPr>
          <w:rFonts w:hint="eastAsia"/>
          <w:color w:val="auto"/>
          <w:lang w:val="en-US" w:eastAsia="zh-CN"/>
        </w:rPr>
        <w:t>4.2.6.1本项目在生态功能区划中的位置</w:t>
      </w:r>
    </w:p>
    <w:p>
      <w:pPr>
        <w:bidi w:val="0"/>
        <w:rPr>
          <w:rFonts w:hint="eastAsia"/>
          <w:color w:val="auto"/>
          <w:lang w:val="en-US" w:eastAsia="zh-CN"/>
        </w:rPr>
      </w:pPr>
      <w:r>
        <w:rPr>
          <w:rFonts w:hint="eastAsia"/>
          <w:color w:val="auto"/>
          <w:lang w:val="en-US" w:eastAsia="zh-CN"/>
        </w:rPr>
        <w:t>根据《新疆生产建设兵团生态功能区划》，用地区域属于塔里木盆地暖温荒漠及绿洲农业生态区，塔里木盆地南部和东部沙漠、戈壁及绿洲农业生态亚区，皮山—和田—民丰绿洲沙漠化敏感生态功能区。</w:t>
      </w:r>
    </w:p>
    <w:p>
      <w:pPr>
        <w:pStyle w:val="22"/>
        <w:bidi w:val="0"/>
        <w:rPr>
          <w:rFonts w:hint="default"/>
          <w:b/>
          <w:bCs/>
          <w:color w:val="auto"/>
          <w:lang w:val="en-US" w:eastAsia="zh-CN"/>
        </w:rPr>
      </w:pPr>
      <w:r>
        <w:rPr>
          <w:b/>
          <w:bCs/>
          <w:color w:val="auto"/>
          <w:lang w:val="en-US" w:eastAsia="zh-CN"/>
        </w:rPr>
        <mc:AlternateContent>
          <mc:Choice Requires="wps">
            <w:drawing>
              <wp:anchor distT="0" distB="0" distL="114300" distR="114300" simplePos="0" relativeHeight="251661312" behindDoc="0" locked="0" layoutInCell="1" allowOverlap="1">
                <wp:simplePos x="0" y="0"/>
                <wp:positionH relativeFrom="column">
                  <wp:posOffset>2252345</wp:posOffset>
                </wp:positionH>
                <wp:positionV relativeFrom="paragraph">
                  <wp:posOffset>868045</wp:posOffset>
                </wp:positionV>
                <wp:extent cx="1000760" cy="368935"/>
                <wp:effectExtent l="230505" t="5080" r="6985" b="483235"/>
                <wp:wrapNone/>
                <wp:docPr id="3" name="矩形标注 3"/>
                <wp:cNvGraphicFramePr/>
                <a:graphic xmlns:a="http://schemas.openxmlformats.org/drawingml/2006/main">
                  <a:graphicData uri="http://schemas.microsoft.com/office/word/2010/wordprocessingShape">
                    <wps:wsp>
                      <wps:cNvSpPr/>
                      <wps:spPr>
                        <a:xfrm>
                          <a:off x="0" y="0"/>
                          <a:ext cx="1000760" cy="368935"/>
                        </a:xfrm>
                        <a:prstGeom prst="wedgeRectCallout">
                          <a:avLst>
                            <a:gd name="adj1" fmla="val -70301"/>
                            <a:gd name="adj2" fmla="val 169968"/>
                          </a:avLst>
                        </a:prstGeom>
                        <a:solidFill>
                          <a:srgbClr val="F79646"/>
                        </a:solidFill>
                        <a:ln w="9525" cap="flat" cmpd="sng">
                          <a:solidFill>
                            <a:srgbClr val="000000"/>
                          </a:solidFill>
                          <a:prstDash val="solid"/>
                          <a:miter/>
                          <a:headEnd type="none" w="med" len="med"/>
                          <a:tailEnd type="none" w="med" len="med"/>
                        </a:ln>
                        <a:effectLst/>
                      </wps:spPr>
                      <wps:txbx>
                        <w:txbxContent>
                          <w:p>
                            <w:pPr>
                              <w:ind w:left="0" w:leftChars="0" w:firstLine="0" w:firstLineChars="0"/>
                              <w:jc w:val="left"/>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项目所在地</w:t>
                            </w:r>
                          </w:p>
                        </w:txbxContent>
                      </wps:txbx>
                      <wps:bodyPr upright="1"/>
                    </wps:wsp>
                  </a:graphicData>
                </a:graphic>
              </wp:anchor>
            </w:drawing>
          </mc:Choice>
          <mc:Fallback>
            <w:pict>
              <v:shape id="_x0000_s1026" o:spid="_x0000_s1026" o:spt="61" type="#_x0000_t61" style="position:absolute;left:0pt;margin-left:177.35pt;margin-top:68.35pt;height:29.05pt;width:78.8pt;z-index:251661312;mso-width-relative:page;mso-height-relative:page;" fillcolor="#F79646" filled="t" stroked="t" coordsize="21600,21600" o:gfxdata="UEsDBAoAAAAAAIdO4kAAAAAAAAAAAAAAAAAEAAAAZHJzL1BLAwQUAAAACACHTuJAMY91gNgAAAAL&#10;AQAADwAAAGRycy9kb3ducmV2LnhtbE2PS0/DMBCE70j9D9ZW4kadR5uWEKcSSJQjIg13N16SqLEd&#10;xdvXv+9ygtvuzmj2m2J7tYM44xR67xTEiwgEusab3rUK6v370wZEIO2MHrxDBTcMsC1nD4XOjb+4&#10;LzxX1AoOcSHXCjqiMZcyNB1aHRZ+RMfaj5+sJl6nVppJXzjcDjKJokxa3Tv+0OkR3zpsjtXJKlh/&#10;V7t9bz59kr5S9nG8ka9rUupxHkcvIAiv9GeGX3xGh5KZDv7kTBCDgnS1XLOVhTTjgR2rOElBHPjy&#10;vNyALAv5v0N5B1BLAwQUAAAACACHTuJAx7dQvUQCAACcBAAADgAAAGRycy9lMm9Eb2MueG1srVTN&#10;ctMwEL4zwztodG9sJ8RNMnF6aAgXBjoUHkCxZFuM/kZSYucJeAwYTvTMmcehvAYr2aRp4ZADPtgr&#10;afXtft/uennVSYH2zDquVYGzUYoRU6WmXNUF/vB+czHDyHmiKBFasQIfmMNXq+fPlq1ZsLFutKDM&#10;IgBRbtGaAjfem0WSuLJhkriRNkzBYaWtJB6Wtk6oJS2gS5GM0zRPWm2psbpkzsHuuj/EA6I9B1BX&#10;FS/ZWpc7yZTvUS0TxAMl13Dj8CpmW1Ws9G+ryjGPRIGBqY9vCAL2NryT1ZIsaktMw8shBXJOCk84&#10;ScIVBD1CrYknaGf5X1CSl1Y7XflRqWXSE4mKAIssfaLNbUMMi1xAameOorv/B1u+2d9YxGmBJxgp&#10;IqHgvz7f/fzx9f7Lp/vv39AkKNQatwDHW3Njh5UDM9DtKivDF4igLqp6OKrKOo9K2MzSNL3MQfAS&#10;zib5bD6ZBtDk4baxzr9iWqJgFLhltGbvoHTXRAi981FYsn/tfFSYDnkS+jHDqJICCrYnAl1cppM0&#10;Gyp64jQ+dcry+TyfDfEHTMjkTwYhgNOC0w0XIi5svb0WFkGAAm8u5/mLfLj8yE0o1BZ4Ph1PgSaB&#10;qaigG8GUBpR1qo4UHt1wp8CgEDz/Ag6JrYlr+gQiQs9Qcs9s7N6GEfpSUeQPBqqnYGhxSEYyipFg&#10;MOPBip6ecHGOJwgiVGDP4gSB8KFeoQv6ugfLd9sOdoO51fQATbQzltcN1C/WILpD08ZCDwMWpuJ0&#10;HUEffiqr3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GPdYDYAAAACwEAAA8AAAAAAAAAAQAgAAAA&#10;IgAAAGRycy9kb3ducmV2LnhtbFBLAQIUABQAAAAIAIdO4kDHt1C9RAIAAJwEAAAOAAAAAAAAAAEA&#10;IAAAACcBAABkcnMvZTJvRG9jLnhtbFBLBQYAAAAABgAGAFkBAADdBQAAAAA=&#10;" adj="-4385,47513">
                <v:fill on="t" focussize="0,0"/>
                <v:stroke color="#000000" joinstyle="miter"/>
                <v:imagedata o:title=""/>
                <o:lock v:ext="edit" aspectratio="f"/>
                <v:textbox>
                  <w:txbxContent>
                    <w:p>
                      <w:pPr>
                        <w:ind w:left="0" w:leftChars="0" w:firstLine="0" w:firstLineChars="0"/>
                        <w:jc w:val="left"/>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项目所在地</w:t>
                      </w:r>
                    </w:p>
                  </w:txbxContent>
                </v:textbox>
              </v:shape>
            </w:pict>
          </mc:Fallback>
        </mc:AlternateContent>
      </w:r>
      <w:r>
        <w:rPr>
          <w:b/>
          <w:bCs/>
          <w:color w:val="auto"/>
          <w:lang w:val="en-US" w:eastAsia="zh-CN"/>
        </w:rPr>
        <mc:AlternateContent>
          <mc:Choice Requires="wps">
            <w:drawing>
              <wp:anchor distT="0" distB="0" distL="114300" distR="114300" simplePos="0" relativeHeight="251662336" behindDoc="0" locked="0" layoutInCell="1" allowOverlap="1">
                <wp:simplePos x="0" y="0"/>
                <wp:positionH relativeFrom="column">
                  <wp:posOffset>1949450</wp:posOffset>
                </wp:positionH>
                <wp:positionV relativeFrom="paragraph">
                  <wp:posOffset>1619885</wp:posOffset>
                </wp:positionV>
                <wp:extent cx="160655" cy="143510"/>
                <wp:effectExtent l="15240" t="14605" r="33655" b="13335"/>
                <wp:wrapNone/>
                <wp:docPr id="8" name="五角星 8"/>
                <wp:cNvGraphicFramePr/>
                <a:graphic xmlns:a="http://schemas.openxmlformats.org/drawingml/2006/main">
                  <a:graphicData uri="http://schemas.microsoft.com/office/word/2010/wordprocessingShape">
                    <wps:wsp>
                      <wps:cNvSpPr/>
                      <wps:spPr>
                        <a:xfrm>
                          <a:off x="0" y="0"/>
                          <a:ext cx="160655" cy="143510"/>
                        </a:xfrm>
                        <a:prstGeom prst="star5">
                          <a:avLst/>
                        </a:prstGeom>
                        <a:solidFill>
                          <a:srgbClr val="FF0000"/>
                        </a:solidFill>
                        <a:ln w="9525" cap="flat" cmpd="sng">
                          <a:solidFill>
                            <a:srgbClr val="000000"/>
                          </a:solidFill>
                          <a:prstDash val="solid"/>
                          <a:miter/>
                          <a:headEnd type="none" w="med" len="med"/>
                          <a:tailEnd type="none" w="med" len="med"/>
                        </a:ln>
                        <a:effectLst/>
                      </wps:spPr>
                      <wps:bodyPr upright="1"/>
                    </wps:wsp>
                  </a:graphicData>
                </a:graphic>
              </wp:anchor>
            </w:drawing>
          </mc:Choice>
          <mc:Fallback>
            <w:pict>
              <v:shape id="_x0000_s1026" o:spid="_x0000_s1026" style="position:absolute;left:0pt;margin-left:153.5pt;margin-top:127.55pt;height:11.3pt;width:12.65pt;z-index:251662336;mso-width-relative:page;mso-height-relative:page;" fillcolor="#FF0000" filled="t" stroked="t" coordsize="160655,143510" o:gfxdata="UEsDBAoAAAAAAIdO4kAAAAAAAAAAAAAAAAAEAAAAZHJzL1BLAwQUAAAACACHTuJAfrb44NkAAAAL&#10;AQAADwAAAGRycy9kb3ducmV2LnhtbE2PzU7DMBCE70i8g7WVuFE7SdugNE4PSJzgQlrUqxtvk7Tx&#10;OordH96e5QTH2RnNflNu7m4QV5xC70lDMlcgkBpve2o17LZvzy8gQjRkzeAJNXxjgE31+FCawvob&#10;feK1jq3gEgqF0dDFOBZShqZDZ8Lcj0jsHf3kTGQ5tdJO5sblbpCpUivpTE/8oTMjvnbYnOuL07Cq&#10;Fx/4da73e3q3pzTuTovsuNX6aZaoNYiI9/gXhl98RoeKmQ7+QjaIQUOmct4SNaTLZQKCE1mWZiAO&#10;fMnzHGRVyv8bqh9QSwMEFAAAAAgAh07iQFjOOsQIAgAALwQAAA4AAABkcnMvZTJvRG9jLnhtbK1T&#10;Ta7TMBDeI3EHy3uapNDqETV9C0rZIHjSgwO49iSx5D/ZbtNeA7Fgx5I7cB6E3jEYO6X0/Sy6IAtn&#10;xh5/M98348X1XiuyAx+kNQ2tJiUlYLgV0nQN/fxp/eKKkhCZEUxZAw09QKDXy+fPFoOrYWp7qwR4&#10;giAm1INraB+jq4si8B40CxPrwOBha71mEV3fFcKzAdG1KqZlOS8G64XzlkMIuLsaD+kR0V8CaNtW&#10;clhZvtVg4ojqQbGIlEIvXaDLXG3bAo8f2zZAJKqhyDTmFZOgvUlrsVywuvPM9ZIfS2CXlPCAk2bS&#10;YNIT1IpFRrZePoLSknsbbBsn3OpiJJIVQRZV+UCb2545yFxQ6uBOoof/B8s/7G48kaKh2HbDNDb8&#10;18+vdz++/P72nVwleQYXaoy6dTf+6AU0E9d963X6Iwuyz5IeTpLCPhKOm9W8nM9mlHA8ql69nFVZ&#10;8uLfZedDfAdWk2Q0FCfPz7KSbPc+RMyIsX9jUrJglRRrqVR2fLd5ozzZMWzvel3il0rGK/fClCFD&#10;Q1/PpqkQhjPb4qygqR3yDqbL+e7dCOfACfZp4FTYioV+LCAjjBOlZYQkF6t7YOKtESQeHGpr8EnR&#10;VIwGQYkCfIHJypGRSXVJJLJTJkFDnu+jSqlNY2OStbHigH3dOi+7HmWtsizpBOcoC3Sc+TSo5z7a&#10;5+98+Q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B+tvjg2QAAAAsBAAAPAAAAAAAAAAEAIAAAACIA&#10;AABkcnMvZG93bnJldi54bWxQSwECFAAUAAAACACHTuJAWM46xAgCAAAvBAAADgAAAAAAAAABACAA&#10;AAAoAQAAZHJzL2Uyb0RvYy54bWxQSwUGAAAAAAYABgBZAQAAogUAAAAA&#10;" path="m0,54815l61365,54816,80327,0,99289,54816,160654,54815,111009,88693,129972,143509,80327,109631,30682,143509,49645,88693xe">
                <v:path o:connectlocs="80327,0;0,54815;30682,143509;129972,143509;160654,54815" o:connectangles="247,164,82,82,0"/>
                <v:fill on="t" focussize="0,0"/>
                <v:stroke color="#000000" joinstyle="miter"/>
                <v:imagedata o:title=""/>
                <o:lock v:ext="edit" aspectratio="f"/>
              </v:shape>
            </w:pict>
          </mc:Fallback>
        </mc:AlternateContent>
      </w:r>
      <w:r>
        <w:rPr>
          <w:color w:val="auto"/>
        </w:rPr>
        <w:drawing>
          <wp:inline distT="0" distB="0" distL="114300" distR="114300">
            <wp:extent cx="5264150" cy="2985770"/>
            <wp:effectExtent l="0" t="0" r="12700" b="508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4"/>
                    <a:stretch>
                      <a:fillRect/>
                    </a:stretch>
                  </pic:blipFill>
                  <pic:spPr>
                    <a:xfrm>
                      <a:off x="0" y="0"/>
                      <a:ext cx="5264150" cy="2985770"/>
                    </a:xfrm>
                    <a:prstGeom prst="rect">
                      <a:avLst/>
                    </a:prstGeom>
                    <a:noFill/>
                    <a:ln>
                      <a:noFill/>
                    </a:ln>
                  </pic:spPr>
                </pic:pic>
              </a:graphicData>
            </a:graphic>
          </wp:inline>
        </w:drawing>
      </w:r>
      <w:r>
        <w:rPr>
          <w:rFonts w:hint="eastAsia"/>
          <w:b/>
          <w:bCs/>
          <w:color w:val="auto"/>
          <w:lang w:val="en-US" w:eastAsia="zh-CN"/>
        </w:rPr>
        <w:t>图4.2-1新疆生态功能区划（截选）</w:t>
      </w:r>
    </w:p>
    <w:p>
      <w:pPr>
        <w:pStyle w:val="22"/>
        <w:bidi w:val="0"/>
        <w:rPr>
          <w:rFonts w:hint="eastAsia"/>
          <w:b/>
          <w:bCs/>
          <w:color w:val="auto"/>
          <w:lang w:val="en-US" w:eastAsia="zh-CN"/>
        </w:rPr>
      </w:pPr>
    </w:p>
    <w:p>
      <w:pPr>
        <w:pStyle w:val="22"/>
        <w:bidi w:val="0"/>
        <w:rPr>
          <w:rFonts w:hint="default"/>
          <w:b/>
          <w:bCs/>
          <w:color w:val="auto"/>
        </w:rPr>
      </w:pPr>
      <w:r>
        <w:rPr>
          <w:rFonts w:hint="eastAsia"/>
          <w:b/>
          <w:bCs/>
          <w:color w:val="auto"/>
          <w:lang w:val="en-US" w:eastAsia="zh-CN"/>
        </w:rPr>
        <w:t>表4.2-7项目区生态功能区划</w:t>
      </w:r>
    </w:p>
    <w:tbl>
      <w:tblPr>
        <w:tblStyle w:val="1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8"/>
        <w:gridCol w:w="1420"/>
        <w:gridCol w:w="61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pct"/>
            <w:vMerge w:val="restart"/>
            <w:tcBorders>
              <w:tl2br w:val="nil"/>
              <w:tr2bl w:val="nil"/>
            </w:tcBorders>
            <w:noWrap w:val="0"/>
            <w:vAlign w:val="center"/>
          </w:tcPr>
          <w:p>
            <w:pPr>
              <w:pStyle w:val="22"/>
              <w:bidi w:val="0"/>
              <w:jc w:val="center"/>
              <w:rPr>
                <w:rFonts w:hint="default"/>
                <w:b/>
                <w:bCs/>
                <w:color w:val="auto"/>
              </w:rPr>
            </w:pPr>
            <w:r>
              <w:rPr>
                <w:rFonts w:hint="default"/>
                <w:b/>
                <w:bCs/>
                <w:color w:val="auto"/>
                <w:lang w:val="en-US" w:eastAsia="zh-CN"/>
              </w:rPr>
              <w:t>生态功能分区单元</w:t>
            </w:r>
          </w:p>
        </w:tc>
        <w:tc>
          <w:tcPr>
            <w:tcW w:w="833" w:type="pct"/>
            <w:tcBorders>
              <w:tl2br w:val="nil"/>
              <w:tr2bl w:val="nil"/>
            </w:tcBorders>
            <w:noWrap w:val="0"/>
            <w:vAlign w:val="center"/>
          </w:tcPr>
          <w:p>
            <w:pPr>
              <w:pStyle w:val="22"/>
              <w:bidi w:val="0"/>
              <w:jc w:val="center"/>
              <w:rPr>
                <w:rFonts w:hint="default"/>
                <w:b/>
                <w:bCs/>
                <w:color w:val="auto"/>
              </w:rPr>
            </w:pPr>
            <w:r>
              <w:rPr>
                <w:rFonts w:hint="default"/>
                <w:b/>
                <w:bCs/>
                <w:color w:val="auto"/>
                <w:lang w:val="en-US" w:eastAsia="zh-CN"/>
              </w:rPr>
              <w:t>生态区</w:t>
            </w:r>
          </w:p>
        </w:tc>
        <w:tc>
          <w:tcPr>
            <w:tcW w:w="3580" w:type="pct"/>
            <w:tcBorders>
              <w:tl2br w:val="nil"/>
              <w:tr2bl w:val="nil"/>
            </w:tcBorders>
            <w:noWrap w:val="0"/>
            <w:vAlign w:val="center"/>
          </w:tcPr>
          <w:p>
            <w:pPr>
              <w:pStyle w:val="22"/>
              <w:bidi w:val="0"/>
              <w:jc w:val="center"/>
              <w:rPr>
                <w:rFonts w:hint="default"/>
                <w:color w:val="auto"/>
              </w:rPr>
            </w:pPr>
            <w:r>
              <w:rPr>
                <w:rFonts w:hint="default"/>
                <w:color w:val="auto"/>
                <w:lang w:val="en-US" w:eastAsia="zh-CN"/>
              </w:rPr>
              <w:t>塔里木盆地暖温荒漠及绿洲农业生态区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pct"/>
            <w:vMerge w:val="continue"/>
            <w:tcBorders>
              <w:tl2br w:val="nil"/>
              <w:tr2bl w:val="nil"/>
            </w:tcBorders>
            <w:noWrap w:val="0"/>
            <w:vAlign w:val="center"/>
          </w:tcPr>
          <w:p>
            <w:pPr>
              <w:pStyle w:val="22"/>
              <w:bidi w:val="0"/>
              <w:jc w:val="center"/>
              <w:rPr>
                <w:rFonts w:hint="default"/>
                <w:b/>
                <w:bCs/>
                <w:color w:val="auto"/>
              </w:rPr>
            </w:pPr>
          </w:p>
        </w:tc>
        <w:tc>
          <w:tcPr>
            <w:tcW w:w="833" w:type="pct"/>
            <w:tcBorders>
              <w:tl2br w:val="nil"/>
              <w:tr2bl w:val="nil"/>
            </w:tcBorders>
            <w:noWrap w:val="0"/>
            <w:vAlign w:val="center"/>
          </w:tcPr>
          <w:p>
            <w:pPr>
              <w:pStyle w:val="22"/>
              <w:bidi w:val="0"/>
              <w:jc w:val="center"/>
              <w:rPr>
                <w:rFonts w:hint="default"/>
                <w:b/>
                <w:bCs/>
                <w:color w:val="auto"/>
              </w:rPr>
            </w:pPr>
            <w:r>
              <w:rPr>
                <w:rFonts w:hint="default"/>
                <w:b/>
                <w:bCs/>
                <w:color w:val="auto"/>
                <w:lang w:val="en-US" w:eastAsia="zh-CN"/>
              </w:rPr>
              <w:t>生态亚区</w:t>
            </w:r>
          </w:p>
        </w:tc>
        <w:tc>
          <w:tcPr>
            <w:tcW w:w="3580" w:type="pct"/>
            <w:tcBorders>
              <w:tl2br w:val="nil"/>
              <w:tr2bl w:val="nil"/>
            </w:tcBorders>
            <w:noWrap w:val="0"/>
            <w:vAlign w:val="center"/>
          </w:tcPr>
          <w:p>
            <w:pPr>
              <w:pStyle w:val="22"/>
              <w:bidi w:val="0"/>
              <w:jc w:val="center"/>
              <w:rPr>
                <w:rFonts w:hint="default"/>
                <w:color w:val="auto"/>
                <w:lang w:val="en-US" w:eastAsia="zh-CN"/>
              </w:rPr>
            </w:pPr>
            <w:r>
              <w:rPr>
                <w:rFonts w:hint="default"/>
                <w:color w:val="auto"/>
                <w:lang w:val="en-US" w:eastAsia="zh-CN"/>
              </w:rPr>
              <w:t>塔里木盆地南部和东部沙漠、戈壁及绿洲农业生态亚区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86" w:type="pct"/>
            <w:vMerge w:val="continue"/>
            <w:tcBorders>
              <w:tl2br w:val="nil"/>
              <w:tr2bl w:val="nil"/>
            </w:tcBorders>
            <w:noWrap w:val="0"/>
            <w:vAlign w:val="center"/>
          </w:tcPr>
          <w:p>
            <w:pPr>
              <w:pStyle w:val="22"/>
              <w:bidi w:val="0"/>
              <w:jc w:val="center"/>
              <w:rPr>
                <w:rFonts w:hint="default"/>
                <w:b/>
                <w:bCs/>
                <w:color w:val="auto"/>
              </w:rPr>
            </w:pPr>
          </w:p>
        </w:tc>
        <w:tc>
          <w:tcPr>
            <w:tcW w:w="833" w:type="pct"/>
            <w:tcBorders>
              <w:tl2br w:val="nil"/>
              <w:tr2bl w:val="nil"/>
            </w:tcBorders>
            <w:noWrap w:val="0"/>
            <w:vAlign w:val="center"/>
          </w:tcPr>
          <w:p>
            <w:pPr>
              <w:pStyle w:val="22"/>
              <w:bidi w:val="0"/>
              <w:jc w:val="center"/>
              <w:rPr>
                <w:rFonts w:hint="default"/>
                <w:b/>
                <w:bCs/>
                <w:color w:val="auto"/>
              </w:rPr>
            </w:pPr>
            <w:r>
              <w:rPr>
                <w:rFonts w:hint="default"/>
                <w:b/>
                <w:bCs/>
                <w:color w:val="auto"/>
                <w:lang w:val="en-US" w:eastAsia="zh-CN"/>
              </w:rPr>
              <w:t>生态功能区</w:t>
            </w:r>
          </w:p>
        </w:tc>
        <w:tc>
          <w:tcPr>
            <w:tcW w:w="3580" w:type="pct"/>
            <w:tcBorders>
              <w:tl2br w:val="nil"/>
              <w:tr2bl w:val="nil"/>
            </w:tcBorders>
            <w:noWrap w:val="0"/>
            <w:vAlign w:val="center"/>
          </w:tcPr>
          <w:p>
            <w:pPr>
              <w:pStyle w:val="22"/>
              <w:bidi w:val="0"/>
              <w:jc w:val="center"/>
              <w:rPr>
                <w:rFonts w:hint="default"/>
                <w:color w:val="auto"/>
              </w:rPr>
            </w:pPr>
            <w:r>
              <w:rPr>
                <w:rFonts w:hint="default"/>
                <w:color w:val="auto"/>
                <w:lang w:val="en-US" w:eastAsia="zh-CN"/>
              </w:rPr>
              <w:t>皮山—和田—民丰绿洲沙漠化敏感生态功能区区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pct"/>
            <w:gridSpan w:val="2"/>
            <w:tcBorders>
              <w:tl2br w:val="nil"/>
              <w:tr2bl w:val="nil"/>
            </w:tcBorders>
            <w:noWrap w:val="0"/>
            <w:vAlign w:val="center"/>
          </w:tcPr>
          <w:p>
            <w:pPr>
              <w:pStyle w:val="22"/>
              <w:bidi w:val="0"/>
              <w:jc w:val="center"/>
              <w:rPr>
                <w:rFonts w:hint="default"/>
                <w:b/>
                <w:bCs/>
                <w:color w:val="auto"/>
              </w:rPr>
            </w:pPr>
            <w:r>
              <w:rPr>
                <w:rFonts w:hint="default"/>
                <w:b/>
                <w:bCs/>
                <w:color w:val="auto"/>
                <w:lang w:val="en-US" w:eastAsia="zh-CN"/>
              </w:rPr>
              <w:t>主要生态服务功能</w:t>
            </w:r>
          </w:p>
        </w:tc>
        <w:tc>
          <w:tcPr>
            <w:tcW w:w="3580" w:type="pct"/>
            <w:tcBorders>
              <w:tl2br w:val="nil"/>
              <w:tr2bl w:val="nil"/>
            </w:tcBorders>
            <w:noWrap w:val="0"/>
            <w:vAlign w:val="center"/>
          </w:tcPr>
          <w:p>
            <w:pPr>
              <w:pStyle w:val="22"/>
              <w:bidi w:val="0"/>
              <w:jc w:val="center"/>
              <w:rPr>
                <w:rFonts w:hint="default"/>
                <w:color w:val="auto"/>
              </w:rPr>
            </w:pPr>
            <w:r>
              <w:rPr>
                <w:rFonts w:hint="default"/>
                <w:color w:val="auto"/>
                <w:lang w:val="en-US" w:eastAsia="zh-CN"/>
              </w:rPr>
              <w:t>农产品生产、沙漠化控制、土壤保持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pct"/>
            <w:gridSpan w:val="2"/>
            <w:tcBorders>
              <w:tl2br w:val="nil"/>
              <w:tr2bl w:val="nil"/>
            </w:tcBorders>
            <w:noWrap w:val="0"/>
            <w:vAlign w:val="center"/>
          </w:tcPr>
          <w:p>
            <w:pPr>
              <w:pStyle w:val="22"/>
              <w:bidi w:val="0"/>
              <w:jc w:val="center"/>
              <w:rPr>
                <w:rFonts w:hint="default"/>
                <w:b/>
                <w:bCs/>
                <w:color w:val="auto"/>
              </w:rPr>
            </w:pPr>
            <w:r>
              <w:rPr>
                <w:rFonts w:hint="default"/>
                <w:b/>
                <w:bCs/>
                <w:color w:val="auto"/>
                <w:lang w:val="en-US" w:eastAsia="zh-CN"/>
              </w:rPr>
              <w:t>主要生态环境问题</w:t>
            </w:r>
          </w:p>
        </w:tc>
        <w:tc>
          <w:tcPr>
            <w:tcW w:w="3580" w:type="pct"/>
            <w:tcBorders>
              <w:tl2br w:val="nil"/>
              <w:tr2bl w:val="nil"/>
            </w:tcBorders>
            <w:noWrap w:val="0"/>
            <w:vAlign w:val="center"/>
          </w:tcPr>
          <w:p>
            <w:pPr>
              <w:pStyle w:val="22"/>
              <w:bidi w:val="0"/>
              <w:jc w:val="center"/>
              <w:rPr>
                <w:rFonts w:hint="default"/>
                <w:color w:val="auto"/>
              </w:rPr>
            </w:pPr>
            <w:r>
              <w:rPr>
                <w:rFonts w:hint="default"/>
                <w:color w:val="auto"/>
                <w:lang w:val="en-US" w:eastAsia="zh-CN"/>
              </w:rPr>
              <w:t>沙漠化威胁、风沙危害、土壤质量下降和土壤盐渍化、能源短缺、荒漠植被破坏、浮尘和沙尘暴天气多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pct"/>
            <w:gridSpan w:val="2"/>
            <w:tcBorders>
              <w:tl2br w:val="nil"/>
              <w:tr2bl w:val="nil"/>
            </w:tcBorders>
            <w:noWrap w:val="0"/>
            <w:vAlign w:val="center"/>
          </w:tcPr>
          <w:p>
            <w:pPr>
              <w:pStyle w:val="22"/>
              <w:bidi w:val="0"/>
              <w:jc w:val="center"/>
              <w:rPr>
                <w:rFonts w:hint="default"/>
                <w:b/>
                <w:bCs/>
                <w:color w:val="auto"/>
              </w:rPr>
            </w:pPr>
            <w:r>
              <w:rPr>
                <w:rFonts w:hint="default"/>
                <w:b/>
                <w:bCs/>
                <w:color w:val="auto"/>
                <w:lang w:val="en-US" w:eastAsia="zh-CN"/>
              </w:rPr>
              <w:t>主要生态敏感因子、</w:t>
            </w:r>
          </w:p>
          <w:p>
            <w:pPr>
              <w:pStyle w:val="22"/>
              <w:bidi w:val="0"/>
              <w:jc w:val="center"/>
              <w:rPr>
                <w:rFonts w:hint="default"/>
                <w:b/>
                <w:bCs/>
                <w:color w:val="auto"/>
              </w:rPr>
            </w:pPr>
            <w:r>
              <w:rPr>
                <w:rFonts w:hint="default"/>
                <w:b/>
                <w:bCs/>
                <w:color w:val="auto"/>
                <w:lang w:val="en-US" w:eastAsia="zh-CN"/>
              </w:rPr>
              <w:t>敏感程度</w:t>
            </w:r>
          </w:p>
        </w:tc>
        <w:tc>
          <w:tcPr>
            <w:tcW w:w="3580" w:type="pct"/>
            <w:tcBorders>
              <w:tl2br w:val="nil"/>
              <w:tr2bl w:val="nil"/>
            </w:tcBorders>
            <w:noWrap w:val="0"/>
            <w:vAlign w:val="center"/>
          </w:tcPr>
          <w:p>
            <w:pPr>
              <w:pStyle w:val="22"/>
              <w:bidi w:val="0"/>
              <w:jc w:val="center"/>
              <w:rPr>
                <w:rFonts w:hint="default"/>
                <w:color w:val="auto"/>
              </w:rPr>
            </w:pPr>
            <w:r>
              <w:rPr>
                <w:rFonts w:hint="default"/>
                <w:color w:val="auto"/>
                <w:lang w:val="en-US" w:eastAsia="zh-CN"/>
              </w:rPr>
              <w:t>土壤侵蚀极度敏感，土地沙漠化轻度敏感，土壤盐渍化轻度敏感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pct"/>
            <w:gridSpan w:val="2"/>
            <w:tcBorders>
              <w:tl2br w:val="nil"/>
              <w:tr2bl w:val="nil"/>
            </w:tcBorders>
            <w:noWrap w:val="0"/>
            <w:vAlign w:val="center"/>
          </w:tcPr>
          <w:p>
            <w:pPr>
              <w:pStyle w:val="22"/>
              <w:bidi w:val="0"/>
              <w:jc w:val="center"/>
              <w:rPr>
                <w:rFonts w:hint="default"/>
                <w:b/>
                <w:bCs/>
                <w:color w:val="auto"/>
              </w:rPr>
            </w:pPr>
            <w:r>
              <w:rPr>
                <w:rFonts w:hint="default"/>
                <w:b/>
                <w:bCs/>
                <w:color w:val="auto"/>
                <w:lang w:val="en-US" w:eastAsia="zh-CN"/>
              </w:rPr>
              <w:t>主要保护目标</w:t>
            </w:r>
          </w:p>
        </w:tc>
        <w:tc>
          <w:tcPr>
            <w:tcW w:w="3580" w:type="pct"/>
            <w:tcBorders>
              <w:tl2br w:val="nil"/>
              <w:tr2bl w:val="nil"/>
            </w:tcBorders>
            <w:noWrap w:val="0"/>
            <w:vAlign w:val="center"/>
          </w:tcPr>
          <w:p>
            <w:pPr>
              <w:pStyle w:val="22"/>
              <w:bidi w:val="0"/>
              <w:jc w:val="center"/>
              <w:rPr>
                <w:rFonts w:hint="default"/>
                <w:color w:val="auto"/>
              </w:rPr>
            </w:pPr>
            <w:r>
              <w:rPr>
                <w:rFonts w:hint="default"/>
                <w:color w:val="auto"/>
                <w:lang w:val="en-US" w:eastAsia="zh-CN"/>
              </w:rPr>
              <w:t>保护绿洲农田、保护荒漠植被、保护荒漠河岸林、保护饮用水源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19" w:type="pct"/>
            <w:gridSpan w:val="2"/>
            <w:tcBorders>
              <w:tl2br w:val="nil"/>
              <w:tr2bl w:val="nil"/>
            </w:tcBorders>
            <w:noWrap w:val="0"/>
            <w:vAlign w:val="center"/>
          </w:tcPr>
          <w:p>
            <w:pPr>
              <w:pStyle w:val="22"/>
              <w:bidi w:val="0"/>
              <w:jc w:val="center"/>
              <w:rPr>
                <w:rFonts w:hint="default"/>
                <w:b/>
                <w:bCs/>
                <w:color w:val="auto"/>
              </w:rPr>
            </w:pPr>
            <w:r>
              <w:rPr>
                <w:rFonts w:hint="default"/>
                <w:b/>
                <w:bCs/>
                <w:color w:val="auto"/>
                <w:lang w:val="en-US" w:eastAsia="zh-CN"/>
              </w:rPr>
              <w:t>主要保护措施</w:t>
            </w:r>
          </w:p>
        </w:tc>
        <w:tc>
          <w:tcPr>
            <w:tcW w:w="3580" w:type="pct"/>
            <w:tcBorders>
              <w:tl2br w:val="nil"/>
              <w:tr2bl w:val="nil"/>
            </w:tcBorders>
            <w:noWrap w:val="0"/>
            <w:vAlign w:val="center"/>
          </w:tcPr>
          <w:p>
            <w:pPr>
              <w:pStyle w:val="22"/>
              <w:bidi w:val="0"/>
              <w:jc w:val="center"/>
              <w:rPr>
                <w:rFonts w:hint="default"/>
                <w:color w:val="auto"/>
              </w:rPr>
            </w:pPr>
            <w:r>
              <w:rPr>
                <w:rFonts w:hint="default"/>
                <w:color w:val="auto"/>
                <w:lang w:val="en-US" w:eastAsia="zh-CN"/>
              </w:rPr>
              <w:t>大力发展农田和生态防护林建设、完善水利工程设施、开发地下水、禁樵禁采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19" w:type="pct"/>
            <w:gridSpan w:val="2"/>
            <w:tcBorders>
              <w:tl2br w:val="nil"/>
              <w:tr2bl w:val="nil"/>
            </w:tcBorders>
            <w:noWrap w:val="0"/>
            <w:vAlign w:val="center"/>
          </w:tcPr>
          <w:p>
            <w:pPr>
              <w:pStyle w:val="22"/>
              <w:bidi w:val="0"/>
              <w:jc w:val="center"/>
              <w:rPr>
                <w:rFonts w:hint="default"/>
                <w:b/>
                <w:bCs/>
                <w:color w:val="auto"/>
              </w:rPr>
            </w:pPr>
            <w:r>
              <w:rPr>
                <w:rFonts w:hint="default"/>
                <w:b/>
                <w:bCs/>
                <w:color w:val="auto"/>
                <w:lang w:val="en-US" w:eastAsia="zh-CN"/>
              </w:rPr>
              <w:t>适宜发展方向</w:t>
            </w:r>
          </w:p>
        </w:tc>
        <w:tc>
          <w:tcPr>
            <w:tcW w:w="3580" w:type="pct"/>
            <w:tcBorders>
              <w:tl2br w:val="nil"/>
              <w:tr2bl w:val="nil"/>
            </w:tcBorders>
            <w:noWrap w:val="0"/>
            <w:vAlign w:val="center"/>
          </w:tcPr>
          <w:p>
            <w:pPr>
              <w:pStyle w:val="22"/>
              <w:bidi w:val="0"/>
              <w:jc w:val="center"/>
              <w:rPr>
                <w:rFonts w:hint="default"/>
                <w:color w:val="auto"/>
              </w:rPr>
            </w:pPr>
            <w:r>
              <w:rPr>
                <w:rFonts w:hint="default"/>
                <w:color w:val="auto"/>
                <w:lang w:val="en-US" w:eastAsia="zh-CN"/>
              </w:rPr>
              <w:t>改变能源结构，保证油气供给，发展特色林果业和农区畜牧业，促进丝绸、地毯、</w:t>
            </w:r>
            <w:r>
              <w:rPr>
                <w:rFonts w:hint="eastAsia"/>
                <w:color w:val="auto"/>
                <w:lang w:val="en-US" w:eastAsia="zh-CN"/>
              </w:rPr>
              <w:t>和田玉</w:t>
            </w:r>
            <w:r>
              <w:rPr>
                <w:rFonts w:hint="default"/>
                <w:color w:val="auto"/>
                <w:lang w:val="en-US" w:eastAsia="zh-CN"/>
              </w:rPr>
              <w:t>等民族手工工艺品加工及旅游业发展</w:t>
            </w:r>
          </w:p>
        </w:tc>
      </w:tr>
    </w:tbl>
    <w:p>
      <w:pPr>
        <w:pStyle w:val="7"/>
        <w:bidi w:val="0"/>
        <w:rPr>
          <w:rFonts w:hint="eastAsia"/>
          <w:color w:val="auto"/>
          <w:lang w:val="en-US" w:eastAsia="zh-CN"/>
        </w:rPr>
      </w:pPr>
      <w:r>
        <w:rPr>
          <w:rFonts w:hint="eastAsia"/>
          <w:color w:val="auto"/>
          <w:lang w:val="en-US" w:eastAsia="zh-CN"/>
        </w:rPr>
        <w:t>4.2.6.2植被环境现状调查及评价</w:t>
      </w:r>
    </w:p>
    <w:p>
      <w:pPr>
        <w:bidi w:val="0"/>
        <w:ind w:left="0" w:leftChars="0" w:firstLine="480" w:firstLineChars="200"/>
        <w:rPr>
          <w:rFonts w:hint="eastAsia" w:eastAsia="宋体"/>
          <w:color w:val="auto"/>
          <w:lang w:eastAsia="zh-CN"/>
        </w:rPr>
      </w:pPr>
      <w:r>
        <w:rPr>
          <w:rFonts w:hint="eastAsia"/>
          <w:color w:val="auto"/>
          <w:lang w:val="en-US" w:eastAsia="zh-CN"/>
        </w:rPr>
        <w:t>1、所在区域</w:t>
      </w:r>
      <w:r>
        <w:rPr>
          <w:rFonts w:hint="eastAsia"/>
          <w:color w:val="auto"/>
        </w:rPr>
        <w:t>植被现状概况</w:t>
      </w:r>
    </w:p>
    <w:p>
      <w:pPr>
        <w:bidi w:val="0"/>
        <w:rPr>
          <w:rFonts w:hint="eastAsia"/>
          <w:color w:val="auto"/>
          <w:lang w:val="en-US" w:eastAsia="zh-CN"/>
        </w:rPr>
      </w:pPr>
      <w:r>
        <w:rPr>
          <w:rFonts w:hint="eastAsia"/>
          <w:color w:val="auto"/>
          <w:lang w:val="en-US" w:eastAsia="zh-CN"/>
        </w:rPr>
        <w:t>该区位于南疆地区，属温性荒漠类，本地植物区系有明显的荒漠区系成分组成，根据调查和收集的文献资料统计。目前主要植被类型为灌溉绿洲、盐生草荒漠、无植被戈壁和多汁盐柴类荒漠。地表植被主要有农作物、琵琶柴、芨芨草、碱蓬、狗牙根、花花柴、芦苇等。</w:t>
      </w:r>
    </w:p>
    <w:p>
      <w:pPr>
        <w:bidi w:val="0"/>
        <w:rPr>
          <w:rFonts w:hint="eastAsia"/>
          <w:color w:val="auto"/>
          <w:lang w:val="en-US" w:eastAsia="zh-CN"/>
        </w:rPr>
      </w:pPr>
      <w:r>
        <w:rPr>
          <w:rFonts w:hint="eastAsia"/>
          <w:color w:val="auto"/>
          <w:lang w:val="en-US" w:eastAsia="zh-CN"/>
        </w:rPr>
        <w:t>由于本区域的气候土壤特殊性，决定了本区域荒漠植被种类贫乏、群落稀疏、植被类型简单，基本无利用价值。主要植物名录见表</w:t>
      </w:r>
      <w:r>
        <w:rPr>
          <w:rFonts w:hint="default"/>
          <w:color w:val="auto"/>
          <w:lang w:val="en-US" w:eastAsia="zh-CN"/>
        </w:rPr>
        <w:t>。</w:t>
      </w:r>
    </w:p>
    <w:p>
      <w:pPr>
        <w:pStyle w:val="22"/>
        <w:bidi w:val="0"/>
        <w:rPr>
          <w:rFonts w:hint="eastAsia"/>
          <w:b/>
          <w:bCs/>
          <w:color w:val="auto"/>
          <w:lang w:val="en-US" w:eastAsia="zh-CN"/>
        </w:rPr>
      </w:pPr>
      <w:r>
        <w:rPr>
          <w:rFonts w:hint="eastAsia"/>
          <w:b/>
          <w:bCs/>
          <w:color w:val="auto"/>
          <w:lang w:val="en-US" w:eastAsia="zh-CN"/>
        </w:rPr>
        <w:t>表4.2-8评价区主要植被名录</w:t>
      </w:r>
    </w:p>
    <w:tbl>
      <w:tblPr>
        <w:tblStyle w:val="19"/>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2114"/>
        <w:gridCol w:w="2825"/>
        <w:gridCol w:w="1165"/>
        <w:gridCol w:w="17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08" w:type="pct"/>
            <w:vMerge w:val="restar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b/>
                <w:bCs/>
                <w:color w:val="auto"/>
                <w:lang w:val="en-US" w:eastAsia="zh-CN"/>
              </w:rPr>
            </w:pPr>
            <w:r>
              <w:rPr>
                <w:rFonts w:hint="eastAsia"/>
                <w:b/>
                <w:bCs/>
                <w:color w:val="auto"/>
                <w:lang w:val="en-US" w:eastAsia="zh-CN"/>
              </w:rPr>
              <w:t>序号</w:t>
            </w:r>
          </w:p>
        </w:tc>
        <w:tc>
          <w:tcPr>
            <w:tcW w:w="2899" w:type="pct"/>
            <w:gridSpan w:val="2"/>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b/>
                <w:bCs/>
                <w:color w:val="auto"/>
                <w:lang w:val="en-US" w:eastAsia="zh-CN"/>
              </w:rPr>
            </w:pPr>
            <w:r>
              <w:rPr>
                <w:rFonts w:hint="eastAsia"/>
                <w:b/>
                <w:bCs/>
                <w:color w:val="auto"/>
                <w:lang w:val="en-US" w:eastAsia="zh-CN"/>
              </w:rPr>
              <w:t>种名</w:t>
            </w:r>
          </w:p>
        </w:tc>
        <w:tc>
          <w:tcPr>
            <w:tcW w:w="684" w:type="pct"/>
            <w:vMerge w:val="restar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b/>
                <w:bCs/>
                <w:color w:val="auto"/>
                <w:lang w:val="en-US" w:eastAsia="zh-CN"/>
              </w:rPr>
            </w:pPr>
            <w:r>
              <w:rPr>
                <w:rFonts w:hint="eastAsia"/>
                <w:b/>
                <w:bCs/>
                <w:color w:val="auto"/>
                <w:lang w:val="en-US" w:eastAsia="zh-CN"/>
              </w:rPr>
              <w:t>科名</w:t>
            </w:r>
          </w:p>
        </w:tc>
        <w:tc>
          <w:tcPr>
            <w:tcW w:w="1008" w:type="pct"/>
            <w:vMerge w:val="restar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b/>
                <w:bCs/>
                <w:color w:val="auto"/>
                <w:lang w:val="en-US" w:eastAsia="zh-CN"/>
              </w:rPr>
            </w:pPr>
            <w:r>
              <w:rPr>
                <w:rFonts w:hint="eastAsia"/>
                <w:b/>
                <w:bCs/>
                <w:color w:val="auto"/>
                <w:lang w:val="en-US" w:eastAsia="zh-CN"/>
              </w:rPr>
              <w:t>生活型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vMerge w:val="continue"/>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auto"/>
                <w:lang w:val="en-US" w:eastAsia="zh-CN"/>
              </w:rPr>
            </w:pPr>
          </w:p>
        </w:tc>
        <w:tc>
          <w:tcPr>
            <w:tcW w:w="1241"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b/>
                <w:bCs/>
                <w:color w:val="auto"/>
                <w:lang w:val="en-US" w:eastAsia="zh-CN"/>
              </w:rPr>
            </w:pPr>
            <w:r>
              <w:rPr>
                <w:rFonts w:hint="eastAsia"/>
                <w:b/>
                <w:bCs/>
                <w:color w:val="auto"/>
                <w:lang w:val="en-US" w:eastAsia="zh-CN"/>
              </w:rPr>
              <w:t>中名</w:t>
            </w:r>
          </w:p>
        </w:tc>
        <w:tc>
          <w:tcPr>
            <w:tcW w:w="165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b/>
                <w:bCs/>
                <w:color w:val="auto"/>
                <w:lang w:val="en-US" w:eastAsia="zh-CN"/>
              </w:rPr>
            </w:pPr>
            <w:r>
              <w:rPr>
                <w:rFonts w:hint="eastAsia"/>
                <w:b/>
                <w:bCs/>
                <w:color w:val="auto"/>
                <w:lang w:val="en-US" w:eastAsia="zh-CN"/>
              </w:rPr>
              <w:t>学名</w:t>
            </w:r>
          </w:p>
        </w:tc>
        <w:tc>
          <w:tcPr>
            <w:tcW w:w="684" w:type="pct"/>
            <w:vMerge w:val="continue"/>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auto"/>
                <w:lang w:val="en-US" w:eastAsia="zh-CN"/>
              </w:rPr>
            </w:pPr>
          </w:p>
        </w:tc>
        <w:tc>
          <w:tcPr>
            <w:tcW w:w="1008" w:type="pct"/>
            <w:vMerge w:val="continue"/>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auto"/>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auto"/>
                <w:lang w:val="en-US" w:eastAsia="zh-CN"/>
              </w:rPr>
            </w:pPr>
            <w:r>
              <w:rPr>
                <w:rFonts w:hint="eastAsia"/>
                <w:color w:val="auto"/>
                <w:lang w:val="en-US" w:eastAsia="zh-CN"/>
              </w:rPr>
              <w:t>1</w:t>
            </w:r>
          </w:p>
        </w:tc>
        <w:tc>
          <w:tcPr>
            <w:tcW w:w="1241"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lang w:val="en-US" w:eastAsia="zh-CN"/>
              </w:rPr>
              <w:t>花花柴</w:t>
            </w:r>
          </w:p>
        </w:tc>
        <w:tc>
          <w:tcPr>
            <w:tcW w:w="165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i/>
                <w:iCs/>
                <w:color w:val="auto"/>
                <w:lang w:val="en-US" w:eastAsia="zh-CN"/>
              </w:rPr>
            </w:pPr>
            <w:r>
              <w:rPr>
                <w:rFonts w:hint="default"/>
                <w:i/>
                <w:iCs/>
                <w:color w:val="auto"/>
                <w:lang w:val="en-US" w:eastAsia="zh-CN"/>
              </w:rPr>
              <w:t>Kareliniacaspia</w:t>
            </w:r>
          </w:p>
        </w:tc>
        <w:tc>
          <w:tcPr>
            <w:tcW w:w="684"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auto"/>
                <w:lang w:val="en-US" w:eastAsia="zh-CN"/>
              </w:rPr>
            </w:pPr>
            <w:r>
              <w:rPr>
                <w:rFonts w:hint="eastAsia"/>
                <w:color w:val="auto"/>
                <w:lang w:val="en-US" w:eastAsia="zh-CN"/>
              </w:rPr>
              <w:t>菊科</w:t>
            </w:r>
          </w:p>
        </w:tc>
        <w:tc>
          <w:tcPr>
            <w:tcW w:w="100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auto"/>
                <w:lang w:val="en-US" w:eastAsia="zh-CN"/>
              </w:rPr>
            </w:pPr>
            <w:r>
              <w:rPr>
                <w:rFonts w:hint="eastAsia"/>
                <w:color w:val="auto"/>
                <w:lang w:val="en-US" w:eastAsia="zh-CN"/>
              </w:rPr>
              <w:t>多年生草本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auto"/>
                <w:lang w:val="en-US" w:eastAsia="zh-CN"/>
              </w:rPr>
            </w:pPr>
            <w:r>
              <w:rPr>
                <w:rFonts w:hint="eastAsia"/>
                <w:color w:val="auto"/>
                <w:lang w:val="en-US" w:eastAsia="zh-CN"/>
              </w:rPr>
              <w:t>2</w:t>
            </w:r>
          </w:p>
        </w:tc>
        <w:tc>
          <w:tcPr>
            <w:tcW w:w="1241"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lang w:val="en-US" w:eastAsia="zh-CN"/>
              </w:rPr>
              <w:t>芦苇</w:t>
            </w:r>
          </w:p>
        </w:tc>
        <w:tc>
          <w:tcPr>
            <w:tcW w:w="165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i/>
                <w:iCs/>
                <w:color w:val="auto"/>
                <w:lang w:val="en-US" w:eastAsia="zh-CN"/>
              </w:rPr>
            </w:pPr>
            <w:r>
              <w:rPr>
                <w:rFonts w:hint="default"/>
                <w:i/>
                <w:iCs/>
                <w:color w:val="auto"/>
                <w:lang w:val="en-US" w:eastAsia="zh-CN"/>
              </w:rPr>
              <w:t>Phragmitescommunis</w:t>
            </w:r>
          </w:p>
        </w:tc>
        <w:tc>
          <w:tcPr>
            <w:tcW w:w="684"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auto"/>
                <w:lang w:val="en-US" w:eastAsia="zh-CN"/>
              </w:rPr>
            </w:pPr>
            <w:r>
              <w:rPr>
                <w:rFonts w:hint="eastAsia"/>
                <w:color w:val="auto"/>
                <w:lang w:val="en-US" w:eastAsia="zh-CN"/>
              </w:rPr>
              <w:t>禾本科</w:t>
            </w:r>
          </w:p>
        </w:tc>
        <w:tc>
          <w:tcPr>
            <w:tcW w:w="100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auto"/>
                <w:lang w:val="en-US" w:eastAsia="zh-CN"/>
              </w:rPr>
            </w:pPr>
            <w:r>
              <w:rPr>
                <w:rFonts w:hint="eastAsia"/>
                <w:color w:val="auto"/>
                <w:lang w:val="en-US" w:eastAsia="zh-CN"/>
              </w:rPr>
              <w:t>多年生草本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auto"/>
                <w:lang w:val="en-US" w:eastAsia="zh-CN"/>
              </w:rPr>
            </w:pPr>
            <w:r>
              <w:rPr>
                <w:rFonts w:hint="eastAsia"/>
                <w:color w:val="auto"/>
                <w:lang w:val="en-US" w:eastAsia="zh-CN"/>
              </w:rPr>
              <w:t>3</w:t>
            </w:r>
          </w:p>
        </w:tc>
        <w:tc>
          <w:tcPr>
            <w:tcW w:w="1241"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auto"/>
                <w:lang w:val="en-US" w:eastAsia="zh-CN"/>
              </w:rPr>
            </w:pPr>
            <w:r>
              <w:rPr>
                <w:rFonts w:hint="default"/>
                <w:color w:val="auto"/>
                <w:lang w:val="en-US" w:eastAsia="zh-CN"/>
              </w:rPr>
              <w:t>芨芨草</w:t>
            </w:r>
          </w:p>
        </w:tc>
        <w:tc>
          <w:tcPr>
            <w:tcW w:w="165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i/>
                <w:iCs/>
                <w:color w:val="auto"/>
                <w:lang w:val="en-US" w:eastAsia="zh-CN"/>
              </w:rPr>
            </w:pPr>
            <w:r>
              <w:rPr>
                <w:rFonts w:hint="default"/>
                <w:i/>
                <w:iCs/>
                <w:color w:val="auto"/>
                <w:lang w:val="en-US" w:eastAsia="zh-CN"/>
              </w:rPr>
              <w:t>Achnatherumsplendens</w:t>
            </w:r>
          </w:p>
        </w:tc>
        <w:tc>
          <w:tcPr>
            <w:tcW w:w="684"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auto"/>
                <w:lang w:val="en-US" w:eastAsia="zh-CN"/>
              </w:rPr>
            </w:pPr>
            <w:r>
              <w:rPr>
                <w:rFonts w:hint="eastAsia"/>
                <w:color w:val="auto"/>
                <w:lang w:val="en-US" w:eastAsia="zh-CN"/>
              </w:rPr>
              <w:t>禾本科</w:t>
            </w:r>
          </w:p>
        </w:tc>
        <w:tc>
          <w:tcPr>
            <w:tcW w:w="100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auto"/>
                <w:lang w:val="en-US" w:eastAsia="zh-CN"/>
              </w:rPr>
            </w:pPr>
            <w:r>
              <w:rPr>
                <w:rFonts w:hint="eastAsia"/>
                <w:color w:val="auto"/>
                <w:lang w:val="en-US" w:eastAsia="zh-CN"/>
              </w:rPr>
              <w:t>多年生密丛禾草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auto"/>
                <w:lang w:val="en-US" w:eastAsia="zh-CN"/>
              </w:rPr>
            </w:pPr>
            <w:r>
              <w:rPr>
                <w:rFonts w:hint="eastAsia"/>
                <w:color w:val="auto"/>
                <w:lang w:val="en-US" w:eastAsia="zh-CN"/>
              </w:rPr>
              <w:t>4</w:t>
            </w:r>
          </w:p>
        </w:tc>
        <w:tc>
          <w:tcPr>
            <w:tcW w:w="1241"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auto"/>
                <w:lang w:val="en-US" w:eastAsia="zh-CN"/>
              </w:rPr>
            </w:pPr>
            <w:r>
              <w:rPr>
                <w:rFonts w:hint="default"/>
                <w:color w:val="auto"/>
                <w:lang w:val="en-US" w:eastAsia="zh-CN"/>
              </w:rPr>
              <w:t>拂子茅</w:t>
            </w:r>
          </w:p>
        </w:tc>
        <w:tc>
          <w:tcPr>
            <w:tcW w:w="165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i/>
                <w:iCs/>
                <w:color w:val="auto"/>
                <w:lang w:val="en-US" w:eastAsia="zh-CN"/>
              </w:rPr>
            </w:pPr>
            <w:r>
              <w:rPr>
                <w:rFonts w:hint="default"/>
                <w:i/>
                <w:iCs/>
                <w:color w:val="auto"/>
                <w:lang w:val="en-US" w:eastAsia="zh-CN"/>
              </w:rPr>
              <w:t>Calamagrostisepigeios</w:t>
            </w:r>
          </w:p>
        </w:tc>
        <w:tc>
          <w:tcPr>
            <w:tcW w:w="684"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auto"/>
                <w:lang w:val="en-US" w:eastAsia="zh-CN"/>
              </w:rPr>
            </w:pPr>
            <w:r>
              <w:rPr>
                <w:rFonts w:hint="eastAsia"/>
                <w:color w:val="auto"/>
                <w:lang w:val="en-US" w:eastAsia="zh-CN"/>
              </w:rPr>
              <w:t>禾本科</w:t>
            </w:r>
          </w:p>
        </w:tc>
        <w:tc>
          <w:tcPr>
            <w:tcW w:w="100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auto"/>
                <w:lang w:val="en-US" w:eastAsia="zh-CN"/>
              </w:rPr>
            </w:pPr>
            <w:r>
              <w:rPr>
                <w:rFonts w:hint="eastAsia"/>
                <w:color w:val="auto"/>
                <w:lang w:val="en-US" w:eastAsia="zh-CN"/>
              </w:rPr>
              <w:t>多年生草本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0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auto"/>
                <w:lang w:val="en-US" w:eastAsia="zh-CN"/>
              </w:rPr>
            </w:pPr>
            <w:r>
              <w:rPr>
                <w:rFonts w:hint="eastAsia"/>
                <w:color w:val="auto"/>
                <w:lang w:val="en-US" w:eastAsia="zh-CN"/>
              </w:rPr>
              <w:t>5</w:t>
            </w:r>
          </w:p>
        </w:tc>
        <w:tc>
          <w:tcPr>
            <w:tcW w:w="1241"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auto"/>
                <w:lang w:val="en-US" w:eastAsia="zh-CN"/>
              </w:rPr>
            </w:pPr>
            <w:r>
              <w:rPr>
                <w:rFonts w:hint="default"/>
                <w:color w:val="auto"/>
                <w:lang w:val="en-US" w:eastAsia="zh-CN"/>
              </w:rPr>
              <w:t>琵琶柴</w:t>
            </w:r>
          </w:p>
        </w:tc>
        <w:tc>
          <w:tcPr>
            <w:tcW w:w="165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i/>
                <w:iCs/>
                <w:color w:val="auto"/>
                <w:lang w:val="en-US" w:eastAsia="zh-CN"/>
              </w:rPr>
            </w:pPr>
            <w:r>
              <w:rPr>
                <w:rFonts w:hint="default"/>
                <w:i/>
                <w:iCs/>
                <w:color w:val="auto"/>
                <w:lang w:val="en-US" w:eastAsia="zh-CN"/>
              </w:rPr>
              <w:t>Reaumureasoongorica</w:t>
            </w:r>
          </w:p>
        </w:tc>
        <w:tc>
          <w:tcPr>
            <w:tcW w:w="684"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auto"/>
                <w:lang w:val="en-US" w:eastAsia="zh-CN"/>
              </w:rPr>
            </w:pPr>
            <w:r>
              <w:rPr>
                <w:rFonts w:hint="eastAsia"/>
                <w:color w:val="auto"/>
                <w:lang w:val="en-US" w:eastAsia="zh-CN"/>
              </w:rPr>
              <w:t>柽柳科</w:t>
            </w:r>
          </w:p>
        </w:tc>
        <w:tc>
          <w:tcPr>
            <w:tcW w:w="100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auto"/>
                <w:lang w:val="en-US" w:eastAsia="zh-CN"/>
              </w:rPr>
            </w:pPr>
            <w:r>
              <w:rPr>
                <w:rFonts w:hint="eastAsia"/>
                <w:color w:val="auto"/>
                <w:lang w:val="en-US" w:eastAsia="zh-CN"/>
              </w:rPr>
              <w:t>小灌木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0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auto"/>
                <w:lang w:val="en-US" w:eastAsia="zh-CN"/>
              </w:rPr>
            </w:pPr>
            <w:r>
              <w:rPr>
                <w:rFonts w:hint="eastAsia"/>
                <w:color w:val="auto"/>
                <w:lang w:val="en-US" w:eastAsia="zh-CN"/>
              </w:rPr>
              <w:t>6</w:t>
            </w:r>
          </w:p>
        </w:tc>
        <w:tc>
          <w:tcPr>
            <w:tcW w:w="1241"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auto"/>
                <w:lang w:val="en-US" w:eastAsia="zh-CN"/>
              </w:rPr>
            </w:pPr>
            <w:r>
              <w:rPr>
                <w:rFonts w:hint="eastAsia"/>
                <w:color w:val="auto"/>
                <w:lang w:val="en-US" w:eastAsia="zh-CN"/>
              </w:rPr>
              <w:t>驼绒藜</w:t>
            </w:r>
          </w:p>
        </w:tc>
        <w:tc>
          <w:tcPr>
            <w:tcW w:w="165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i/>
                <w:iCs/>
                <w:color w:val="auto"/>
                <w:lang w:val="en-US" w:eastAsia="zh-CN"/>
              </w:rPr>
            </w:pPr>
            <w:r>
              <w:rPr>
                <w:rFonts w:hint="default"/>
                <w:i/>
                <w:iCs/>
                <w:color w:val="auto"/>
                <w:lang w:val="en-US" w:eastAsia="zh-CN"/>
              </w:rPr>
              <w:t>Ceratoideslatens</w:t>
            </w:r>
          </w:p>
        </w:tc>
        <w:tc>
          <w:tcPr>
            <w:tcW w:w="684"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auto"/>
                <w:lang w:val="en-US" w:eastAsia="zh-CN"/>
              </w:rPr>
            </w:pPr>
            <w:r>
              <w:rPr>
                <w:rFonts w:hint="eastAsia"/>
                <w:color w:val="auto"/>
                <w:lang w:val="en-US" w:eastAsia="zh-CN"/>
              </w:rPr>
              <w:t>藜科</w:t>
            </w:r>
          </w:p>
        </w:tc>
        <w:tc>
          <w:tcPr>
            <w:tcW w:w="100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auto"/>
                <w:lang w:val="en-US" w:eastAsia="zh-CN"/>
              </w:rPr>
            </w:pPr>
            <w:r>
              <w:rPr>
                <w:rFonts w:hint="eastAsia"/>
                <w:color w:val="auto"/>
                <w:lang w:val="en-US" w:eastAsia="zh-CN"/>
              </w:rPr>
              <w:t>一、二年生草本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0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auto"/>
                <w:lang w:val="en-US" w:eastAsia="zh-CN"/>
              </w:rPr>
            </w:pPr>
            <w:r>
              <w:rPr>
                <w:rFonts w:hint="eastAsia"/>
                <w:color w:val="auto"/>
                <w:lang w:val="en-US" w:eastAsia="zh-CN"/>
              </w:rPr>
              <w:t>7</w:t>
            </w:r>
          </w:p>
        </w:tc>
        <w:tc>
          <w:tcPr>
            <w:tcW w:w="1241"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auto"/>
                <w:lang w:val="en-US" w:eastAsia="zh-CN"/>
              </w:rPr>
            </w:pPr>
            <w:r>
              <w:rPr>
                <w:rFonts w:hint="eastAsia"/>
                <w:color w:val="auto"/>
                <w:lang w:val="en-US" w:eastAsia="zh-CN"/>
              </w:rPr>
              <w:t>盐爪爪</w:t>
            </w:r>
          </w:p>
        </w:tc>
        <w:tc>
          <w:tcPr>
            <w:tcW w:w="165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i/>
                <w:iCs/>
                <w:color w:val="auto"/>
                <w:lang w:val="en-US" w:eastAsia="zh-CN"/>
              </w:rPr>
            </w:pPr>
            <w:r>
              <w:rPr>
                <w:rFonts w:hint="default"/>
                <w:i/>
                <w:iCs/>
                <w:color w:val="auto"/>
                <w:lang w:val="en-US" w:eastAsia="zh-CN"/>
              </w:rPr>
              <w:t>Kalidiumfoliatum</w:t>
            </w:r>
          </w:p>
        </w:tc>
        <w:tc>
          <w:tcPr>
            <w:tcW w:w="684"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auto"/>
                <w:lang w:val="en-US" w:eastAsia="zh-CN"/>
              </w:rPr>
            </w:pPr>
            <w:r>
              <w:rPr>
                <w:rFonts w:hint="eastAsia"/>
                <w:color w:val="auto"/>
                <w:lang w:val="en-US" w:eastAsia="zh-CN"/>
              </w:rPr>
              <w:t>藜科</w:t>
            </w:r>
          </w:p>
        </w:tc>
        <w:tc>
          <w:tcPr>
            <w:tcW w:w="100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auto"/>
                <w:lang w:val="en-US" w:eastAsia="zh-CN"/>
              </w:rPr>
            </w:pPr>
            <w:r>
              <w:rPr>
                <w:rFonts w:hint="eastAsia"/>
                <w:color w:val="auto"/>
                <w:lang w:val="en-US" w:eastAsia="zh-CN"/>
              </w:rPr>
              <w:t>小灌木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40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color w:val="auto"/>
                <w:lang w:val="en-US" w:eastAsia="zh-CN"/>
              </w:rPr>
            </w:pPr>
            <w:r>
              <w:rPr>
                <w:rFonts w:hint="eastAsia"/>
                <w:color w:val="auto"/>
                <w:lang w:val="en-US" w:eastAsia="zh-CN"/>
              </w:rPr>
              <w:t>8</w:t>
            </w:r>
          </w:p>
        </w:tc>
        <w:tc>
          <w:tcPr>
            <w:tcW w:w="1241"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auto"/>
                <w:lang w:val="en-US" w:eastAsia="zh-CN"/>
              </w:rPr>
            </w:pPr>
            <w:r>
              <w:rPr>
                <w:rFonts w:hint="default"/>
                <w:color w:val="auto"/>
                <w:lang w:val="en-US" w:eastAsia="zh-CN"/>
              </w:rPr>
              <w:t>碱蓬</w:t>
            </w:r>
          </w:p>
        </w:tc>
        <w:tc>
          <w:tcPr>
            <w:tcW w:w="165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default"/>
                <w:i/>
                <w:iCs/>
                <w:color w:val="auto"/>
                <w:lang w:val="en-US" w:eastAsia="zh-CN"/>
              </w:rPr>
            </w:pPr>
            <w:r>
              <w:rPr>
                <w:rFonts w:hint="default"/>
                <w:i/>
                <w:iCs/>
                <w:color w:val="auto"/>
                <w:lang w:val="en-US" w:eastAsia="zh-CN"/>
              </w:rPr>
              <w:t>Suaedaglauca(Bunge)Bunge</w:t>
            </w:r>
          </w:p>
        </w:tc>
        <w:tc>
          <w:tcPr>
            <w:tcW w:w="684"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auto"/>
                <w:lang w:val="en-US" w:eastAsia="zh-CN"/>
              </w:rPr>
            </w:pPr>
            <w:r>
              <w:rPr>
                <w:rFonts w:hint="eastAsia"/>
                <w:color w:val="auto"/>
                <w:lang w:val="en-US" w:eastAsia="zh-CN"/>
              </w:rPr>
              <w:t>藜科</w:t>
            </w:r>
          </w:p>
        </w:tc>
        <w:tc>
          <w:tcPr>
            <w:tcW w:w="1008" w:type="pct"/>
            <w:tcBorders>
              <w:tl2br w:val="nil"/>
              <w:tr2bl w:val="nil"/>
            </w:tcBorders>
            <w:noWrap w:val="0"/>
            <w:vAlign w:val="center"/>
          </w:tcPr>
          <w:p>
            <w:pPr>
              <w:pStyle w:val="22"/>
              <w:keepNext w:val="0"/>
              <w:keepLines w:val="0"/>
              <w:suppressLineNumbers w:val="0"/>
              <w:bidi w:val="0"/>
              <w:spacing w:before="0" w:beforeAutospacing="0" w:after="0" w:afterAutospacing="0"/>
              <w:ind w:left="0" w:right="0"/>
              <w:jc w:val="center"/>
              <w:rPr>
                <w:rFonts w:hint="eastAsia"/>
                <w:color w:val="auto"/>
                <w:lang w:val="en-US" w:eastAsia="zh-CN"/>
              </w:rPr>
            </w:pPr>
            <w:r>
              <w:rPr>
                <w:rFonts w:hint="eastAsia"/>
                <w:color w:val="auto"/>
                <w:lang w:val="en-US" w:eastAsia="zh-CN"/>
              </w:rPr>
              <w:t>一年生草本</w:t>
            </w:r>
          </w:p>
        </w:tc>
      </w:tr>
    </w:tbl>
    <w:p>
      <w:pPr>
        <w:pStyle w:val="7"/>
        <w:bidi w:val="0"/>
        <w:rPr>
          <w:rFonts w:hint="eastAsia"/>
          <w:color w:val="auto"/>
          <w:lang w:val="en-US" w:eastAsia="zh-CN"/>
        </w:rPr>
      </w:pPr>
      <w:r>
        <w:rPr>
          <w:rFonts w:hint="eastAsia"/>
          <w:color w:val="auto"/>
          <w:lang w:val="en-US" w:eastAsia="zh-CN"/>
        </w:rPr>
        <w:t>4.2.6.3陆生动物</w:t>
      </w:r>
    </w:p>
    <w:p>
      <w:pPr>
        <w:bidi w:val="0"/>
        <w:rPr>
          <w:rFonts w:hint="eastAsia"/>
          <w:color w:val="auto"/>
        </w:rPr>
      </w:pPr>
      <w:r>
        <w:rPr>
          <w:rFonts w:hint="eastAsia"/>
          <w:color w:val="auto"/>
        </w:rPr>
        <w:t>根据实地调查结果，项目区及影响范围内分布的野生动物主要为田鼠，麻雀、</w:t>
      </w:r>
      <w:r>
        <w:rPr>
          <w:rFonts w:hint="eastAsia"/>
          <w:color w:val="auto"/>
          <w:lang w:eastAsia="zh-CN"/>
        </w:rPr>
        <w:t>草兔</w:t>
      </w:r>
      <w:r>
        <w:rPr>
          <w:rFonts w:hint="eastAsia"/>
          <w:color w:val="auto"/>
        </w:rPr>
        <w:t>等。场址区域无自然保护区，也无国家级及自治区级保护野生动物。</w:t>
      </w:r>
    </w:p>
    <w:p>
      <w:pPr>
        <w:pStyle w:val="22"/>
        <w:bidi w:val="0"/>
        <w:rPr>
          <w:rFonts w:hint="eastAsia"/>
          <w:b/>
          <w:bCs/>
          <w:color w:val="auto"/>
          <w:lang w:val="en-US" w:eastAsia="zh-CN"/>
        </w:rPr>
      </w:pPr>
      <w:r>
        <w:rPr>
          <w:rFonts w:hint="eastAsia"/>
          <w:b/>
          <w:bCs/>
          <w:color w:val="auto"/>
          <w:lang w:val="en-US" w:eastAsia="zh-CN"/>
        </w:rPr>
        <w:t>表4.2-9区域主要脊椎动物名录及分布</w:t>
      </w:r>
    </w:p>
    <w:tbl>
      <w:tblPr>
        <w:tblStyle w:val="18"/>
        <w:tblW w:w="84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4"/>
        <w:gridCol w:w="1084"/>
        <w:gridCol w:w="1865"/>
        <w:gridCol w:w="913"/>
        <w:gridCol w:w="3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94" w:type="dxa"/>
            <w:tcBorders>
              <w:tl2br w:val="nil"/>
              <w:tr2bl w:val="nil"/>
            </w:tcBorders>
            <w:noWrap/>
            <w:vAlign w:val="center"/>
          </w:tcPr>
          <w:p>
            <w:pPr>
              <w:pStyle w:val="22"/>
              <w:bidi w:val="0"/>
              <w:rPr>
                <w:rFonts w:hint="eastAsia"/>
                <w:b/>
                <w:bCs/>
                <w:color w:val="auto"/>
              </w:rPr>
            </w:pPr>
            <w:r>
              <w:rPr>
                <w:rFonts w:hint="eastAsia"/>
                <w:b/>
                <w:bCs/>
                <w:color w:val="auto"/>
                <w:lang w:val="en-US" w:eastAsia="zh-CN"/>
              </w:rPr>
              <w:t>序号</w:t>
            </w:r>
          </w:p>
        </w:tc>
        <w:tc>
          <w:tcPr>
            <w:tcW w:w="1084" w:type="dxa"/>
            <w:tcBorders>
              <w:tl2br w:val="nil"/>
              <w:tr2bl w:val="nil"/>
            </w:tcBorders>
            <w:noWrap/>
            <w:vAlign w:val="center"/>
          </w:tcPr>
          <w:p>
            <w:pPr>
              <w:pStyle w:val="22"/>
              <w:bidi w:val="0"/>
              <w:rPr>
                <w:rFonts w:hint="eastAsia"/>
                <w:b/>
                <w:bCs/>
                <w:color w:val="auto"/>
              </w:rPr>
            </w:pPr>
            <w:r>
              <w:rPr>
                <w:rFonts w:hint="eastAsia"/>
                <w:b/>
                <w:bCs/>
                <w:color w:val="auto"/>
                <w:lang w:val="en-US" w:eastAsia="zh-CN"/>
              </w:rPr>
              <w:t>中文名称</w:t>
            </w:r>
          </w:p>
        </w:tc>
        <w:tc>
          <w:tcPr>
            <w:tcW w:w="1865" w:type="dxa"/>
            <w:tcBorders>
              <w:tl2br w:val="nil"/>
              <w:tr2bl w:val="nil"/>
            </w:tcBorders>
            <w:noWrap/>
            <w:vAlign w:val="center"/>
          </w:tcPr>
          <w:p>
            <w:pPr>
              <w:pStyle w:val="22"/>
              <w:bidi w:val="0"/>
              <w:rPr>
                <w:rFonts w:hint="eastAsia"/>
                <w:b/>
                <w:bCs/>
                <w:color w:val="auto"/>
              </w:rPr>
            </w:pPr>
            <w:r>
              <w:rPr>
                <w:rFonts w:hint="eastAsia"/>
                <w:b/>
                <w:bCs/>
                <w:color w:val="auto"/>
                <w:lang w:val="en-US" w:eastAsia="zh-CN"/>
              </w:rPr>
              <w:t>学名</w:t>
            </w:r>
          </w:p>
        </w:tc>
        <w:tc>
          <w:tcPr>
            <w:tcW w:w="913" w:type="dxa"/>
            <w:tcBorders>
              <w:tl2br w:val="nil"/>
              <w:tr2bl w:val="nil"/>
            </w:tcBorders>
            <w:noWrap/>
            <w:vAlign w:val="center"/>
          </w:tcPr>
          <w:p>
            <w:pPr>
              <w:pStyle w:val="22"/>
              <w:bidi w:val="0"/>
              <w:rPr>
                <w:rFonts w:hint="eastAsia"/>
                <w:b/>
                <w:bCs/>
                <w:color w:val="auto"/>
              </w:rPr>
            </w:pPr>
            <w:r>
              <w:rPr>
                <w:rFonts w:hint="eastAsia"/>
                <w:b/>
                <w:bCs/>
                <w:color w:val="auto"/>
                <w:lang w:val="en-US" w:eastAsia="zh-CN"/>
              </w:rPr>
              <w:t>科名</w:t>
            </w:r>
          </w:p>
        </w:tc>
        <w:tc>
          <w:tcPr>
            <w:tcW w:w="3573" w:type="dxa"/>
            <w:tcBorders>
              <w:tl2br w:val="nil"/>
              <w:tr2bl w:val="nil"/>
            </w:tcBorders>
            <w:noWrap/>
            <w:vAlign w:val="center"/>
          </w:tcPr>
          <w:p>
            <w:pPr>
              <w:pStyle w:val="22"/>
              <w:bidi w:val="0"/>
              <w:rPr>
                <w:rFonts w:hint="eastAsia"/>
                <w:b/>
                <w:bCs/>
                <w:color w:val="auto"/>
              </w:rPr>
            </w:pPr>
            <w:r>
              <w:rPr>
                <w:rFonts w:hint="eastAsia"/>
                <w:b/>
                <w:bCs/>
                <w:color w:val="auto"/>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94" w:type="dxa"/>
            <w:tcBorders>
              <w:tl2br w:val="nil"/>
              <w:tr2bl w:val="nil"/>
            </w:tcBorders>
            <w:noWrap/>
            <w:vAlign w:val="center"/>
          </w:tcPr>
          <w:p>
            <w:pPr>
              <w:pStyle w:val="22"/>
              <w:bidi w:val="0"/>
              <w:rPr>
                <w:rFonts w:hint="eastAsia"/>
                <w:color w:val="auto"/>
                <w:lang w:val="en-US" w:eastAsia="zh-CN"/>
              </w:rPr>
            </w:pPr>
            <w:r>
              <w:rPr>
                <w:rFonts w:hint="eastAsia"/>
                <w:color w:val="auto"/>
                <w:lang w:val="en-US" w:eastAsia="zh-CN"/>
              </w:rPr>
              <w:t>1</w:t>
            </w:r>
          </w:p>
        </w:tc>
        <w:tc>
          <w:tcPr>
            <w:tcW w:w="1084" w:type="dxa"/>
            <w:tcBorders>
              <w:tl2br w:val="nil"/>
              <w:tr2bl w:val="nil"/>
            </w:tcBorders>
            <w:noWrap/>
            <w:vAlign w:val="center"/>
          </w:tcPr>
          <w:p>
            <w:pPr>
              <w:pStyle w:val="22"/>
              <w:bidi w:val="0"/>
              <w:rPr>
                <w:rFonts w:hint="eastAsia"/>
                <w:color w:val="auto"/>
              </w:rPr>
            </w:pPr>
            <w:r>
              <w:rPr>
                <w:rFonts w:hint="eastAsia"/>
                <w:color w:val="auto"/>
                <w:lang w:val="en-US" w:eastAsia="zh-CN"/>
              </w:rPr>
              <w:t>草兔</w:t>
            </w:r>
          </w:p>
        </w:tc>
        <w:tc>
          <w:tcPr>
            <w:tcW w:w="1865" w:type="dxa"/>
            <w:tcBorders>
              <w:tl2br w:val="nil"/>
              <w:tr2bl w:val="nil"/>
            </w:tcBorders>
            <w:noWrap/>
            <w:vAlign w:val="center"/>
          </w:tcPr>
          <w:p>
            <w:pPr>
              <w:pStyle w:val="22"/>
              <w:bidi w:val="0"/>
              <w:rPr>
                <w:rFonts w:hint="eastAsia"/>
                <w:i/>
                <w:iCs/>
                <w:color w:val="auto"/>
              </w:rPr>
            </w:pPr>
            <w:r>
              <w:rPr>
                <w:rFonts w:hint="eastAsia"/>
                <w:i/>
                <w:iCs/>
                <w:color w:val="auto"/>
                <w:lang w:val="en-US" w:eastAsia="zh-CN"/>
              </w:rPr>
              <w:t>Lepuscapensis</w:t>
            </w:r>
          </w:p>
        </w:tc>
        <w:tc>
          <w:tcPr>
            <w:tcW w:w="913" w:type="dxa"/>
            <w:tcBorders>
              <w:tl2br w:val="nil"/>
              <w:tr2bl w:val="nil"/>
            </w:tcBorders>
            <w:noWrap/>
            <w:vAlign w:val="center"/>
          </w:tcPr>
          <w:p>
            <w:pPr>
              <w:pStyle w:val="22"/>
              <w:bidi w:val="0"/>
              <w:rPr>
                <w:rFonts w:hint="eastAsia"/>
                <w:color w:val="auto"/>
                <w:lang w:eastAsia="zh-CN"/>
              </w:rPr>
            </w:pPr>
            <w:r>
              <w:rPr>
                <w:rFonts w:hint="eastAsia"/>
                <w:color w:val="auto"/>
                <w:lang w:eastAsia="zh-CN"/>
              </w:rPr>
              <w:t>兔科</w:t>
            </w:r>
          </w:p>
        </w:tc>
        <w:tc>
          <w:tcPr>
            <w:tcW w:w="3573" w:type="dxa"/>
            <w:tcBorders>
              <w:tl2br w:val="nil"/>
              <w:tr2bl w:val="nil"/>
            </w:tcBorders>
            <w:noWrap/>
            <w:vAlign w:val="center"/>
          </w:tcPr>
          <w:p>
            <w:pPr>
              <w:pStyle w:val="22"/>
              <w:bidi w:val="0"/>
              <w:rPr>
                <w:rFonts w:hint="eastAsia"/>
                <w:color w:val="auto"/>
                <w:lang w:eastAsia="zh-CN"/>
              </w:rPr>
            </w:pPr>
            <w:r>
              <w:rPr>
                <w:rFonts w:hint="eastAsia"/>
                <w:color w:val="auto"/>
                <w:lang w:eastAsia="zh-CN"/>
              </w:rPr>
              <w:t>适应力强，分布广泛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994" w:type="dxa"/>
            <w:tcBorders>
              <w:tl2br w:val="nil"/>
              <w:tr2bl w:val="nil"/>
            </w:tcBorders>
            <w:noWrap/>
            <w:vAlign w:val="center"/>
          </w:tcPr>
          <w:p>
            <w:pPr>
              <w:pStyle w:val="22"/>
              <w:bidi w:val="0"/>
              <w:rPr>
                <w:rFonts w:hint="eastAsia"/>
                <w:color w:val="auto"/>
                <w:lang w:val="en-US" w:eastAsia="zh-CN"/>
              </w:rPr>
            </w:pPr>
            <w:r>
              <w:rPr>
                <w:rFonts w:hint="eastAsia"/>
                <w:color w:val="auto"/>
                <w:lang w:val="en-US" w:eastAsia="zh-CN"/>
              </w:rPr>
              <w:t>2</w:t>
            </w:r>
          </w:p>
        </w:tc>
        <w:tc>
          <w:tcPr>
            <w:tcW w:w="1084" w:type="dxa"/>
            <w:tcBorders>
              <w:tl2br w:val="nil"/>
              <w:tr2bl w:val="nil"/>
            </w:tcBorders>
            <w:noWrap/>
            <w:vAlign w:val="center"/>
          </w:tcPr>
          <w:p>
            <w:pPr>
              <w:pStyle w:val="22"/>
              <w:bidi w:val="0"/>
              <w:rPr>
                <w:rFonts w:hint="eastAsia"/>
                <w:color w:val="auto"/>
              </w:rPr>
            </w:pPr>
            <w:r>
              <w:rPr>
                <w:rFonts w:hint="eastAsia"/>
                <w:color w:val="auto"/>
                <w:lang w:val="en-US" w:eastAsia="zh-CN"/>
              </w:rPr>
              <w:t>荒漠麻蜥</w:t>
            </w:r>
          </w:p>
        </w:tc>
        <w:tc>
          <w:tcPr>
            <w:tcW w:w="1865" w:type="dxa"/>
            <w:tcBorders>
              <w:tl2br w:val="nil"/>
              <w:tr2bl w:val="nil"/>
            </w:tcBorders>
            <w:noWrap/>
            <w:vAlign w:val="center"/>
          </w:tcPr>
          <w:p>
            <w:pPr>
              <w:pStyle w:val="22"/>
              <w:bidi w:val="0"/>
              <w:rPr>
                <w:rFonts w:hint="eastAsia"/>
                <w:i/>
                <w:iCs/>
                <w:color w:val="auto"/>
              </w:rPr>
            </w:pPr>
            <w:r>
              <w:rPr>
                <w:rFonts w:hint="eastAsia"/>
                <w:i/>
                <w:iCs/>
                <w:color w:val="auto"/>
                <w:lang w:val="en-US" w:eastAsia="zh-CN"/>
              </w:rPr>
              <w:t>Eremiasprzewalski</w:t>
            </w:r>
          </w:p>
        </w:tc>
        <w:tc>
          <w:tcPr>
            <w:tcW w:w="913" w:type="dxa"/>
            <w:tcBorders>
              <w:tl2br w:val="nil"/>
              <w:tr2bl w:val="nil"/>
            </w:tcBorders>
            <w:noWrap/>
            <w:vAlign w:val="center"/>
          </w:tcPr>
          <w:p>
            <w:pPr>
              <w:pStyle w:val="22"/>
              <w:bidi w:val="0"/>
              <w:rPr>
                <w:rFonts w:hint="eastAsia"/>
                <w:color w:val="auto"/>
                <w:lang w:eastAsia="zh-CN"/>
              </w:rPr>
            </w:pPr>
            <w:r>
              <w:rPr>
                <w:rFonts w:hint="eastAsia"/>
                <w:color w:val="auto"/>
                <w:lang w:eastAsia="zh-CN"/>
              </w:rPr>
              <w:t>蜥蜴科</w:t>
            </w:r>
          </w:p>
        </w:tc>
        <w:tc>
          <w:tcPr>
            <w:tcW w:w="3573" w:type="dxa"/>
            <w:tcBorders>
              <w:tl2br w:val="nil"/>
              <w:tr2bl w:val="nil"/>
            </w:tcBorders>
            <w:noWrap/>
            <w:vAlign w:val="center"/>
          </w:tcPr>
          <w:p>
            <w:pPr>
              <w:pStyle w:val="22"/>
              <w:bidi w:val="0"/>
              <w:rPr>
                <w:rFonts w:hint="eastAsia"/>
                <w:color w:val="auto"/>
                <w:lang w:eastAsia="zh-CN"/>
              </w:rPr>
            </w:pPr>
            <w:r>
              <w:rPr>
                <w:rFonts w:hint="eastAsia"/>
                <w:color w:val="auto"/>
                <w:lang w:eastAsia="zh-CN"/>
              </w:rPr>
              <w:t>体粗壮，体背为黄褐色，有蓝黑色虫纹斑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994" w:type="dxa"/>
            <w:tcBorders>
              <w:tl2br w:val="nil"/>
              <w:tr2bl w:val="nil"/>
            </w:tcBorders>
            <w:noWrap/>
            <w:vAlign w:val="center"/>
          </w:tcPr>
          <w:p>
            <w:pPr>
              <w:pStyle w:val="22"/>
              <w:bidi w:val="0"/>
              <w:rPr>
                <w:rFonts w:hint="eastAsia"/>
                <w:color w:val="auto"/>
                <w:lang w:val="en-US" w:eastAsia="zh-CN"/>
              </w:rPr>
            </w:pPr>
            <w:r>
              <w:rPr>
                <w:rFonts w:hint="eastAsia"/>
                <w:color w:val="auto"/>
                <w:lang w:val="en-US" w:eastAsia="zh-CN"/>
              </w:rPr>
              <w:t>3</w:t>
            </w:r>
          </w:p>
        </w:tc>
        <w:tc>
          <w:tcPr>
            <w:tcW w:w="1084" w:type="dxa"/>
            <w:tcBorders>
              <w:tl2br w:val="nil"/>
              <w:tr2bl w:val="nil"/>
            </w:tcBorders>
            <w:noWrap/>
            <w:vAlign w:val="center"/>
          </w:tcPr>
          <w:p>
            <w:pPr>
              <w:pStyle w:val="22"/>
              <w:bidi w:val="0"/>
              <w:rPr>
                <w:rFonts w:hint="eastAsia"/>
                <w:color w:val="auto"/>
              </w:rPr>
            </w:pPr>
            <w:r>
              <w:rPr>
                <w:rFonts w:hint="eastAsia"/>
                <w:color w:val="auto"/>
                <w:lang w:val="en-US" w:eastAsia="zh-CN"/>
              </w:rPr>
              <w:t>麻雀</w:t>
            </w:r>
          </w:p>
        </w:tc>
        <w:tc>
          <w:tcPr>
            <w:tcW w:w="1865" w:type="dxa"/>
            <w:tcBorders>
              <w:tl2br w:val="nil"/>
              <w:tr2bl w:val="nil"/>
            </w:tcBorders>
            <w:noWrap/>
            <w:vAlign w:val="center"/>
          </w:tcPr>
          <w:p>
            <w:pPr>
              <w:pStyle w:val="22"/>
              <w:bidi w:val="0"/>
              <w:rPr>
                <w:rFonts w:hint="eastAsia"/>
                <w:i/>
                <w:iCs/>
                <w:color w:val="auto"/>
              </w:rPr>
            </w:pPr>
            <w:r>
              <w:rPr>
                <w:rFonts w:hint="eastAsia"/>
                <w:i/>
                <w:iCs/>
                <w:color w:val="auto"/>
              </w:rPr>
              <w:t>Passermontanus</w:t>
            </w:r>
          </w:p>
        </w:tc>
        <w:tc>
          <w:tcPr>
            <w:tcW w:w="913" w:type="dxa"/>
            <w:tcBorders>
              <w:tl2br w:val="nil"/>
              <w:tr2bl w:val="nil"/>
            </w:tcBorders>
            <w:noWrap/>
            <w:vAlign w:val="center"/>
          </w:tcPr>
          <w:p>
            <w:pPr>
              <w:pStyle w:val="22"/>
              <w:bidi w:val="0"/>
              <w:rPr>
                <w:rFonts w:hint="eastAsia"/>
                <w:color w:val="auto"/>
                <w:lang w:val="en-US" w:eastAsia="zh-CN"/>
              </w:rPr>
            </w:pPr>
            <w:r>
              <w:rPr>
                <w:rFonts w:hint="eastAsia"/>
                <w:color w:val="auto"/>
                <w:lang w:val="en-US" w:eastAsia="zh-CN"/>
              </w:rPr>
              <w:t>雀科</w:t>
            </w:r>
          </w:p>
        </w:tc>
        <w:tc>
          <w:tcPr>
            <w:tcW w:w="3573" w:type="dxa"/>
            <w:tcBorders>
              <w:tl2br w:val="nil"/>
              <w:tr2bl w:val="nil"/>
            </w:tcBorders>
            <w:noWrap/>
            <w:vAlign w:val="center"/>
          </w:tcPr>
          <w:p>
            <w:pPr>
              <w:pStyle w:val="22"/>
              <w:bidi w:val="0"/>
              <w:rPr>
                <w:rFonts w:hint="eastAsia"/>
                <w:color w:val="auto"/>
              </w:rPr>
            </w:pPr>
            <w:r>
              <w:rPr>
                <w:rFonts w:hint="eastAsia"/>
                <w:color w:val="auto"/>
                <w:lang w:eastAsia="zh-CN"/>
              </w:rPr>
              <w:t>适应力强，分布相当广泛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994" w:type="dxa"/>
            <w:tcBorders>
              <w:tl2br w:val="nil"/>
              <w:tr2bl w:val="nil"/>
            </w:tcBorders>
            <w:noWrap/>
            <w:vAlign w:val="center"/>
          </w:tcPr>
          <w:p>
            <w:pPr>
              <w:pStyle w:val="22"/>
              <w:bidi w:val="0"/>
              <w:rPr>
                <w:rFonts w:hint="eastAsia"/>
                <w:color w:val="auto"/>
                <w:lang w:val="en-US" w:eastAsia="zh-CN"/>
              </w:rPr>
            </w:pPr>
            <w:r>
              <w:rPr>
                <w:rFonts w:hint="eastAsia"/>
                <w:color w:val="auto"/>
                <w:lang w:val="en-US" w:eastAsia="zh-CN"/>
              </w:rPr>
              <w:t>4</w:t>
            </w:r>
          </w:p>
        </w:tc>
        <w:tc>
          <w:tcPr>
            <w:tcW w:w="1084" w:type="dxa"/>
            <w:tcBorders>
              <w:tl2br w:val="nil"/>
              <w:tr2bl w:val="nil"/>
            </w:tcBorders>
            <w:noWrap/>
            <w:vAlign w:val="center"/>
          </w:tcPr>
          <w:p>
            <w:pPr>
              <w:pStyle w:val="22"/>
              <w:bidi w:val="0"/>
              <w:rPr>
                <w:rFonts w:hint="eastAsia"/>
                <w:color w:val="auto"/>
              </w:rPr>
            </w:pPr>
            <w:r>
              <w:rPr>
                <w:rFonts w:hint="eastAsia"/>
                <w:color w:val="auto"/>
                <w:lang w:val="en-US" w:eastAsia="zh-CN"/>
              </w:rPr>
              <w:t>田鼠</w:t>
            </w:r>
          </w:p>
        </w:tc>
        <w:tc>
          <w:tcPr>
            <w:tcW w:w="1865" w:type="dxa"/>
            <w:tcBorders>
              <w:tl2br w:val="nil"/>
              <w:tr2bl w:val="nil"/>
            </w:tcBorders>
            <w:noWrap/>
            <w:vAlign w:val="center"/>
          </w:tcPr>
          <w:p>
            <w:pPr>
              <w:pStyle w:val="22"/>
              <w:bidi w:val="0"/>
              <w:rPr>
                <w:rFonts w:hint="eastAsia"/>
                <w:i/>
                <w:iCs/>
                <w:color w:val="auto"/>
              </w:rPr>
            </w:pPr>
            <w:r>
              <w:rPr>
                <w:rFonts w:hint="eastAsia"/>
                <w:i/>
                <w:iCs/>
                <w:color w:val="auto"/>
              </w:rPr>
              <w:t>Microtinae</w:t>
            </w:r>
          </w:p>
        </w:tc>
        <w:tc>
          <w:tcPr>
            <w:tcW w:w="913" w:type="dxa"/>
            <w:tcBorders>
              <w:tl2br w:val="nil"/>
              <w:tr2bl w:val="nil"/>
            </w:tcBorders>
            <w:noWrap/>
            <w:vAlign w:val="center"/>
          </w:tcPr>
          <w:p>
            <w:pPr>
              <w:pStyle w:val="22"/>
              <w:bidi w:val="0"/>
              <w:rPr>
                <w:rFonts w:hint="eastAsia"/>
                <w:color w:val="auto"/>
                <w:lang w:eastAsia="zh-CN"/>
              </w:rPr>
            </w:pPr>
            <w:r>
              <w:rPr>
                <w:rFonts w:hint="eastAsia"/>
                <w:color w:val="auto"/>
                <w:lang w:eastAsia="zh-CN"/>
              </w:rPr>
              <w:t>仓鼠科</w:t>
            </w:r>
          </w:p>
        </w:tc>
        <w:tc>
          <w:tcPr>
            <w:tcW w:w="3573" w:type="dxa"/>
            <w:tcBorders>
              <w:tl2br w:val="nil"/>
              <w:tr2bl w:val="nil"/>
            </w:tcBorders>
            <w:noWrap/>
            <w:vAlign w:val="center"/>
          </w:tcPr>
          <w:p>
            <w:pPr>
              <w:pStyle w:val="22"/>
              <w:bidi w:val="0"/>
              <w:rPr>
                <w:rFonts w:hint="eastAsia"/>
                <w:color w:val="auto"/>
              </w:rPr>
            </w:pPr>
            <w:r>
              <w:rPr>
                <w:rFonts w:hint="eastAsia"/>
                <w:color w:val="auto"/>
                <w:lang w:eastAsia="zh-CN"/>
              </w:rPr>
              <w:t>适应力强，分布相当广泛</w:t>
            </w:r>
          </w:p>
        </w:tc>
      </w:tr>
    </w:tbl>
    <w:p>
      <w:pPr>
        <w:bidi w:val="0"/>
        <w:rPr>
          <w:color w:val="auto"/>
        </w:rPr>
      </w:pPr>
      <w:r>
        <w:rPr>
          <w:rFonts w:hint="eastAsia"/>
          <w:color w:val="auto"/>
        </w:rPr>
        <w:t>项目所在区域附近动物种类较为简单，无大型野生动物活动</w:t>
      </w:r>
      <w:r>
        <w:rPr>
          <w:rFonts w:hint="eastAsia"/>
          <w:color w:val="auto"/>
          <w:lang w:eastAsia="zh-CN"/>
        </w:rPr>
        <w:t>，</w:t>
      </w:r>
      <w:r>
        <w:rPr>
          <w:rFonts w:hint="eastAsia"/>
          <w:color w:val="auto"/>
        </w:rPr>
        <w:t>无国家及自治区级重要野生保护动物，无国家及自治区保护的珍稀、濒危物种分布。</w:t>
      </w:r>
      <w:r>
        <w:rPr>
          <w:color w:val="auto"/>
        </w:rPr>
        <w:t>总的来看，评价区动物种类并不丰富，动物多样性水平不高。</w:t>
      </w:r>
    </w:p>
    <w:p>
      <w:pPr>
        <w:rPr>
          <w:color w:val="auto"/>
        </w:rPr>
      </w:pPr>
      <w:r>
        <w:rPr>
          <w:color w:val="auto"/>
        </w:rPr>
        <w:br w:type="page"/>
      </w:r>
    </w:p>
    <w:p>
      <w:pPr>
        <w:pStyle w:val="4"/>
        <w:bidi w:val="0"/>
        <w:rPr>
          <w:color w:val="auto"/>
        </w:rPr>
      </w:pPr>
      <w:bookmarkStart w:id="90" w:name="_Toc24319"/>
      <w:r>
        <w:rPr>
          <w:color w:val="auto"/>
        </w:rPr>
        <w:t>5环境影响预测与评价</w:t>
      </w:r>
      <w:bookmarkEnd w:id="90"/>
    </w:p>
    <w:p>
      <w:pPr>
        <w:pStyle w:val="5"/>
        <w:bidi w:val="0"/>
        <w:rPr>
          <w:color w:val="auto"/>
        </w:rPr>
      </w:pPr>
      <w:bookmarkStart w:id="91" w:name="_Toc9648"/>
      <w:r>
        <w:rPr>
          <w:color w:val="auto"/>
        </w:rPr>
        <w:t>5.1施工期影响分析</w:t>
      </w:r>
      <w:bookmarkEnd w:id="91"/>
    </w:p>
    <w:p>
      <w:pPr>
        <w:bidi w:val="0"/>
        <w:rPr>
          <w:color w:val="auto"/>
        </w:rPr>
      </w:pPr>
      <w:r>
        <w:rPr>
          <w:rFonts w:hint="eastAsia"/>
          <w:color w:val="auto"/>
          <w:lang w:val="en-US" w:eastAsia="zh-CN"/>
        </w:rPr>
        <w:t>由于本项目现已施工完毕，故施工期环境影响分析以回顾性评价为主。本项目施工期经现场调查无环保遗留问题。</w:t>
      </w:r>
    </w:p>
    <w:p>
      <w:pPr>
        <w:pStyle w:val="6"/>
        <w:bidi w:val="0"/>
        <w:rPr>
          <w:color w:val="auto"/>
        </w:rPr>
      </w:pPr>
      <w:bookmarkStart w:id="92" w:name="_Toc11540"/>
      <w:r>
        <w:rPr>
          <w:color w:val="auto"/>
        </w:rPr>
        <w:t>5.1.1施工大气影响分析</w:t>
      </w:r>
      <w:bookmarkEnd w:id="92"/>
    </w:p>
    <w:p>
      <w:pPr>
        <w:bidi w:val="0"/>
        <w:rPr>
          <w:rFonts w:hint="eastAsia"/>
          <w:color w:val="auto"/>
          <w:lang w:val="en-US" w:eastAsia="zh-CN"/>
        </w:rPr>
      </w:pPr>
      <w:r>
        <w:rPr>
          <w:rFonts w:hint="eastAsia"/>
          <w:color w:val="auto"/>
          <w:lang w:val="en-US" w:eastAsia="zh-CN"/>
        </w:rPr>
        <w:t>工程施工对环境空气质量的影响主要为土方开挖和填筑、建筑材料运输等产生的粉尘与扬尘，以及施工机械和运输车辆燃油排放的废气等，其主要污染物为悬浮颗粒物。但是施工区域地形开阔，大气污染物扩散条件良好，因此施工产生的粉尘及扬尘对区域环境空气质量产生的影响不大，不会改变沿线区域的环境空气质量。</w:t>
      </w:r>
    </w:p>
    <w:p>
      <w:pPr>
        <w:bidi w:val="0"/>
        <w:rPr>
          <w:rFonts w:hint="default"/>
          <w:color w:val="auto"/>
          <w:lang w:val="zh-CN" w:eastAsia="zh-CN"/>
        </w:rPr>
      </w:pPr>
      <w:r>
        <w:rPr>
          <w:rFonts w:hint="default"/>
          <w:color w:val="auto"/>
          <w:lang w:val="zh-CN" w:eastAsia="zh-CN"/>
        </w:rPr>
        <w:t>①土方开挖、回填扬尘</w:t>
      </w:r>
    </w:p>
    <w:p>
      <w:pPr>
        <w:bidi w:val="0"/>
        <w:rPr>
          <w:rFonts w:hint="default"/>
          <w:color w:val="auto"/>
          <w:lang w:val="zh-CN" w:eastAsia="zh-CN"/>
        </w:rPr>
      </w:pPr>
      <w:r>
        <w:rPr>
          <w:rFonts w:hint="eastAsia"/>
          <w:color w:val="auto"/>
          <w:lang w:val="en-US" w:eastAsia="zh-CN"/>
        </w:rPr>
        <w:t>通过调查，施工时已</w:t>
      </w:r>
      <w:r>
        <w:rPr>
          <w:rFonts w:hint="default"/>
          <w:color w:val="auto"/>
          <w:lang w:val="zh-CN" w:eastAsia="zh-CN"/>
        </w:rPr>
        <w:t>设置清洁有效的施工围挡</w:t>
      </w:r>
      <w:r>
        <w:rPr>
          <w:rFonts w:hint="eastAsia"/>
          <w:color w:val="auto"/>
          <w:lang w:val="zh-CN" w:eastAsia="zh-CN"/>
        </w:rPr>
        <w:t>、</w:t>
      </w:r>
      <w:r>
        <w:rPr>
          <w:rFonts w:hint="eastAsia"/>
          <w:color w:val="auto"/>
          <w:lang w:val="en-US" w:eastAsia="zh-CN"/>
        </w:rPr>
        <w:t>防尘网苫盖</w:t>
      </w:r>
      <w:r>
        <w:rPr>
          <w:rFonts w:hint="default"/>
          <w:color w:val="auto"/>
          <w:lang w:val="zh-CN" w:eastAsia="zh-CN"/>
        </w:rPr>
        <w:t>，同时对施工现场定时洒水抑尘。采取以上措施后，施工扬尘对周围环境空气质量影响较小。</w:t>
      </w:r>
    </w:p>
    <w:p>
      <w:pPr>
        <w:bidi w:val="0"/>
        <w:rPr>
          <w:rFonts w:hint="default"/>
          <w:color w:val="auto"/>
          <w:lang w:val="en-US" w:eastAsia="zh-CN"/>
        </w:rPr>
      </w:pPr>
      <w:r>
        <w:rPr>
          <w:rFonts w:hint="default"/>
          <w:color w:val="auto"/>
          <w:lang w:val="en-US" w:eastAsia="zh-CN"/>
        </w:rPr>
        <w:t>②堆场扬尘</w:t>
      </w:r>
    </w:p>
    <w:p>
      <w:pPr>
        <w:bidi w:val="0"/>
        <w:rPr>
          <w:rFonts w:hint="default"/>
          <w:color w:val="auto"/>
          <w:lang w:val="en-US" w:eastAsia="zh-CN"/>
        </w:rPr>
      </w:pPr>
      <w:r>
        <w:rPr>
          <w:rFonts w:hint="default"/>
          <w:color w:val="auto"/>
          <w:lang w:val="en-US" w:eastAsia="zh-CN"/>
        </w:rPr>
        <w:t>本项目建筑材料及土方开挖等物料暂存于工程区范围内，砂石粉料、土方及裸露的地表</w:t>
      </w:r>
      <w:r>
        <w:rPr>
          <w:rFonts w:hint="eastAsia"/>
          <w:color w:val="auto"/>
          <w:lang w:val="en-US" w:eastAsia="zh-CN"/>
        </w:rPr>
        <w:t>在</w:t>
      </w:r>
      <w:r>
        <w:rPr>
          <w:rFonts w:hint="default"/>
          <w:color w:val="auto"/>
          <w:lang w:val="en-US" w:eastAsia="zh-CN"/>
        </w:rPr>
        <w:t>气候干燥且有风的情况下，会产生大量的扬尘</w:t>
      </w:r>
      <w:r>
        <w:rPr>
          <w:rFonts w:hint="eastAsia"/>
          <w:color w:val="auto"/>
          <w:lang w:val="en-US" w:eastAsia="zh-CN"/>
        </w:rPr>
        <w:t>，</w:t>
      </w:r>
      <w:r>
        <w:rPr>
          <w:rFonts w:hint="default"/>
          <w:color w:val="auto"/>
          <w:lang w:val="en-US" w:eastAsia="zh-CN"/>
        </w:rPr>
        <w:t>施工期</w:t>
      </w:r>
      <w:r>
        <w:rPr>
          <w:rFonts w:hint="eastAsia"/>
          <w:color w:val="auto"/>
          <w:lang w:val="en-US" w:eastAsia="zh-CN"/>
        </w:rPr>
        <w:t>间</w:t>
      </w:r>
      <w:r>
        <w:rPr>
          <w:rFonts w:hint="default"/>
          <w:color w:val="auto"/>
          <w:lang w:val="en-US" w:eastAsia="zh-CN"/>
        </w:rPr>
        <w:t>对堆存物料采用</w:t>
      </w:r>
      <w:r>
        <w:rPr>
          <w:rFonts w:hint="eastAsia"/>
          <w:color w:val="auto"/>
          <w:lang w:val="en-US" w:eastAsia="zh-CN"/>
        </w:rPr>
        <w:t>防尘网苫盖并</w:t>
      </w:r>
      <w:r>
        <w:rPr>
          <w:rFonts w:hint="default"/>
          <w:color w:val="auto"/>
          <w:lang w:val="en-US" w:eastAsia="zh-CN"/>
        </w:rPr>
        <w:t>对易产尘物料定时洒水</w:t>
      </w:r>
      <w:r>
        <w:rPr>
          <w:rFonts w:hint="eastAsia"/>
          <w:color w:val="auto"/>
          <w:lang w:val="en-US" w:eastAsia="zh-CN"/>
        </w:rPr>
        <w:t>等措施</w:t>
      </w:r>
      <w:r>
        <w:rPr>
          <w:rFonts w:hint="default"/>
          <w:color w:val="auto"/>
          <w:lang w:val="en-US" w:eastAsia="zh-CN"/>
        </w:rPr>
        <w:t>。</w:t>
      </w:r>
    </w:p>
    <w:p>
      <w:pPr>
        <w:bidi w:val="0"/>
        <w:rPr>
          <w:rFonts w:hint="default"/>
          <w:color w:val="auto"/>
          <w:lang w:val="en-US" w:eastAsia="zh-CN"/>
        </w:rPr>
      </w:pPr>
      <w:r>
        <w:rPr>
          <w:rFonts w:hint="eastAsia"/>
          <w:color w:val="auto"/>
          <w:lang w:val="en-US" w:eastAsia="zh-CN"/>
        </w:rPr>
        <w:t>③</w:t>
      </w:r>
      <w:r>
        <w:rPr>
          <w:rFonts w:hint="default"/>
          <w:color w:val="auto"/>
          <w:lang w:val="en-US" w:eastAsia="zh-CN"/>
        </w:rPr>
        <w:t>车辆运输扬尘</w:t>
      </w:r>
    </w:p>
    <w:p>
      <w:pPr>
        <w:bidi w:val="0"/>
        <w:rPr>
          <w:rFonts w:hint="default"/>
          <w:color w:val="auto"/>
          <w:lang w:val="en-US" w:eastAsia="zh-CN"/>
        </w:rPr>
      </w:pPr>
      <w:r>
        <w:rPr>
          <w:rFonts w:hint="eastAsia"/>
          <w:color w:val="auto"/>
          <w:lang w:val="en-US" w:eastAsia="zh-CN"/>
        </w:rPr>
        <w:t>通过调查，</w:t>
      </w:r>
      <w:r>
        <w:rPr>
          <w:rFonts w:hint="default"/>
          <w:color w:val="auto"/>
          <w:lang w:val="en-US" w:eastAsia="zh-CN"/>
        </w:rPr>
        <w:t>在施工过程中</w:t>
      </w:r>
      <w:r>
        <w:rPr>
          <w:rFonts w:hint="eastAsia"/>
          <w:color w:val="auto"/>
          <w:lang w:val="en-US" w:eastAsia="zh-CN"/>
        </w:rPr>
        <w:t>已采取</w:t>
      </w:r>
      <w:r>
        <w:rPr>
          <w:rFonts w:hint="default"/>
          <w:color w:val="auto"/>
          <w:lang w:val="en-US" w:eastAsia="zh-CN"/>
        </w:rPr>
        <w:t>限制车辆行驶速度及路面洒水</w:t>
      </w:r>
      <w:r>
        <w:rPr>
          <w:rFonts w:hint="eastAsia"/>
          <w:color w:val="auto"/>
          <w:lang w:val="en-US" w:eastAsia="zh-CN"/>
        </w:rPr>
        <w:t>降尘等措施</w:t>
      </w:r>
      <w:r>
        <w:rPr>
          <w:rFonts w:hint="default"/>
          <w:color w:val="auto"/>
          <w:lang w:val="en-US" w:eastAsia="zh-CN"/>
        </w:rPr>
        <w:t>。</w:t>
      </w:r>
    </w:p>
    <w:p>
      <w:pPr>
        <w:bidi w:val="0"/>
        <w:rPr>
          <w:rFonts w:hint="default"/>
          <w:color w:val="auto"/>
          <w:lang w:val="en-US" w:eastAsia="zh-CN"/>
        </w:rPr>
      </w:pPr>
      <w:r>
        <w:rPr>
          <w:rFonts w:hint="eastAsia"/>
          <w:color w:val="auto"/>
          <w:lang w:val="en-US" w:eastAsia="zh-CN"/>
        </w:rPr>
        <w:t>④</w:t>
      </w:r>
      <w:r>
        <w:rPr>
          <w:rFonts w:hint="default"/>
          <w:color w:val="auto"/>
          <w:lang w:val="en-US" w:eastAsia="zh-CN"/>
        </w:rPr>
        <w:t>燃油机械废气及车辆尾气</w:t>
      </w:r>
    </w:p>
    <w:p>
      <w:pPr>
        <w:bidi w:val="0"/>
        <w:rPr>
          <w:rFonts w:hint="default"/>
          <w:color w:val="auto"/>
          <w:lang w:val="en-US" w:eastAsia="zh-CN"/>
        </w:rPr>
      </w:pPr>
      <w:r>
        <w:rPr>
          <w:rFonts w:hint="default"/>
          <w:color w:val="auto"/>
          <w:lang w:val="en-US" w:eastAsia="zh-CN"/>
        </w:rPr>
        <w:t>工程施工期间燃油废气主要是施工机械、运输车辆排放废气以及柴油发电机发电产生的燃油废气，产生的污染物主要为SO</w:t>
      </w:r>
      <w:r>
        <w:rPr>
          <w:rFonts w:hint="default"/>
          <w:color w:val="auto"/>
          <w:vertAlign w:val="subscript"/>
          <w:lang w:val="en-US" w:eastAsia="zh-CN"/>
        </w:rPr>
        <w:t>2</w:t>
      </w:r>
      <w:r>
        <w:rPr>
          <w:rFonts w:hint="default"/>
          <w:color w:val="auto"/>
          <w:lang w:val="en-US" w:eastAsia="zh-CN"/>
        </w:rPr>
        <w:t>、NOx、CO、TSP。</w:t>
      </w:r>
    </w:p>
    <w:p>
      <w:pPr>
        <w:bidi w:val="0"/>
        <w:rPr>
          <w:rFonts w:hint="default"/>
          <w:color w:val="auto"/>
          <w:lang w:val="en-US" w:eastAsia="zh-CN"/>
        </w:rPr>
      </w:pPr>
      <w:r>
        <w:rPr>
          <w:rFonts w:hint="default"/>
          <w:color w:val="auto"/>
          <w:lang w:val="en-US" w:eastAsia="zh-CN"/>
        </w:rPr>
        <w:t>根据现场调查，工程施工期间使用机械主要为自卸汽车、挖掘机、推土机、载重汽车等，其中运输车辆主要集中于施工道路沿线，其他施工机械主要布置于各施工场地。</w:t>
      </w:r>
    </w:p>
    <w:p>
      <w:pPr>
        <w:bidi w:val="0"/>
        <w:rPr>
          <w:rFonts w:hint="default"/>
          <w:color w:val="auto"/>
          <w:lang w:val="en-US" w:eastAsia="zh-CN"/>
        </w:rPr>
      </w:pPr>
      <w:r>
        <w:rPr>
          <w:rFonts w:hint="default"/>
          <w:color w:val="auto"/>
          <w:lang w:val="en-US" w:eastAsia="zh-CN"/>
        </w:rPr>
        <w:t>由于本工程总体呈线性，施工线长，施工场地较小且布置分散，施工期油料使用量较少，燃油废气污染强度不大，且SO</w:t>
      </w:r>
      <w:r>
        <w:rPr>
          <w:rFonts w:hint="default"/>
          <w:color w:val="auto"/>
          <w:vertAlign w:val="subscript"/>
          <w:lang w:val="en-US" w:eastAsia="zh-CN"/>
        </w:rPr>
        <w:t>2</w:t>
      </w:r>
      <w:r>
        <w:rPr>
          <w:rFonts w:hint="default"/>
          <w:color w:val="auto"/>
          <w:lang w:val="en-US" w:eastAsia="zh-CN"/>
        </w:rPr>
        <w:t>、NOx、CO、TSP等污染物多为流动的、扩散的、间歇性排放，因此燃油废气排放影响十分有限。</w:t>
      </w:r>
    </w:p>
    <w:p>
      <w:pPr>
        <w:bidi w:val="0"/>
        <w:rPr>
          <w:rFonts w:hint="default"/>
          <w:color w:val="auto"/>
          <w:lang w:val="en-US" w:eastAsia="zh-CN"/>
        </w:rPr>
      </w:pPr>
      <w:r>
        <w:rPr>
          <w:rFonts w:hint="default"/>
          <w:color w:val="auto"/>
          <w:lang w:val="en-US" w:eastAsia="zh-CN"/>
        </w:rPr>
        <w:t>因此，施工车辆和机械作业中燃油排放的废气，没有引起工程区域环境空气质量明显降低。</w:t>
      </w:r>
    </w:p>
    <w:p>
      <w:pPr>
        <w:pStyle w:val="6"/>
        <w:rPr>
          <w:rFonts w:hint="eastAsia"/>
          <w:color w:val="auto"/>
          <w:lang w:val="en-US" w:eastAsia="zh-CN"/>
        </w:rPr>
      </w:pPr>
      <w:bookmarkStart w:id="93" w:name="_Toc21041"/>
      <w:r>
        <w:rPr>
          <w:rFonts w:hint="eastAsia"/>
          <w:color w:val="auto"/>
          <w:lang w:val="en-US" w:eastAsia="zh-CN"/>
        </w:rPr>
        <w:t>5.1.2施工废水影响分析</w:t>
      </w:r>
      <w:bookmarkEnd w:id="93"/>
    </w:p>
    <w:p>
      <w:pPr>
        <w:bidi w:val="0"/>
        <w:rPr>
          <w:rFonts w:hint="eastAsia"/>
          <w:color w:val="auto"/>
        </w:rPr>
      </w:pPr>
      <w:r>
        <w:rPr>
          <w:rFonts w:hint="eastAsia"/>
          <w:color w:val="auto"/>
        </w:rPr>
        <w:t>施工期的水污染主要有施工废水、施工人员生活废水。</w:t>
      </w:r>
    </w:p>
    <w:p>
      <w:pPr>
        <w:bidi w:val="0"/>
        <w:rPr>
          <w:rFonts w:hint="eastAsia"/>
          <w:color w:val="auto"/>
        </w:rPr>
      </w:pPr>
      <w:r>
        <w:rPr>
          <w:rFonts w:hint="eastAsia"/>
          <w:color w:val="auto"/>
          <w:lang w:eastAsia="zh-CN"/>
        </w:rPr>
        <w:t>（</w:t>
      </w:r>
      <w:r>
        <w:rPr>
          <w:rFonts w:hint="eastAsia"/>
          <w:color w:val="auto"/>
          <w:lang w:val="en-US" w:eastAsia="zh-CN"/>
        </w:rPr>
        <w:t>1</w:t>
      </w:r>
      <w:r>
        <w:rPr>
          <w:rFonts w:hint="eastAsia"/>
          <w:color w:val="auto"/>
          <w:lang w:eastAsia="zh-CN"/>
        </w:rPr>
        <w:t>）</w:t>
      </w:r>
      <w:r>
        <w:rPr>
          <w:rFonts w:hint="eastAsia"/>
          <w:color w:val="auto"/>
        </w:rPr>
        <w:t>施工废水</w:t>
      </w:r>
    </w:p>
    <w:p>
      <w:pPr>
        <w:bidi w:val="0"/>
        <w:rPr>
          <w:color w:val="auto"/>
        </w:rPr>
      </w:pPr>
      <w:r>
        <w:rPr>
          <w:color w:val="auto"/>
        </w:rPr>
        <w:t>施工场地废水主要为砂石料冲洗水、混凝土拌合废水及车辆机械冲洗水等。</w:t>
      </w:r>
    </w:p>
    <w:p>
      <w:pPr>
        <w:bidi w:val="0"/>
        <w:rPr>
          <w:color w:val="auto"/>
        </w:rPr>
      </w:pPr>
      <w:r>
        <w:rPr>
          <w:color w:val="auto"/>
        </w:rPr>
        <w:t>本项目</w:t>
      </w:r>
      <w:r>
        <w:rPr>
          <w:rFonts w:hint="eastAsia"/>
          <w:color w:val="auto"/>
          <w:lang w:val="en-US" w:eastAsia="zh-CN"/>
        </w:rPr>
        <w:t>已</w:t>
      </w:r>
      <w:r>
        <w:rPr>
          <w:color w:val="auto"/>
        </w:rPr>
        <w:t>在施工场地内</w:t>
      </w:r>
      <w:r>
        <w:rPr>
          <w:rFonts w:hint="eastAsia"/>
          <w:color w:val="auto"/>
          <w:lang w:eastAsia="zh-CN"/>
        </w:rPr>
        <w:t>设置</w:t>
      </w:r>
      <w:r>
        <w:rPr>
          <w:color w:val="auto"/>
        </w:rPr>
        <w:t>隔油沉淀池，废水由沉淀池收集，经沉淀除渣等处理后回用做降尘用水，</w:t>
      </w:r>
      <w:r>
        <w:rPr>
          <w:rFonts w:hint="eastAsia"/>
          <w:color w:val="auto"/>
          <w:lang w:val="en-US" w:eastAsia="zh-CN"/>
        </w:rPr>
        <w:t>未对周边地表水环境造成影响</w:t>
      </w:r>
      <w:r>
        <w:rPr>
          <w:color w:val="auto"/>
        </w:rPr>
        <w:t>。</w:t>
      </w:r>
    </w:p>
    <w:p>
      <w:pPr>
        <w:bidi w:val="0"/>
        <w:rPr>
          <w:rFonts w:hint="eastAsia"/>
          <w:color w:val="auto"/>
          <w:lang w:val="en-US" w:eastAsia="zh-CN"/>
        </w:rPr>
      </w:pPr>
      <w:r>
        <w:rPr>
          <w:rFonts w:hint="eastAsia"/>
          <w:color w:val="auto"/>
          <w:lang w:val="en-US" w:eastAsia="zh-CN"/>
        </w:rPr>
        <w:t>（2）生活污水</w:t>
      </w:r>
    </w:p>
    <w:p>
      <w:pPr>
        <w:rPr>
          <w:color w:val="auto"/>
        </w:rPr>
      </w:pPr>
      <w:r>
        <w:rPr>
          <w:rFonts w:hint="default"/>
          <w:color w:val="auto"/>
          <w:lang w:val="en-US" w:eastAsia="zh-CN"/>
        </w:rPr>
        <w:t>本项目</w:t>
      </w:r>
      <w:r>
        <w:rPr>
          <w:rFonts w:hint="eastAsia"/>
          <w:color w:val="auto"/>
          <w:lang w:val="en-US" w:eastAsia="zh-CN"/>
        </w:rPr>
        <w:t>设置一处临时生产生活区</w:t>
      </w:r>
      <w:r>
        <w:rPr>
          <w:rFonts w:hint="default"/>
          <w:color w:val="auto"/>
          <w:lang w:val="en-US" w:eastAsia="zh-CN"/>
        </w:rPr>
        <w:t>，</w:t>
      </w:r>
      <w:r>
        <w:rPr>
          <w:rFonts w:hint="eastAsia"/>
          <w:color w:val="auto"/>
          <w:lang w:val="en-US" w:eastAsia="zh-CN"/>
        </w:rPr>
        <w:t>施工方生活废水排入</w:t>
      </w:r>
      <w:r>
        <w:rPr>
          <w:rFonts w:ascii="宋体" w:hAnsi="宋体" w:eastAsia="宋体" w:cs="宋体"/>
          <w:color w:val="auto"/>
          <w:spacing w:val="-1"/>
          <w:sz w:val="24"/>
          <w:szCs w:val="24"/>
        </w:rPr>
        <w:t>市政下水管网，</w:t>
      </w:r>
      <w:r>
        <w:rPr>
          <w:rFonts w:hint="eastAsia"/>
          <w:color w:val="auto"/>
          <w:lang w:val="en-US" w:eastAsia="zh-CN"/>
        </w:rPr>
        <w:t>未对周边地表水环境造成影响</w:t>
      </w:r>
      <w:r>
        <w:rPr>
          <w:color w:val="auto"/>
        </w:rPr>
        <w:t>。</w:t>
      </w:r>
    </w:p>
    <w:p>
      <w:pPr>
        <w:pStyle w:val="6"/>
        <w:bidi w:val="0"/>
        <w:rPr>
          <w:rFonts w:hint="eastAsia"/>
          <w:color w:val="auto"/>
          <w:lang w:val="en-US" w:eastAsia="zh-CN"/>
        </w:rPr>
      </w:pPr>
      <w:bookmarkStart w:id="94" w:name="_Toc2030"/>
      <w:r>
        <w:rPr>
          <w:rFonts w:hint="eastAsia"/>
          <w:color w:val="auto"/>
          <w:lang w:val="en-US" w:eastAsia="zh-CN"/>
        </w:rPr>
        <w:t>5.1.3施工期噪声影响分析</w:t>
      </w:r>
      <w:bookmarkEnd w:id="94"/>
    </w:p>
    <w:p>
      <w:pPr>
        <w:bidi w:val="0"/>
        <w:rPr>
          <w:rFonts w:hint="default"/>
          <w:color w:val="auto"/>
        </w:rPr>
      </w:pPr>
      <w:r>
        <w:rPr>
          <w:rFonts w:hint="default"/>
          <w:color w:val="auto"/>
        </w:rPr>
        <w:t>施工期噪声来源于</w:t>
      </w:r>
      <w:r>
        <w:rPr>
          <w:rFonts w:hint="default"/>
          <w:color w:val="auto"/>
          <w:lang w:val="en-US" w:eastAsia="zh-CN"/>
        </w:rPr>
        <w:t>装载机</w:t>
      </w:r>
      <w:r>
        <w:rPr>
          <w:rFonts w:hint="default"/>
          <w:color w:val="auto"/>
        </w:rPr>
        <w:t>、</w:t>
      </w:r>
      <w:r>
        <w:rPr>
          <w:rFonts w:hint="default"/>
          <w:color w:val="auto"/>
          <w:lang w:val="en-US" w:eastAsia="zh-CN"/>
        </w:rPr>
        <w:t>挖掘机</w:t>
      </w:r>
      <w:r>
        <w:rPr>
          <w:rFonts w:hint="default"/>
          <w:color w:val="auto"/>
        </w:rPr>
        <w:t>、</w:t>
      </w:r>
      <w:r>
        <w:rPr>
          <w:rFonts w:hint="default"/>
          <w:color w:val="auto"/>
          <w:lang w:val="en-US" w:eastAsia="zh-CN"/>
        </w:rPr>
        <w:t>推土机</w:t>
      </w:r>
      <w:r>
        <w:rPr>
          <w:rFonts w:hint="default"/>
          <w:color w:val="auto"/>
        </w:rPr>
        <w:t>等</w:t>
      </w:r>
      <w:r>
        <w:rPr>
          <w:rFonts w:hint="eastAsia"/>
          <w:color w:val="auto"/>
          <w:lang w:val="en-US" w:eastAsia="zh-CN"/>
        </w:rPr>
        <w:t>施工机械噪声</w:t>
      </w:r>
      <w:r>
        <w:rPr>
          <w:rFonts w:hint="default"/>
          <w:color w:val="auto"/>
        </w:rPr>
        <w:t>，贯穿于整个施工过程，待施工结束后影响将消失。</w:t>
      </w:r>
    </w:p>
    <w:p>
      <w:pPr>
        <w:bidi w:val="0"/>
        <w:rPr>
          <w:rFonts w:hint="default"/>
          <w:color w:val="auto"/>
          <w:lang w:eastAsia="zh-CN"/>
        </w:rPr>
      </w:pPr>
      <w:r>
        <w:rPr>
          <w:rFonts w:hint="default"/>
          <w:color w:val="auto"/>
        </w:rPr>
        <w:t>现场踏勘表明，项目</w:t>
      </w:r>
      <w:r>
        <w:rPr>
          <w:rFonts w:hint="eastAsia"/>
          <w:color w:val="auto"/>
          <w:lang w:val="en-US" w:eastAsia="zh-CN"/>
        </w:rPr>
        <w:t>区</w:t>
      </w:r>
      <w:r>
        <w:rPr>
          <w:rFonts w:hint="default"/>
          <w:color w:val="auto"/>
          <w:lang w:eastAsia="zh-CN"/>
        </w:rPr>
        <w:t>周边</w:t>
      </w:r>
      <w:r>
        <w:rPr>
          <w:rFonts w:hint="eastAsia"/>
          <w:color w:val="auto"/>
          <w:lang w:val="en-US" w:eastAsia="zh-CN"/>
        </w:rPr>
        <w:t>200</w:t>
      </w:r>
      <w:r>
        <w:rPr>
          <w:rFonts w:hint="default"/>
          <w:color w:val="auto"/>
          <w:lang w:val="en-US" w:eastAsia="zh-CN"/>
        </w:rPr>
        <w:t>m范围内</w:t>
      </w:r>
      <w:r>
        <w:rPr>
          <w:rFonts w:hint="default"/>
          <w:color w:val="auto"/>
          <w:lang w:eastAsia="zh-CN"/>
        </w:rPr>
        <w:t>无居民区等敏感点，产生的噪声不会对外环境造成不利影响。</w:t>
      </w:r>
    </w:p>
    <w:p>
      <w:pPr>
        <w:pStyle w:val="6"/>
        <w:bidi w:val="0"/>
        <w:rPr>
          <w:rFonts w:hint="eastAsia"/>
          <w:color w:val="auto"/>
          <w:lang w:val="en-US" w:eastAsia="zh-CN"/>
        </w:rPr>
      </w:pPr>
      <w:bookmarkStart w:id="95" w:name="_Toc12968"/>
      <w:r>
        <w:rPr>
          <w:rFonts w:hint="eastAsia"/>
          <w:color w:val="auto"/>
          <w:lang w:val="en-US" w:eastAsia="zh-CN"/>
        </w:rPr>
        <w:t>5.1.4</w:t>
      </w:r>
      <w:r>
        <w:rPr>
          <w:rFonts w:hint="default"/>
          <w:color w:val="auto"/>
          <w:lang w:val="en-US" w:eastAsia="zh-CN"/>
        </w:rPr>
        <w:t>施工期固体废物环境影响分析</w:t>
      </w:r>
      <w:bookmarkEnd w:id="95"/>
    </w:p>
    <w:p>
      <w:pPr>
        <w:bidi w:val="0"/>
        <w:rPr>
          <w:rFonts w:hint="default"/>
          <w:color w:val="auto"/>
        </w:rPr>
      </w:pPr>
      <w:r>
        <w:rPr>
          <w:rFonts w:hint="default"/>
          <w:color w:val="auto"/>
        </w:rPr>
        <w:t>本项目施工期产生的固体废物主要包括：工程产生的弃土、施工人员产生的生活垃圾。</w:t>
      </w:r>
    </w:p>
    <w:p>
      <w:pPr>
        <w:bidi w:val="0"/>
        <w:rPr>
          <w:rFonts w:hint="default"/>
          <w:color w:val="auto"/>
        </w:rPr>
      </w:pPr>
      <w:bookmarkStart w:id="96" w:name="_Toc8561"/>
      <w:r>
        <w:rPr>
          <w:rFonts w:hint="default"/>
          <w:color w:val="auto"/>
          <w:lang w:val="en-US" w:eastAsia="zh-CN"/>
        </w:rPr>
        <w:t>（1）生活垃圾</w:t>
      </w:r>
    </w:p>
    <w:p>
      <w:pPr>
        <w:bidi w:val="0"/>
        <w:rPr>
          <w:rFonts w:hint="default"/>
          <w:color w:val="auto"/>
        </w:rPr>
      </w:pPr>
      <w:r>
        <w:rPr>
          <w:rFonts w:hint="default"/>
          <w:color w:val="auto"/>
          <w:lang w:val="en-US" w:eastAsia="zh-CN"/>
        </w:rPr>
        <w:t>施工期间产生的生活垃圾已按照规定</w:t>
      </w:r>
      <w:r>
        <w:rPr>
          <w:rFonts w:hint="eastAsia"/>
          <w:color w:val="auto"/>
          <w:lang w:val="en-US" w:eastAsia="zh-CN"/>
        </w:rPr>
        <w:t>经垃圾桶收集后</w:t>
      </w:r>
      <w:r>
        <w:rPr>
          <w:rFonts w:hint="default"/>
          <w:color w:val="auto"/>
          <w:lang w:val="en-US" w:eastAsia="zh-CN"/>
        </w:rPr>
        <w:t>集中清运至</w:t>
      </w:r>
      <w:r>
        <w:rPr>
          <w:rFonts w:hint="eastAsia"/>
          <w:color w:val="auto"/>
          <w:lang w:val="en-US" w:eastAsia="zh-CN"/>
        </w:rPr>
        <w:t>皮山农场</w:t>
      </w:r>
      <w:r>
        <w:rPr>
          <w:color w:val="auto"/>
        </w:rPr>
        <w:t>指定垃圾场填埋</w:t>
      </w:r>
      <w:r>
        <w:rPr>
          <w:rFonts w:hint="default"/>
          <w:color w:val="auto"/>
          <w:lang w:val="en-US" w:eastAsia="zh-CN"/>
        </w:rPr>
        <w:t>。</w:t>
      </w:r>
    </w:p>
    <w:p>
      <w:pPr>
        <w:bidi w:val="0"/>
        <w:rPr>
          <w:rFonts w:hint="default"/>
          <w:color w:val="auto"/>
        </w:rPr>
      </w:pPr>
      <w:r>
        <w:rPr>
          <w:rFonts w:hint="default"/>
          <w:color w:val="auto"/>
          <w:lang w:val="en-US" w:eastAsia="zh-CN"/>
        </w:rPr>
        <w:t>（2）弃</w:t>
      </w:r>
      <w:r>
        <w:rPr>
          <w:rFonts w:hint="eastAsia"/>
          <w:color w:val="auto"/>
          <w:lang w:val="en-US" w:eastAsia="zh-CN"/>
        </w:rPr>
        <w:t>土</w:t>
      </w:r>
    </w:p>
    <w:p>
      <w:pPr>
        <w:bidi w:val="0"/>
        <w:rPr>
          <w:rFonts w:hint="eastAsia"/>
          <w:color w:val="auto"/>
          <w:lang w:val="en-US" w:eastAsia="zh-CN"/>
        </w:rPr>
      </w:pPr>
      <w:r>
        <w:rPr>
          <w:rFonts w:hint="default"/>
          <w:color w:val="auto"/>
          <w:lang w:val="en-US" w:eastAsia="zh-CN"/>
        </w:rPr>
        <w:t>本项目施工期间，</w:t>
      </w:r>
      <w:r>
        <w:rPr>
          <w:rFonts w:hint="eastAsia" w:ascii="宋体" w:hAnsi="宋体" w:eastAsia="宋体" w:cs="宋体"/>
          <w:color w:val="auto"/>
          <w:sz w:val="24"/>
          <w:szCs w:val="24"/>
          <w:lang w:val="en-US" w:eastAsia="zh-CN"/>
        </w:rPr>
        <w:t>弃</w:t>
      </w:r>
      <w:r>
        <w:rPr>
          <w:rFonts w:ascii="宋体" w:hAnsi="宋体" w:eastAsia="宋体" w:cs="宋体"/>
          <w:color w:val="auto"/>
          <w:sz w:val="24"/>
          <w:szCs w:val="24"/>
        </w:rPr>
        <w:t>土</w:t>
      </w:r>
      <w:r>
        <w:rPr>
          <w:rFonts w:hint="eastAsia"/>
          <w:color w:val="auto"/>
          <w:lang w:val="en-US" w:eastAsia="zh-CN"/>
        </w:rPr>
        <w:t>作为道路及低矮地面的回填土，</w:t>
      </w:r>
      <w:r>
        <w:rPr>
          <w:rFonts w:ascii="宋体" w:hAnsi="宋体" w:eastAsia="宋体" w:cs="宋体"/>
          <w:color w:val="auto"/>
          <w:spacing w:val="-1"/>
          <w:sz w:val="24"/>
          <w:szCs w:val="24"/>
        </w:rPr>
        <w:t>无弃方外排，土石方平衡。</w:t>
      </w:r>
    </w:p>
    <w:p>
      <w:pPr>
        <w:bidi w:val="0"/>
        <w:rPr>
          <w:rFonts w:hint="default"/>
          <w:color w:val="auto"/>
        </w:rPr>
      </w:pPr>
      <w:r>
        <w:rPr>
          <w:rFonts w:hint="default"/>
          <w:color w:val="auto"/>
          <w:lang w:val="en-US" w:eastAsia="zh-CN"/>
        </w:rPr>
        <w:t>（3）隔油池废油及废渣</w:t>
      </w:r>
    </w:p>
    <w:p>
      <w:pPr>
        <w:bidi w:val="0"/>
        <w:rPr>
          <w:rFonts w:hint="default"/>
          <w:color w:val="auto"/>
          <w:lang w:val="en-US" w:eastAsia="zh-CN"/>
        </w:rPr>
      </w:pPr>
      <w:r>
        <w:rPr>
          <w:rFonts w:hint="default"/>
          <w:color w:val="auto"/>
          <w:lang w:val="en-US" w:eastAsia="zh-CN"/>
        </w:rPr>
        <w:t>污水处理设备隔油池收集的废油及废渣，主要为设备冲洗废水中的废油及隔油池底部废渣，为一般固废，本项目隔油池处理效率以70%计，废油产量约为0.0</w:t>
      </w:r>
      <w:r>
        <w:rPr>
          <w:rFonts w:hint="eastAsia"/>
          <w:color w:val="auto"/>
          <w:lang w:val="en-US" w:eastAsia="zh-CN"/>
        </w:rPr>
        <w:t>826</w:t>
      </w:r>
      <w:r>
        <w:rPr>
          <w:rFonts w:hint="default"/>
          <w:color w:val="auto"/>
          <w:lang w:val="en-US" w:eastAsia="zh-CN"/>
        </w:rPr>
        <w:t>t/a，废渣产量约为0.000</w:t>
      </w:r>
      <w:r>
        <w:rPr>
          <w:rFonts w:hint="eastAsia"/>
          <w:color w:val="auto"/>
          <w:lang w:val="en-US" w:eastAsia="zh-CN"/>
        </w:rPr>
        <w:t>72</w:t>
      </w:r>
      <w:r>
        <w:rPr>
          <w:rFonts w:hint="default"/>
          <w:color w:val="auto"/>
          <w:lang w:val="en-US" w:eastAsia="zh-CN"/>
        </w:rPr>
        <w:t>t/a，施工期结束后已交由资质单位处置。</w:t>
      </w:r>
    </w:p>
    <w:p>
      <w:pPr>
        <w:bidi w:val="0"/>
        <w:rPr>
          <w:rFonts w:hint="default"/>
          <w:color w:val="auto"/>
          <w:lang w:val="en-US" w:eastAsia="zh-CN"/>
        </w:rPr>
      </w:pPr>
      <w:r>
        <w:rPr>
          <w:rFonts w:hint="eastAsia"/>
          <w:color w:val="auto"/>
          <w:lang w:val="en-US" w:eastAsia="zh-CN"/>
        </w:rPr>
        <w:t>（4）建筑垃圾</w:t>
      </w:r>
    </w:p>
    <w:p>
      <w:pPr>
        <w:bidi w:val="0"/>
        <w:rPr>
          <w:rFonts w:hint="eastAsia"/>
          <w:color w:val="auto"/>
          <w:lang w:val="en-US" w:eastAsia="zh-CN"/>
        </w:rPr>
      </w:pPr>
      <w:r>
        <w:rPr>
          <w:rFonts w:hint="eastAsia"/>
          <w:color w:val="auto"/>
          <w:lang w:val="en-US" w:eastAsia="zh-CN"/>
        </w:rPr>
        <w:t>施工场地的建筑垃圾主要是指剩余的建筑材料，包括砂、石灰、钢材、木料、预制构件等。此类建筑垃圾集中堆放并加篷布遮盖，由施工方拉运至当地建筑垃圾场处理。</w:t>
      </w:r>
    </w:p>
    <w:bookmarkEnd w:id="96"/>
    <w:p>
      <w:pPr>
        <w:pStyle w:val="6"/>
        <w:bidi w:val="0"/>
        <w:rPr>
          <w:color w:val="auto"/>
        </w:rPr>
      </w:pPr>
      <w:bookmarkStart w:id="97" w:name="_Toc23833"/>
      <w:r>
        <w:rPr>
          <w:rFonts w:hint="eastAsia"/>
          <w:color w:val="auto"/>
          <w:lang w:val="en-US" w:eastAsia="zh-CN"/>
        </w:rPr>
        <w:t>5.1.5</w:t>
      </w:r>
      <w:r>
        <w:rPr>
          <w:color w:val="auto"/>
        </w:rPr>
        <w:t>施工期生态环境影响分析</w:t>
      </w:r>
      <w:bookmarkEnd w:id="97"/>
    </w:p>
    <w:p>
      <w:pPr>
        <w:bidi w:val="0"/>
        <w:rPr>
          <w:color w:val="auto"/>
        </w:rPr>
      </w:pPr>
      <w:r>
        <w:rPr>
          <w:color w:val="auto"/>
        </w:rPr>
        <w:t>工程施工期对生态的影响主要是施工清除现场、平整等施工活动，破坏了工程区域原有地貌和植被，造成一定植被的损失；扰动了表土结构，土壤抗蚀能力降低，还可能损坏原有的水土保持设施，导致地表裸露。</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color w:val="auto"/>
          <w:lang w:val="en-US" w:eastAsia="zh-CN"/>
        </w:rPr>
      </w:pPr>
      <w:r>
        <w:rPr>
          <w:rFonts w:hint="eastAsia" w:cs="Times New Roman"/>
          <w:color w:val="auto"/>
          <w:sz w:val="24"/>
          <w:szCs w:val="24"/>
          <w:lang w:val="en-US" w:eastAsia="zh-CN"/>
        </w:rPr>
        <w:t>经现场调查，</w:t>
      </w:r>
      <w:r>
        <w:rPr>
          <w:rFonts w:hint="default" w:ascii="Times New Roman" w:hAnsi="Times New Roman" w:cs="Times New Roman"/>
          <w:color w:val="auto"/>
          <w:sz w:val="24"/>
          <w:szCs w:val="24"/>
          <w:lang w:val="en-US" w:eastAsia="zh-CN"/>
        </w:rPr>
        <w:t>施工期结束后</w:t>
      </w:r>
      <w:r>
        <w:rPr>
          <w:rFonts w:hint="eastAsia" w:cs="Times New Roman"/>
          <w:color w:val="auto"/>
          <w:sz w:val="24"/>
          <w:szCs w:val="24"/>
          <w:lang w:val="en-US" w:eastAsia="zh-CN"/>
        </w:rPr>
        <w:t>已</w:t>
      </w:r>
      <w:r>
        <w:rPr>
          <w:rFonts w:hint="default" w:ascii="Times New Roman" w:hAnsi="Times New Roman" w:cs="Times New Roman"/>
          <w:color w:val="auto"/>
          <w:sz w:val="24"/>
          <w:szCs w:val="24"/>
          <w:lang w:val="en-US" w:eastAsia="zh-CN"/>
        </w:rPr>
        <w:t>对临时防渗化粪池</w:t>
      </w:r>
      <w:r>
        <w:rPr>
          <w:rFonts w:hint="eastAsia" w:cs="Times New Roman"/>
          <w:color w:val="auto"/>
          <w:sz w:val="24"/>
          <w:szCs w:val="24"/>
          <w:lang w:val="en-US" w:eastAsia="zh-CN"/>
        </w:rPr>
        <w:t>、</w:t>
      </w:r>
      <w:r>
        <w:rPr>
          <w:rFonts w:hint="default" w:ascii="Times New Roman" w:hAnsi="Times New Roman" w:cs="Times New Roman"/>
          <w:color w:val="auto"/>
          <w:sz w:val="24"/>
          <w:szCs w:val="24"/>
          <w:lang w:eastAsia="zh-CN"/>
        </w:rPr>
        <w:t>设备用房</w:t>
      </w:r>
      <w:r>
        <w:rPr>
          <w:rFonts w:hint="default" w:ascii="Times New Roman" w:hAnsi="Times New Roman" w:cs="Times New Roman"/>
          <w:color w:val="auto"/>
          <w:sz w:val="24"/>
          <w:szCs w:val="24"/>
          <w:lang w:val="en-US" w:eastAsia="zh-CN"/>
        </w:rPr>
        <w:t>进行拆除</w:t>
      </w:r>
      <w:r>
        <w:rPr>
          <w:rFonts w:hint="eastAsia" w:cs="Times New Roman"/>
          <w:color w:val="auto"/>
          <w:sz w:val="24"/>
          <w:szCs w:val="24"/>
          <w:lang w:val="en-US" w:eastAsia="zh-CN"/>
        </w:rPr>
        <w:t>，临时堆场进行土地平整。平整后的临时占地均</w:t>
      </w:r>
      <w:r>
        <w:rPr>
          <w:rFonts w:hint="default" w:ascii="Times New Roman" w:hAnsi="Times New Roman" w:cs="Times New Roman"/>
          <w:color w:val="auto"/>
          <w:sz w:val="24"/>
          <w:szCs w:val="24"/>
          <w:lang w:val="en-US" w:eastAsia="zh-CN"/>
        </w:rPr>
        <w:t>撒播草籽进行生态恢复。</w:t>
      </w:r>
    </w:p>
    <w:p>
      <w:pPr>
        <w:pStyle w:val="5"/>
        <w:bidi w:val="0"/>
        <w:rPr>
          <w:color w:val="auto"/>
        </w:rPr>
      </w:pPr>
      <w:bookmarkStart w:id="98" w:name="_Toc29340"/>
      <w:r>
        <w:rPr>
          <w:rFonts w:hint="eastAsia"/>
          <w:color w:val="auto"/>
          <w:lang w:val="en-US" w:eastAsia="zh-CN"/>
        </w:rPr>
        <w:t>5.2</w:t>
      </w:r>
      <w:r>
        <w:rPr>
          <w:color w:val="auto"/>
        </w:rPr>
        <w:t>运营期环境影响分析</w:t>
      </w:r>
      <w:bookmarkEnd w:id="98"/>
    </w:p>
    <w:p>
      <w:pPr>
        <w:pStyle w:val="6"/>
        <w:bidi w:val="0"/>
        <w:rPr>
          <w:rFonts w:hint="eastAsia" w:cs="Times New Roman"/>
          <w:color w:val="auto"/>
          <w:highlight w:val="none"/>
          <w:lang w:val="en-US" w:eastAsia="zh-CN"/>
        </w:rPr>
      </w:pPr>
      <w:bookmarkStart w:id="99" w:name="_Toc30075"/>
      <w:r>
        <w:rPr>
          <w:rFonts w:hint="eastAsia" w:cs="Times New Roman"/>
          <w:color w:val="auto"/>
          <w:highlight w:val="none"/>
          <w:lang w:val="en-US" w:eastAsia="zh-CN"/>
        </w:rPr>
        <w:t>5.2.1大气环境影响分析</w:t>
      </w:r>
      <w:bookmarkEnd w:id="99"/>
    </w:p>
    <w:p>
      <w:pPr>
        <w:bidi w:val="0"/>
        <w:rPr>
          <w:rFonts w:hint="default"/>
          <w:color w:val="auto"/>
          <w:lang w:val="en-US" w:eastAsia="zh-CN"/>
        </w:rPr>
      </w:pPr>
      <w:r>
        <w:rPr>
          <w:rFonts w:hint="default"/>
          <w:color w:val="auto"/>
          <w:lang w:val="en-US" w:eastAsia="zh-CN"/>
        </w:rPr>
        <w:t>皮山农场属典型的暖温带大陆性气候特征，降雨量稀少，蒸发量大，气候干燥，光热资源充足。风向多为西、西北向年均大风（17.5m/s）11.5次，浮沉天数多达200余天，沙尘暴天数18~52d，主要集中在4~6月，对农作物危害较大。大风都伴有沙尘，严重时会形成“黑风”，破坏性较大；夏季极端干旱，降水稀少。多年平均气温12.2℃，极端最高气温40.6℃，极端最低气温-39.6℃（皮山县气象站资料），≥10℃积温4100~4700℃。多年平均日照数2610.6h。无霜期多年平均为244天，多年平均年降水量33.4mm，年均蒸发量在2602mm；多年平均风速为2.1m/s，最大风速25.6m/s。</w:t>
      </w:r>
    </w:p>
    <w:p>
      <w:pPr>
        <w:bidi w:val="0"/>
        <w:rPr>
          <w:rFonts w:hint="default"/>
          <w:color w:val="auto"/>
          <w:lang w:val="en-US" w:eastAsia="zh-CN"/>
        </w:rPr>
      </w:pPr>
      <w:r>
        <w:rPr>
          <w:rFonts w:hint="default"/>
          <w:color w:val="auto"/>
          <w:lang w:val="en-US" w:eastAsia="zh-CN"/>
        </w:rPr>
        <w:t>当地风季为4月~6月、当地雨季为5月~9月，风雨季为4月~9月，项目区主要气象要素一览表，见表</w:t>
      </w:r>
      <w:r>
        <w:rPr>
          <w:rFonts w:hint="eastAsia"/>
          <w:color w:val="auto"/>
          <w:lang w:val="en-US" w:eastAsia="zh-CN"/>
        </w:rPr>
        <w:t>5.1-1</w:t>
      </w:r>
      <w:r>
        <w:rPr>
          <w:rFonts w:hint="default"/>
          <w:color w:val="auto"/>
          <w:lang w:val="en-US" w:eastAsia="zh-CN"/>
        </w:rPr>
        <w:t>。</w:t>
      </w:r>
    </w:p>
    <w:p>
      <w:pPr>
        <w:bidi w:val="0"/>
        <w:jc w:val="center"/>
        <w:rPr>
          <w:rFonts w:hint="default"/>
          <w:b/>
          <w:bCs/>
          <w:color w:val="auto"/>
          <w:lang w:val="en-US" w:eastAsia="zh-CN"/>
        </w:rPr>
      </w:pPr>
      <w:r>
        <w:rPr>
          <w:rFonts w:hint="default"/>
          <w:b/>
          <w:bCs/>
          <w:color w:val="auto"/>
          <w:lang w:val="en-US" w:eastAsia="zh-CN"/>
        </w:rPr>
        <w:t>表</w:t>
      </w:r>
      <w:r>
        <w:rPr>
          <w:rFonts w:hint="eastAsia"/>
          <w:b/>
          <w:bCs/>
          <w:color w:val="auto"/>
          <w:lang w:val="en-US" w:eastAsia="zh-CN"/>
        </w:rPr>
        <w:t>5.1-1</w:t>
      </w:r>
      <w:r>
        <w:rPr>
          <w:rFonts w:hint="default"/>
          <w:b/>
          <w:bCs/>
          <w:color w:val="auto"/>
          <w:lang w:val="en-US" w:eastAsia="zh-CN"/>
        </w:rPr>
        <w:t>项目区主要气象数据</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keepNext w:val="0"/>
              <w:keepLines w:val="0"/>
              <w:suppressLineNumbers w:val="0"/>
              <w:bidi w:val="0"/>
              <w:spacing w:before="0" w:beforeAutospacing="0" w:after="0" w:afterAutospacing="0"/>
              <w:ind w:left="0" w:right="0"/>
              <w:jc w:val="center"/>
              <w:rPr>
                <w:rFonts w:hint="default"/>
                <w:color w:val="auto"/>
                <w:vertAlign w:val="baseline"/>
                <w:lang w:val="en-US" w:eastAsia="zh-CN"/>
              </w:rPr>
            </w:pPr>
            <w:r>
              <w:rPr>
                <w:rFonts w:hint="eastAsia"/>
                <w:color w:val="auto"/>
                <w:vertAlign w:val="baseline"/>
                <w:lang w:val="en-US" w:eastAsia="zh-CN"/>
              </w:rPr>
              <w:t>序号</w:t>
            </w:r>
          </w:p>
        </w:tc>
        <w:tc>
          <w:tcPr>
            <w:tcW w:w="2841" w:type="dxa"/>
          </w:tcPr>
          <w:p>
            <w:pPr>
              <w:keepNext w:val="0"/>
              <w:keepLines w:val="0"/>
              <w:suppressLineNumbers w:val="0"/>
              <w:bidi w:val="0"/>
              <w:spacing w:before="0" w:beforeAutospacing="0" w:after="0" w:afterAutospacing="0"/>
              <w:ind w:left="0" w:right="0"/>
              <w:jc w:val="center"/>
              <w:rPr>
                <w:rFonts w:hint="default"/>
                <w:color w:val="auto"/>
                <w:vertAlign w:val="baseline"/>
                <w:lang w:val="en-US" w:eastAsia="zh-CN"/>
              </w:rPr>
            </w:pPr>
            <w:r>
              <w:rPr>
                <w:rFonts w:hint="eastAsia"/>
                <w:color w:val="auto"/>
                <w:vertAlign w:val="baseline"/>
                <w:lang w:val="en-US" w:eastAsia="zh-CN"/>
              </w:rPr>
              <w:t>气象要素</w:t>
            </w:r>
          </w:p>
        </w:tc>
        <w:tc>
          <w:tcPr>
            <w:tcW w:w="2841" w:type="dxa"/>
          </w:tcPr>
          <w:p>
            <w:pPr>
              <w:keepNext w:val="0"/>
              <w:keepLines w:val="0"/>
              <w:suppressLineNumbers w:val="0"/>
              <w:bidi w:val="0"/>
              <w:spacing w:before="0" w:beforeAutospacing="0" w:after="0" w:afterAutospacing="0"/>
              <w:ind w:left="0" w:right="0"/>
              <w:jc w:val="center"/>
              <w:rPr>
                <w:rFonts w:hint="default"/>
                <w:color w:val="auto"/>
                <w:vertAlign w:val="baseline"/>
                <w:lang w:val="en-US" w:eastAsia="zh-CN"/>
              </w:rPr>
            </w:pPr>
            <w:r>
              <w:rPr>
                <w:rFonts w:hint="eastAsia"/>
                <w:color w:val="auto"/>
                <w:vertAlign w:val="baseline"/>
                <w:lang w:val="en-US" w:eastAsia="zh-CN"/>
              </w:rPr>
              <w:t>气象站要素值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keepNext w:val="0"/>
              <w:keepLines w:val="0"/>
              <w:suppressLineNumbers w:val="0"/>
              <w:bidi w:val="0"/>
              <w:spacing w:before="0" w:beforeAutospacing="0" w:after="0" w:afterAutospacing="0"/>
              <w:ind w:left="0" w:right="0"/>
              <w:jc w:val="center"/>
              <w:rPr>
                <w:rFonts w:hint="default"/>
                <w:color w:val="auto"/>
                <w:vertAlign w:val="baseline"/>
                <w:lang w:val="en-US" w:eastAsia="zh-CN"/>
              </w:rPr>
            </w:pPr>
            <w:r>
              <w:rPr>
                <w:rFonts w:hint="eastAsia"/>
                <w:color w:val="auto"/>
                <w:vertAlign w:val="baseline"/>
                <w:lang w:val="en-US" w:eastAsia="zh-CN"/>
              </w:rPr>
              <w:t>1</w:t>
            </w:r>
          </w:p>
        </w:tc>
        <w:tc>
          <w:tcPr>
            <w:tcW w:w="2841" w:type="dxa"/>
          </w:tcPr>
          <w:p>
            <w:pPr>
              <w:keepNext w:val="0"/>
              <w:keepLines w:val="0"/>
              <w:suppressLineNumbers w:val="0"/>
              <w:bidi w:val="0"/>
              <w:spacing w:before="0" w:beforeAutospacing="0" w:after="0" w:afterAutospacing="0"/>
              <w:ind w:left="0" w:leftChars="0" w:right="0" w:firstLine="0" w:firstLineChars="0"/>
              <w:jc w:val="center"/>
              <w:rPr>
                <w:rFonts w:hint="default"/>
                <w:color w:val="auto"/>
                <w:vertAlign w:val="baseline"/>
                <w:lang w:val="en-US" w:eastAsia="zh-CN"/>
              </w:rPr>
            </w:pPr>
            <w:r>
              <w:rPr>
                <w:rFonts w:hint="eastAsia"/>
                <w:color w:val="auto"/>
                <w:vertAlign w:val="baseline"/>
                <w:lang w:val="en-US" w:eastAsia="zh-CN"/>
              </w:rPr>
              <w:t>年平均气温（℃）</w:t>
            </w:r>
          </w:p>
        </w:tc>
        <w:tc>
          <w:tcPr>
            <w:tcW w:w="2841" w:type="dxa"/>
          </w:tcPr>
          <w:p>
            <w:pPr>
              <w:keepNext w:val="0"/>
              <w:keepLines w:val="0"/>
              <w:suppressLineNumbers w:val="0"/>
              <w:bidi w:val="0"/>
              <w:spacing w:before="0" w:beforeAutospacing="0" w:after="0" w:afterAutospacing="0"/>
              <w:ind w:left="0" w:right="0"/>
              <w:jc w:val="center"/>
              <w:rPr>
                <w:rFonts w:hint="default"/>
                <w:color w:val="auto"/>
                <w:vertAlign w:val="baseline"/>
                <w:lang w:val="en-US" w:eastAsia="zh-CN"/>
              </w:rPr>
            </w:pPr>
            <w:r>
              <w:rPr>
                <w:rFonts w:hint="eastAsia"/>
                <w:color w:val="auto"/>
                <w:vertAlign w:val="baseline"/>
                <w:lang w:val="en-US" w:eastAsia="zh-CN"/>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keepNext w:val="0"/>
              <w:keepLines w:val="0"/>
              <w:suppressLineNumbers w:val="0"/>
              <w:bidi w:val="0"/>
              <w:spacing w:before="0" w:beforeAutospacing="0" w:after="0" w:afterAutospacing="0"/>
              <w:ind w:left="0" w:right="0"/>
              <w:jc w:val="center"/>
              <w:rPr>
                <w:rFonts w:hint="default"/>
                <w:color w:val="auto"/>
                <w:vertAlign w:val="baseline"/>
                <w:lang w:val="en-US" w:eastAsia="zh-CN"/>
              </w:rPr>
            </w:pPr>
            <w:r>
              <w:rPr>
                <w:rFonts w:hint="eastAsia"/>
                <w:color w:val="auto"/>
                <w:vertAlign w:val="baseline"/>
                <w:lang w:val="en-US" w:eastAsia="zh-CN"/>
              </w:rPr>
              <w:t>2</w:t>
            </w:r>
          </w:p>
        </w:tc>
        <w:tc>
          <w:tcPr>
            <w:tcW w:w="2841" w:type="dxa"/>
          </w:tcPr>
          <w:p>
            <w:pPr>
              <w:keepNext w:val="0"/>
              <w:keepLines w:val="0"/>
              <w:suppressLineNumbers w:val="0"/>
              <w:bidi w:val="0"/>
              <w:spacing w:before="0" w:beforeAutospacing="0" w:after="0" w:afterAutospacing="0"/>
              <w:ind w:left="0" w:leftChars="0" w:right="0" w:firstLine="0" w:firstLineChars="0"/>
              <w:jc w:val="center"/>
              <w:rPr>
                <w:rFonts w:hint="default"/>
                <w:color w:val="auto"/>
                <w:vertAlign w:val="baseline"/>
                <w:lang w:val="en-US" w:eastAsia="zh-CN"/>
              </w:rPr>
            </w:pPr>
            <w:r>
              <w:rPr>
                <w:rFonts w:hint="eastAsia"/>
                <w:color w:val="auto"/>
                <w:vertAlign w:val="baseline"/>
                <w:lang w:val="en-US" w:eastAsia="zh-CN"/>
              </w:rPr>
              <w:t>无霜期（天）</w:t>
            </w:r>
          </w:p>
        </w:tc>
        <w:tc>
          <w:tcPr>
            <w:tcW w:w="2841" w:type="dxa"/>
          </w:tcPr>
          <w:p>
            <w:pPr>
              <w:keepNext w:val="0"/>
              <w:keepLines w:val="0"/>
              <w:suppressLineNumbers w:val="0"/>
              <w:bidi w:val="0"/>
              <w:spacing w:before="0" w:beforeAutospacing="0" w:after="0" w:afterAutospacing="0"/>
              <w:ind w:left="0" w:right="0"/>
              <w:jc w:val="center"/>
              <w:rPr>
                <w:rFonts w:hint="default"/>
                <w:color w:val="auto"/>
                <w:vertAlign w:val="baseline"/>
                <w:lang w:val="en-US" w:eastAsia="zh-CN"/>
              </w:rPr>
            </w:pPr>
            <w:r>
              <w:rPr>
                <w:rFonts w:hint="eastAsia"/>
                <w:color w:val="auto"/>
                <w:vertAlign w:val="baseline"/>
                <w:lang w:val="en-US" w:eastAsia="zh-CN"/>
              </w:rPr>
              <w:t>244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keepNext w:val="0"/>
              <w:keepLines w:val="0"/>
              <w:suppressLineNumbers w:val="0"/>
              <w:bidi w:val="0"/>
              <w:spacing w:before="0" w:beforeAutospacing="0" w:after="0" w:afterAutospacing="0"/>
              <w:ind w:left="0" w:right="0"/>
              <w:jc w:val="center"/>
              <w:rPr>
                <w:rFonts w:hint="default"/>
                <w:color w:val="auto"/>
                <w:vertAlign w:val="baseline"/>
                <w:lang w:val="en-US" w:eastAsia="zh-CN"/>
              </w:rPr>
            </w:pPr>
            <w:r>
              <w:rPr>
                <w:rFonts w:hint="eastAsia"/>
                <w:color w:val="auto"/>
                <w:vertAlign w:val="baseline"/>
                <w:lang w:val="en-US" w:eastAsia="zh-CN"/>
              </w:rPr>
              <w:t>3</w:t>
            </w:r>
          </w:p>
        </w:tc>
        <w:tc>
          <w:tcPr>
            <w:tcW w:w="2841" w:type="dxa"/>
          </w:tcPr>
          <w:p>
            <w:pPr>
              <w:keepNext w:val="0"/>
              <w:keepLines w:val="0"/>
              <w:suppressLineNumbers w:val="0"/>
              <w:bidi w:val="0"/>
              <w:spacing w:before="0" w:beforeAutospacing="0" w:after="0" w:afterAutospacing="0"/>
              <w:ind w:left="0" w:leftChars="0" w:right="0" w:firstLine="0" w:firstLineChars="0"/>
              <w:jc w:val="center"/>
              <w:rPr>
                <w:rFonts w:hint="default"/>
                <w:color w:val="auto"/>
                <w:vertAlign w:val="baseline"/>
                <w:lang w:val="en-US" w:eastAsia="zh-CN"/>
              </w:rPr>
            </w:pPr>
            <w:r>
              <w:rPr>
                <w:rFonts w:hint="eastAsia"/>
                <w:color w:val="auto"/>
                <w:vertAlign w:val="baseline"/>
                <w:lang w:val="en-US" w:eastAsia="zh-CN"/>
              </w:rPr>
              <w:t>极端最低温度（℃）</w:t>
            </w:r>
          </w:p>
        </w:tc>
        <w:tc>
          <w:tcPr>
            <w:tcW w:w="2841" w:type="dxa"/>
          </w:tcPr>
          <w:p>
            <w:pPr>
              <w:keepNext w:val="0"/>
              <w:keepLines w:val="0"/>
              <w:suppressLineNumbers w:val="0"/>
              <w:bidi w:val="0"/>
              <w:spacing w:before="0" w:beforeAutospacing="0" w:after="0" w:afterAutospacing="0"/>
              <w:ind w:left="0" w:right="0"/>
              <w:jc w:val="center"/>
              <w:rPr>
                <w:rFonts w:hint="default"/>
                <w:color w:val="auto"/>
                <w:vertAlign w:val="baseline"/>
                <w:lang w:val="en-US" w:eastAsia="zh-CN"/>
              </w:rPr>
            </w:pPr>
            <w:r>
              <w:rPr>
                <w:rFonts w:hint="eastAsia"/>
                <w:color w:val="auto"/>
                <w:vertAlign w:val="baseline"/>
                <w:lang w:val="en-US" w:eastAsia="zh-CN"/>
              </w:rPr>
              <w:t>-39.6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keepNext w:val="0"/>
              <w:keepLines w:val="0"/>
              <w:suppressLineNumbers w:val="0"/>
              <w:bidi w:val="0"/>
              <w:spacing w:before="0" w:beforeAutospacing="0" w:after="0" w:afterAutospacing="0"/>
              <w:ind w:left="0" w:right="0"/>
              <w:jc w:val="center"/>
              <w:rPr>
                <w:rFonts w:hint="default"/>
                <w:color w:val="auto"/>
                <w:vertAlign w:val="baseline"/>
                <w:lang w:val="en-US" w:eastAsia="zh-CN"/>
              </w:rPr>
            </w:pPr>
            <w:r>
              <w:rPr>
                <w:rFonts w:hint="eastAsia"/>
                <w:color w:val="auto"/>
                <w:vertAlign w:val="baseline"/>
                <w:lang w:val="en-US" w:eastAsia="zh-CN"/>
              </w:rPr>
              <w:t>4</w:t>
            </w:r>
          </w:p>
        </w:tc>
        <w:tc>
          <w:tcPr>
            <w:tcW w:w="2841" w:type="dxa"/>
          </w:tcPr>
          <w:p>
            <w:pPr>
              <w:keepNext w:val="0"/>
              <w:keepLines w:val="0"/>
              <w:suppressLineNumbers w:val="0"/>
              <w:bidi w:val="0"/>
              <w:spacing w:before="0" w:beforeAutospacing="0" w:after="0" w:afterAutospacing="0"/>
              <w:ind w:left="0" w:leftChars="0" w:right="0" w:firstLine="0" w:firstLineChars="0"/>
              <w:jc w:val="center"/>
              <w:rPr>
                <w:rFonts w:hint="default"/>
                <w:color w:val="auto"/>
                <w:vertAlign w:val="baseline"/>
                <w:lang w:val="en-US" w:eastAsia="zh-CN"/>
              </w:rPr>
            </w:pPr>
            <w:r>
              <w:rPr>
                <w:rFonts w:hint="eastAsia"/>
                <w:color w:val="auto"/>
                <w:vertAlign w:val="baseline"/>
                <w:lang w:val="en-US" w:eastAsia="zh-CN"/>
              </w:rPr>
              <w:t>年平均降水量（mm）</w:t>
            </w:r>
          </w:p>
        </w:tc>
        <w:tc>
          <w:tcPr>
            <w:tcW w:w="2841" w:type="dxa"/>
          </w:tcPr>
          <w:p>
            <w:pPr>
              <w:keepNext w:val="0"/>
              <w:keepLines w:val="0"/>
              <w:suppressLineNumbers w:val="0"/>
              <w:bidi w:val="0"/>
              <w:spacing w:before="0" w:beforeAutospacing="0" w:after="0" w:afterAutospacing="0"/>
              <w:ind w:left="0" w:right="0"/>
              <w:jc w:val="center"/>
              <w:rPr>
                <w:rFonts w:hint="default"/>
                <w:color w:val="auto"/>
                <w:vertAlign w:val="baseline"/>
                <w:lang w:val="en-US" w:eastAsia="zh-CN"/>
              </w:rPr>
            </w:pPr>
            <w:r>
              <w:rPr>
                <w:rFonts w:hint="eastAsia"/>
                <w:color w:val="auto"/>
                <w:vertAlign w:val="baseline"/>
                <w:lang w:val="en-US" w:eastAsia="zh-CN"/>
              </w:rPr>
              <w:t>33.4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keepNext w:val="0"/>
              <w:keepLines w:val="0"/>
              <w:suppressLineNumbers w:val="0"/>
              <w:bidi w:val="0"/>
              <w:spacing w:before="0" w:beforeAutospacing="0" w:after="0" w:afterAutospacing="0"/>
              <w:ind w:left="0" w:right="0"/>
              <w:jc w:val="center"/>
              <w:rPr>
                <w:rFonts w:hint="default"/>
                <w:color w:val="auto"/>
                <w:vertAlign w:val="baseline"/>
                <w:lang w:val="en-US" w:eastAsia="zh-CN"/>
              </w:rPr>
            </w:pPr>
            <w:r>
              <w:rPr>
                <w:rFonts w:hint="eastAsia"/>
                <w:color w:val="auto"/>
                <w:vertAlign w:val="baseline"/>
                <w:lang w:val="en-US" w:eastAsia="zh-CN"/>
              </w:rPr>
              <w:t>5</w:t>
            </w:r>
          </w:p>
        </w:tc>
        <w:tc>
          <w:tcPr>
            <w:tcW w:w="2841" w:type="dxa"/>
          </w:tcPr>
          <w:p>
            <w:pPr>
              <w:keepNext w:val="0"/>
              <w:keepLines w:val="0"/>
              <w:suppressLineNumbers w:val="0"/>
              <w:bidi w:val="0"/>
              <w:spacing w:before="0" w:beforeAutospacing="0" w:after="0" w:afterAutospacing="0"/>
              <w:ind w:left="0" w:leftChars="0" w:right="0" w:firstLine="0" w:firstLineChars="0"/>
              <w:jc w:val="center"/>
              <w:rPr>
                <w:rFonts w:hint="default"/>
                <w:color w:val="auto"/>
                <w:vertAlign w:val="baseline"/>
                <w:lang w:val="en-US" w:eastAsia="zh-CN"/>
              </w:rPr>
            </w:pPr>
            <w:r>
              <w:rPr>
                <w:rFonts w:hint="eastAsia"/>
                <w:color w:val="auto"/>
                <w:vertAlign w:val="baseline"/>
                <w:lang w:val="en-US" w:eastAsia="zh-CN"/>
              </w:rPr>
              <w:t>年平均蒸发量（mm）</w:t>
            </w:r>
          </w:p>
        </w:tc>
        <w:tc>
          <w:tcPr>
            <w:tcW w:w="2841" w:type="dxa"/>
          </w:tcPr>
          <w:p>
            <w:pPr>
              <w:keepNext w:val="0"/>
              <w:keepLines w:val="0"/>
              <w:suppressLineNumbers w:val="0"/>
              <w:bidi w:val="0"/>
              <w:spacing w:before="0" w:beforeAutospacing="0" w:after="0" w:afterAutospacing="0"/>
              <w:ind w:left="0" w:right="0"/>
              <w:jc w:val="center"/>
              <w:rPr>
                <w:rFonts w:hint="default"/>
                <w:color w:val="auto"/>
                <w:vertAlign w:val="baseline"/>
                <w:lang w:val="en-US" w:eastAsia="zh-CN"/>
              </w:rPr>
            </w:pPr>
            <w:r>
              <w:rPr>
                <w:rFonts w:hint="eastAsia"/>
                <w:color w:val="auto"/>
                <w:vertAlign w:val="baseline"/>
                <w:lang w:val="en-US" w:eastAsia="zh-CN"/>
              </w:rPr>
              <w:t>2602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keepNext w:val="0"/>
              <w:keepLines w:val="0"/>
              <w:suppressLineNumbers w:val="0"/>
              <w:bidi w:val="0"/>
              <w:spacing w:before="0" w:beforeAutospacing="0" w:after="0" w:afterAutospacing="0"/>
              <w:ind w:left="0" w:right="0"/>
              <w:jc w:val="center"/>
              <w:rPr>
                <w:rFonts w:hint="default"/>
                <w:color w:val="auto"/>
                <w:vertAlign w:val="baseline"/>
                <w:lang w:val="en-US" w:eastAsia="zh-CN"/>
              </w:rPr>
            </w:pPr>
            <w:r>
              <w:rPr>
                <w:rFonts w:hint="eastAsia"/>
                <w:color w:val="auto"/>
                <w:vertAlign w:val="baseline"/>
                <w:lang w:val="en-US" w:eastAsia="zh-CN"/>
              </w:rPr>
              <w:t>6</w:t>
            </w:r>
          </w:p>
        </w:tc>
        <w:tc>
          <w:tcPr>
            <w:tcW w:w="2841" w:type="dxa"/>
          </w:tcPr>
          <w:p>
            <w:pPr>
              <w:keepNext w:val="0"/>
              <w:keepLines w:val="0"/>
              <w:suppressLineNumbers w:val="0"/>
              <w:bidi w:val="0"/>
              <w:spacing w:before="0" w:beforeAutospacing="0" w:after="0" w:afterAutospacing="0"/>
              <w:ind w:left="0" w:leftChars="0" w:right="0" w:firstLine="0" w:firstLineChars="0"/>
              <w:jc w:val="center"/>
              <w:rPr>
                <w:rFonts w:hint="default"/>
                <w:color w:val="auto"/>
                <w:vertAlign w:val="baseline"/>
                <w:lang w:val="en-US" w:eastAsia="zh-CN"/>
              </w:rPr>
            </w:pPr>
            <w:r>
              <w:rPr>
                <w:rFonts w:hint="eastAsia"/>
                <w:color w:val="auto"/>
                <w:vertAlign w:val="baseline"/>
                <w:lang w:val="en-US" w:eastAsia="zh-CN"/>
              </w:rPr>
              <w:t>年最大冻土深度（cm）</w:t>
            </w:r>
          </w:p>
        </w:tc>
        <w:tc>
          <w:tcPr>
            <w:tcW w:w="2841" w:type="dxa"/>
          </w:tcPr>
          <w:p>
            <w:pPr>
              <w:keepNext w:val="0"/>
              <w:keepLines w:val="0"/>
              <w:suppressLineNumbers w:val="0"/>
              <w:bidi w:val="0"/>
              <w:spacing w:before="0" w:beforeAutospacing="0" w:after="0" w:afterAutospacing="0"/>
              <w:ind w:left="0" w:right="0"/>
              <w:jc w:val="center"/>
              <w:rPr>
                <w:rFonts w:hint="default"/>
                <w:color w:val="auto"/>
                <w:vertAlign w:val="baseline"/>
                <w:lang w:val="en-US" w:eastAsia="zh-CN"/>
              </w:rPr>
            </w:pPr>
            <w:r>
              <w:rPr>
                <w:rFonts w:hint="eastAsia"/>
                <w:color w:val="auto"/>
                <w:vertAlign w:val="baseline"/>
                <w:lang w:val="en-US" w:eastAsia="zh-CN"/>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keepNext w:val="0"/>
              <w:keepLines w:val="0"/>
              <w:suppressLineNumbers w:val="0"/>
              <w:bidi w:val="0"/>
              <w:spacing w:before="0" w:beforeAutospacing="0" w:after="0" w:afterAutospacing="0"/>
              <w:ind w:left="0" w:right="0"/>
              <w:jc w:val="center"/>
              <w:rPr>
                <w:rFonts w:hint="default"/>
                <w:color w:val="auto"/>
                <w:vertAlign w:val="baseline"/>
                <w:lang w:val="en-US" w:eastAsia="zh-CN"/>
              </w:rPr>
            </w:pPr>
            <w:r>
              <w:rPr>
                <w:rFonts w:hint="eastAsia"/>
                <w:color w:val="auto"/>
                <w:vertAlign w:val="baseline"/>
                <w:lang w:val="en-US" w:eastAsia="zh-CN"/>
              </w:rPr>
              <w:t>7</w:t>
            </w:r>
          </w:p>
        </w:tc>
        <w:tc>
          <w:tcPr>
            <w:tcW w:w="2841" w:type="dxa"/>
          </w:tcPr>
          <w:p>
            <w:pPr>
              <w:keepNext w:val="0"/>
              <w:keepLines w:val="0"/>
              <w:suppressLineNumbers w:val="0"/>
              <w:bidi w:val="0"/>
              <w:spacing w:before="0" w:beforeAutospacing="0" w:after="0" w:afterAutospacing="0"/>
              <w:ind w:left="0" w:leftChars="0" w:right="0" w:firstLine="0" w:firstLineChars="0"/>
              <w:jc w:val="center"/>
              <w:rPr>
                <w:rFonts w:hint="default"/>
                <w:color w:val="auto"/>
                <w:vertAlign w:val="baseline"/>
                <w:lang w:val="en-US" w:eastAsia="zh-CN"/>
              </w:rPr>
            </w:pPr>
            <w:r>
              <w:rPr>
                <w:rFonts w:hint="eastAsia"/>
                <w:color w:val="auto"/>
                <w:vertAlign w:val="baseline"/>
                <w:lang w:val="en-US" w:eastAsia="zh-CN"/>
              </w:rPr>
              <w:t>年平均风速（m/s）</w:t>
            </w:r>
          </w:p>
        </w:tc>
        <w:tc>
          <w:tcPr>
            <w:tcW w:w="2841" w:type="dxa"/>
          </w:tcPr>
          <w:p>
            <w:pPr>
              <w:keepNext w:val="0"/>
              <w:keepLines w:val="0"/>
              <w:suppressLineNumbers w:val="0"/>
              <w:bidi w:val="0"/>
              <w:spacing w:before="0" w:beforeAutospacing="0" w:after="0" w:afterAutospacing="0"/>
              <w:ind w:left="0" w:right="0"/>
              <w:jc w:val="center"/>
              <w:rPr>
                <w:rFonts w:hint="default"/>
                <w:color w:val="auto"/>
                <w:vertAlign w:val="baseline"/>
                <w:lang w:val="en-US" w:eastAsia="zh-CN"/>
              </w:rPr>
            </w:pPr>
            <w:r>
              <w:rPr>
                <w:rFonts w:hint="eastAsia"/>
                <w:color w:val="auto"/>
                <w:vertAlign w:val="baseline"/>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keepNext w:val="0"/>
              <w:keepLines w:val="0"/>
              <w:suppressLineNumbers w:val="0"/>
              <w:bidi w:val="0"/>
              <w:spacing w:before="0" w:beforeAutospacing="0" w:after="0" w:afterAutospacing="0"/>
              <w:ind w:left="0" w:right="0"/>
              <w:jc w:val="center"/>
              <w:rPr>
                <w:rFonts w:hint="default"/>
                <w:color w:val="auto"/>
                <w:vertAlign w:val="baseline"/>
                <w:lang w:val="en-US" w:eastAsia="zh-CN"/>
              </w:rPr>
            </w:pPr>
            <w:r>
              <w:rPr>
                <w:rFonts w:hint="eastAsia"/>
                <w:color w:val="auto"/>
                <w:vertAlign w:val="baseline"/>
                <w:lang w:val="en-US" w:eastAsia="zh-CN"/>
              </w:rPr>
              <w:t>8</w:t>
            </w:r>
          </w:p>
        </w:tc>
        <w:tc>
          <w:tcPr>
            <w:tcW w:w="2841" w:type="dxa"/>
          </w:tcPr>
          <w:p>
            <w:pPr>
              <w:keepNext w:val="0"/>
              <w:keepLines w:val="0"/>
              <w:suppressLineNumbers w:val="0"/>
              <w:bidi w:val="0"/>
              <w:spacing w:before="0" w:beforeAutospacing="0" w:after="0" w:afterAutospacing="0"/>
              <w:ind w:left="0" w:leftChars="0" w:right="0" w:firstLine="0" w:firstLineChars="0"/>
              <w:jc w:val="center"/>
              <w:rPr>
                <w:rFonts w:hint="default"/>
                <w:color w:val="auto"/>
                <w:vertAlign w:val="baseline"/>
                <w:lang w:val="en-US" w:eastAsia="zh-CN"/>
              </w:rPr>
            </w:pPr>
            <w:r>
              <w:rPr>
                <w:rFonts w:hint="eastAsia"/>
                <w:color w:val="auto"/>
                <w:vertAlign w:val="baseline"/>
                <w:lang w:val="en-US" w:eastAsia="zh-CN"/>
              </w:rPr>
              <w:t>年最大瞬时风速（m/s）</w:t>
            </w:r>
          </w:p>
        </w:tc>
        <w:tc>
          <w:tcPr>
            <w:tcW w:w="2841" w:type="dxa"/>
          </w:tcPr>
          <w:p>
            <w:pPr>
              <w:keepNext w:val="0"/>
              <w:keepLines w:val="0"/>
              <w:suppressLineNumbers w:val="0"/>
              <w:bidi w:val="0"/>
              <w:spacing w:before="0" w:beforeAutospacing="0" w:after="0" w:afterAutospacing="0"/>
              <w:ind w:left="0" w:right="0"/>
              <w:jc w:val="center"/>
              <w:rPr>
                <w:rFonts w:hint="default"/>
                <w:color w:val="auto"/>
                <w:vertAlign w:val="baseline"/>
                <w:lang w:val="en-US" w:eastAsia="zh-CN"/>
              </w:rPr>
            </w:pPr>
            <w:r>
              <w:rPr>
                <w:rFonts w:hint="eastAsia"/>
                <w:color w:val="auto"/>
                <w:vertAlign w:val="baseline"/>
                <w:lang w:val="en-US" w:eastAsia="zh-CN"/>
              </w:rPr>
              <w:t>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pPr>
              <w:keepNext w:val="0"/>
              <w:keepLines w:val="0"/>
              <w:suppressLineNumbers w:val="0"/>
              <w:bidi w:val="0"/>
              <w:spacing w:before="0" w:beforeAutospacing="0" w:after="0" w:afterAutospacing="0"/>
              <w:ind w:left="0" w:right="0"/>
              <w:jc w:val="center"/>
              <w:rPr>
                <w:rFonts w:hint="default"/>
                <w:color w:val="auto"/>
                <w:vertAlign w:val="baseline"/>
                <w:lang w:val="en-US" w:eastAsia="zh-CN"/>
              </w:rPr>
            </w:pPr>
            <w:r>
              <w:rPr>
                <w:rFonts w:hint="eastAsia"/>
                <w:color w:val="auto"/>
                <w:vertAlign w:val="baseline"/>
                <w:lang w:val="en-US" w:eastAsia="zh-CN"/>
              </w:rPr>
              <w:t>9</w:t>
            </w:r>
          </w:p>
        </w:tc>
        <w:tc>
          <w:tcPr>
            <w:tcW w:w="2841" w:type="dxa"/>
          </w:tcPr>
          <w:p>
            <w:pPr>
              <w:keepNext w:val="0"/>
              <w:keepLines w:val="0"/>
              <w:suppressLineNumbers w:val="0"/>
              <w:bidi w:val="0"/>
              <w:spacing w:before="0" w:beforeAutospacing="0" w:after="0" w:afterAutospacing="0"/>
              <w:ind w:left="0" w:leftChars="0" w:right="0" w:firstLine="0" w:firstLineChars="0"/>
              <w:jc w:val="center"/>
              <w:rPr>
                <w:rFonts w:hint="default"/>
                <w:color w:val="auto"/>
                <w:vertAlign w:val="baseline"/>
                <w:lang w:val="en-US" w:eastAsia="zh-CN"/>
              </w:rPr>
            </w:pPr>
            <w:r>
              <w:rPr>
                <w:rFonts w:hint="eastAsia"/>
                <w:color w:val="auto"/>
                <w:vertAlign w:val="baseline"/>
                <w:lang w:val="en-US" w:eastAsia="zh-CN"/>
              </w:rPr>
              <w:t>主导风向</w:t>
            </w:r>
          </w:p>
        </w:tc>
        <w:tc>
          <w:tcPr>
            <w:tcW w:w="2841" w:type="dxa"/>
          </w:tcPr>
          <w:p>
            <w:pPr>
              <w:keepNext w:val="0"/>
              <w:keepLines w:val="0"/>
              <w:suppressLineNumbers w:val="0"/>
              <w:bidi w:val="0"/>
              <w:spacing w:before="0" w:beforeAutospacing="0" w:after="0" w:afterAutospacing="0"/>
              <w:ind w:left="0" w:right="0"/>
              <w:jc w:val="center"/>
              <w:rPr>
                <w:rFonts w:hint="default"/>
                <w:color w:val="auto"/>
                <w:vertAlign w:val="baseline"/>
                <w:lang w:val="en-US" w:eastAsia="zh-CN"/>
              </w:rPr>
            </w:pPr>
            <w:r>
              <w:rPr>
                <w:rFonts w:hint="eastAsia"/>
                <w:color w:val="auto"/>
                <w:vertAlign w:val="baseline"/>
                <w:lang w:val="en-US" w:eastAsia="zh-CN"/>
              </w:rPr>
              <w:t>SSE</w:t>
            </w:r>
          </w:p>
        </w:tc>
      </w:tr>
    </w:tbl>
    <w:p>
      <w:pPr>
        <w:pStyle w:val="6"/>
        <w:bidi w:val="0"/>
        <w:rPr>
          <w:rFonts w:hint="default" w:ascii="Times New Roman" w:hAnsi="Times New Roman" w:cs="Times New Roman"/>
          <w:color w:val="auto"/>
          <w:highlight w:val="none"/>
        </w:rPr>
      </w:pPr>
      <w:bookmarkStart w:id="100" w:name="_Toc23764"/>
      <w:r>
        <w:rPr>
          <w:rFonts w:hint="default" w:ascii="Times New Roman" w:hAnsi="Times New Roman" w:cs="Times New Roman"/>
          <w:color w:val="auto"/>
          <w:highlight w:val="none"/>
        </w:rPr>
        <w:t>5.2.</w:t>
      </w:r>
      <w:r>
        <w:rPr>
          <w:rFonts w:hint="eastAsia" w:cs="Times New Roman"/>
          <w:color w:val="auto"/>
          <w:highlight w:val="none"/>
          <w:lang w:val="en-US" w:eastAsia="zh-CN"/>
        </w:rPr>
        <w:t>2</w:t>
      </w:r>
      <w:r>
        <w:rPr>
          <w:rFonts w:hint="default" w:ascii="Times New Roman" w:hAnsi="Times New Roman" w:cs="Times New Roman"/>
          <w:color w:val="auto"/>
          <w:highlight w:val="none"/>
        </w:rPr>
        <w:t>大气环境影响预测</w:t>
      </w:r>
      <w:bookmarkEnd w:id="100"/>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（1）预测因子选择</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根据工程污染源的污染物排放情况，确定本次大气预测的预测因子为NH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和H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依据《环境影响评价技术导则大气环境》（HJ2.2-2018）中5.3节工作等级的确定方法，结合项目工程分析结果，选择正常排放的主要污染物及排放参数，采用附录A推荐模型中的AERSCREEN模式计算项目污染源的最大环境影响，然后按评价工作分级判据进行分级。</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分别计算项目排放主要污染的最大地面空气质量浓度占标率Pi（第i个污染物，简称最大浓度占标率），及第i个污染物的地面空气质量浓度达到标准限值10％时所对应的最远距离D</w:t>
      </w:r>
      <w:r>
        <w:rPr>
          <w:rFonts w:hint="default" w:ascii="Times New Roman" w:hAnsi="Times New Roman" w:cs="Times New Roman"/>
          <w:color w:val="auto"/>
          <w:highlight w:val="none"/>
          <w:vertAlign w:val="subscript"/>
        </w:rPr>
        <w:t>10%</w:t>
      </w:r>
      <w:r>
        <w:rPr>
          <w:rFonts w:hint="default" w:ascii="Times New Roman" w:hAnsi="Times New Roman" w:cs="Times New Roman"/>
          <w:color w:val="auto"/>
          <w:highlight w:val="none"/>
        </w:rPr>
        <w:t>，其中Pi定义为：</w:t>
      </w:r>
    </w:p>
    <w:p>
      <w:pPr>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drawing>
          <wp:inline distT="0" distB="0" distL="0" distR="0">
            <wp:extent cx="1016000" cy="445135"/>
            <wp:effectExtent l="0" t="0" r="12700" b="12065"/>
            <wp:docPr id="118" name="IM 118"/>
            <wp:cNvGraphicFramePr/>
            <a:graphic xmlns:a="http://schemas.openxmlformats.org/drawingml/2006/main">
              <a:graphicData uri="http://schemas.openxmlformats.org/drawingml/2006/picture">
                <pic:pic xmlns:pic="http://schemas.openxmlformats.org/drawingml/2006/picture">
                  <pic:nvPicPr>
                    <pic:cNvPr id="118" name="IM 118"/>
                    <pic:cNvPicPr/>
                  </pic:nvPicPr>
                  <pic:blipFill>
                    <a:blip r:embed="rId15"/>
                    <a:stretch>
                      <a:fillRect/>
                    </a:stretch>
                  </pic:blipFill>
                  <pic:spPr>
                    <a:xfrm>
                      <a:off x="0" y="0"/>
                      <a:ext cx="1016634" cy="445135"/>
                    </a:xfrm>
                    <a:prstGeom prst="rect">
                      <a:avLst/>
                    </a:prstGeom>
                  </pic:spPr>
                </pic:pic>
              </a:graphicData>
            </a:graphic>
          </wp:inline>
        </w:drawing>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式中：Pi——第i个污染物的最大地面空气质量浓度占标率，%；</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Ci——采用估算模型计算出的第i个污染物的最大1h地面空气质量浓度，ug/m3；</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Coi——第i个污染物的环境空气质量浓度标准，ug/m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选用GB3095中1小时平均质量浓度的二级浓度限值，如项目位于一类环境空气功能区，应选择相应的一级浓度限值；对该标准中未包含的污染物，使用各评价因子1h平均质量浓度限值。对仅有8h平均质量浓度限值、日平均质量浓度限值或年平均质量浓度限值的，可分别按2倍、3倍、6倍折算为1h平均质量浓度限值。</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（2）估算模型参数</w:t>
      </w:r>
    </w:p>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AERSCRREN估算模型参数选取详见表</w:t>
      </w:r>
      <w:r>
        <w:rPr>
          <w:rFonts w:hint="eastAsia" w:ascii="Times New Roman" w:hAnsi="Times New Roman" w:cs="Times New Roman"/>
          <w:color w:val="auto"/>
          <w:highlight w:val="none"/>
          <w:lang w:val="en-US" w:eastAsia="zh-CN"/>
        </w:rPr>
        <w:t>5.2-1</w:t>
      </w:r>
      <w:r>
        <w:rPr>
          <w:rFonts w:hint="default" w:ascii="Times New Roman" w:hAnsi="Times New Roman" w:cs="Times New Roman"/>
          <w:color w:val="auto"/>
          <w:highlight w:val="none"/>
        </w:rPr>
        <w:t>。</w:t>
      </w:r>
    </w:p>
    <w:p>
      <w:pPr>
        <w:pStyle w:val="22"/>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表</w:t>
      </w:r>
      <w:r>
        <w:rPr>
          <w:rFonts w:hint="eastAsia" w:ascii="Times New Roman" w:hAnsi="Times New Roman" w:cs="Times New Roman"/>
          <w:b/>
          <w:bCs/>
          <w:color w:val="auto"/>
          <w:highlight w:val="none"/>
          <w:lang w:val="en-US" w:eastAsia="zh-CN"/>
        </w:rPr>
        <w:t>5.2-1</w:t>
      </w:r>
      <w:r>
        <w:rPr>
          <w:rFonts w:hint="default" w:ascii="Times New Roman" w:hAnsi="Times New Roman" w:cs="Times New Roman"/>
          <w:b/>
          <w:bCs/>
          <w:color w:val="auto"/>
          <w:highlight w:val="none"/>
        </w:rPr>
        <w:t>估算模型参数表</w:t>
      </w:r>
    </w:p>
    <w:tbl>
      <w:tblPr>
        <w:tblStyle w:val="23"/>
        <w:tblW w:w="832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766"/>
        <w:gridCol w:w="2789"/>
        <w:gridCol w:w="27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555" w:type="dxa"/>
            <w:gridSpan w:val="2"/>
            <w:vAlign w:val="center"/>
          </w:tcPr>
          <w:p>
            <w:pPr>
              <w:pStyle w:val="22"/>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参数</w:t>
            </w:r>
          </w:p>
        </w:tc>
        <w:tc>
          <w:tcPr>
            <w:tcW w:w="2771" w:type="dxa"/>
            <w:vAlign w:val="center"/>
          </w:tcPr>
          <w:p>
            <w:pPr>
              <w:pStyle w:val="22"/>
              <w:bidi w:val="0"/>
              <w:jc w:val="center"/>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取值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2766" w:type="dxa"/>
            <w:vMerge w:val="restart"/>
            <w:tcBorders>
              <w:bottom w:val="nil"/>
            </w:tcBorders>
            <w:vAlign w:val="center"/>
          </w:tcPr>
          <w:p>
            <w:pPr>
              <w:pStyle w:val="2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城市/农村选项</w:t>
            </w:r>
          </w:p>
        </w:tc>
        <w:tc>
          <w:tcPr>
            <w:tcW w:w="2789" w:type="dxa"/>
            <w:vAlign w:val="center"/>
          </w:tcPr>
          <w:p>
            <w:pPr>
              <w:pStyle w:val="2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城市/农村</w:t>
            </w:r>
          </w:p>
        </w:tc>
        <w:tc>
          <w:tcPr>
            <w:tcW w:w="2771" w:type="dxa"/>
            <w:vAlign w:val="center"/>
          </w:tcPr>
          <w:p>
            <w:pPr>
              <w:pStyle w:val="2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农村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2766" w:type="dxa"/>
            <w:vMerge w:val="continue"/>
            <w:tcBorders>
              <w:top w:val="nil"/>
            </w:tcBorders>
            <w:vAlign w:val="center"/>
          </w:tcPr>
          <w:p>
            <w:pPr>
              <w:pStyle w:val="22"/>
              <w:bidi w:val="0"/>
              <w:jc w:val="center"/>
              <w:rPr>
                <w:rFonts w:hint="default" w:ascii="Times New Roman" w:hAnsi="Times New Roman" w:cs="Times New Roman"/>
                <w:color w:val="auto"/>
                <w:highlight w:val="none"/>
              </w:rPr>
            </w:pPr>
          </w:p>
        </w:tc>
        <w:tc>
          <w:tcPr>
            <w:tcW w:w="2789" w:type="dxa"/>
            <w:vAlign w:val="center"/>
          </w:tcPr>
          <w:p>
            <w:pPr>
              <w:pStyle w:val="2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人口数（城市选项时）</w:t>
            </w:r>
          </w:p>
        </w:tc>
        <w:tc>
          <w:tcPr>
            <w:tcW w:w="2771" w:type="dxa"/>
            <w:vAlign w:val="center"/>
          </w:tcPr>
          <w:p>
            <w:pPr>
              <w:pStyle w:val="2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5555" w:type="dxa"/>
            <w:gridSpan w:val="2"/>
            <w:vAlign w:val="center"/>
          </w:tcPr>
          <w:p>
            <w:pPr>
              <w:pStyle w:val="2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最高环境温度/℃</w:t>
            </w:r>
          </w:p>
        </w:tc>
        <w:tc>
          <w:tcPr>
            <w:tcW w:w="2771" w:type="dxa"/>
            <w:vAlign w:val="center"/>
          </w:tcPr>
          <w:p>
            <w:pPr>
              <w:pStyle w:val="2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40.6℃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5555" w:type="dxa"/>
            <w:gridSpan w:val="2"/>
            <w:vAlign w:val="center"/>
          </w:tcPr>
          <w:p>
            <w:pPr>
              <w:pStyle w:val="2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最低环境温度/℃</w:t>
            </w:r>
          </w:p>
        </w:tc>
        <w:tc>
          <w:tcPr>
            <w:tcW w:w="2771" w:type="dxa"/>
            <w:vAlign w:val="center"/>
          </w:tcPr>
          <w:p>
            <w:pPr>
              <w:pStyle w:val="2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-22.8℃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5555" w:type="dxa"/>
            <w:gridSpan w:val="2"/>
            <w:vAlign w:val="center"/>
          </w:tcPr>
          <w:p>
            <w:pPr>
              <w:pStyle w:val="2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土地利用类型</w:t>
            </w:r>
          </w:p>
        </w:tc>
        <w:tc>
          <w:tcPr>
            <w:tcW w:w="2771" w:type="dxa"/>
            <w:vAlign w:val="center"/>
          </w:tcPr>
          <w:p>
            <w:pPr>
              <w:pStyle w:val="22"/>
              <w:bidi w:val="0"/>
              <w:jc w:val="center"/>
              <w:rPr>
                <w:rFonts w:hint="default" w:ascii="Times New Roman" w:hAnsi="Times New Roman" w:cs="Times New Roman"/>
                <w:color w:val="auto"/>
                <w:highlight w:val="none"/>
              </w:rPr>
            </w:pPr>
            <w:r>
              <w:rPr>
                <w:rFonts w:hint="eastAsia"/>
                <w:color w:val="auto"/>
                <w:spacing w:val="0"/>
                <w:position w:val="0"/>
                <w:sz w:val="21"/>
                <w:szCs w:val="21"/>
                <w:highlight w:val="none"/>
                <w:lang w:val="en-US" w:eastAsia="zh-CN"/>
              </w:rPr>
              <w:t>沙漠化荒地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5555" w:type="dxa"/>
            <w:gridSpan w:val="2"/>
            <w:vAlign w:val="center"/>
          </w:tcPr>
          <w:p>
            <w:pPr>
              <w:pStyle w:val="2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区域湿度条件</w:t>
            </w:r>
          </w:p>
        </w:tc>
        <w:tc>
          <w:tcPr>
            <w:tcW w:w="2771" w:type="dxa"/>
            <w:vAlign w:val="center"/>
          </w:tcPr>
          <w:p>
            <w:pPr>
              <w:pStyle w:val="2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干燥气候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2766" w:type="dxa"/>
            <w:vAlign w:val="center"/>
          </w:tcPr>
          <w:p>
            <w:pPr>
              <w:pStyle w:val="2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是否考虑地形</w:t>
            </w:r>
          </w:p>
        </w:tc>
        <w:tc>
          <w:tcPr>
            <w:tcW w:w="2789" w:type="dxa"/>
            <w:vAlign w:val="center"/>
          </w:tcPr>
          <w:p>
            <w:pPr>
              <w:pStyle w:val="2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考虑地形</w:t>
            </w:r>
          </w:p>
        </w:tc>
        <w:tc>
          <w:tcPr>
            <w:tcW w:w="2771" w:type="dxa"/>
            <w:vAlign w:val="center"/>
          </w:tcPr>
          <w:p>
            <w:pPr>
              <w:pStyle w:val="2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2766" w:type="dxa"/>
            <w:vMerge w:val="restart"/>
            <w:vAlign w:val="center"/>
          </w:tcPr>
          <w:p>
            <w:pPr>
              <w:pStyle w:val="22"/>
              <w:bidi w:val="0"/>
              <w:jc w:val="center"/>
              <w:rPr>
                <w:rFonts w:hint="default" w:ascii="Times New Roman" w:hAnsi="Times New Roman" w:cs="Times New Roman"/>
                <w:color w:val="auto"/>
                <w:highlight w:val="none"/>
              </w:rPr>
            </w:pPr>
          </w:p>
          <w:p>
            <w:pPr>
              <w:pStyle w:val="2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是否考虑岸线熏烟</w:t>
            </w:r>
          </w:p>
        </w:tc>
        <w:tc>
          <w:tcPr>
            <w:tcW w:w="2789" w:type="dxa"/>
            <w:vAlign w:val="center"/>
          </w:tcPr>
          <w:p>
            <w:pPr>
              <w:pStyle w:val="2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地形数据分辨率/m</w:t>
            </w:r>
          </w:p>
        </w:tc>
        <w:tc>
          <w:tcPr>
            <w:tcW w:w="2771" w:type="dxa"/>
            <w:vAlign w:val="center"/>
          </w:tcPr>
          <w:p>
            <w:pPr>
              <w:pStyle w:val="2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 w:hRule="atLeast"/>
          <w:jc w:val="center"/>
        </w:trPr>
        <w:tc>
          <w:tcPr>
            <w:tcW w:w="2766" w:type="dxa"/>
            <w:vMerge w:val="continue"/>
            <w:vAlign w:val="center"/>
          </w:tcPr>
          <w:p>
            <w:pPr>
              <w:pStyle w:val="22"/>
              <w:bidi w:val="0"/>
              <w:jc w:val="center"/>
              <w:rPr>
                <w:rFonts w:hint="default" w:ascii="Times New Roman" w:hAnsi="Times New Roman" w:cs="Times New Roman"/>
                <w:color w:val="auto"/>
                <w:highlight w:val="none"/>
              </w:rPr>
            </w:pPr>
          </w:p>
        </w:tc>
        <w:tc>
          <w:tcPr>
            <w:tcW w:w="2789" w:type="dxa"/>
            <w:vAlign w:val="center"/>
          </w:tcPr>
          <w:p>
            <w:pPr>
              <w:pStyle w:val="2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考虑岸线熏烟</w:t>
            </w:r>
          </w:p>
        </w:tc>
        <w:tc>
          <w:tcPr>
            <w:tcW w:w="2771" w:type="dxa"/>
            <w:vAlign w:val="center"/>
          </w:tcPr>
          <w:p>
            <w:pPr>
              <w:pStyle w:val="2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2766" w:type="dxa"/>
            <w:vMerge w:val="continue"/>
            <w:vAlign w:val="center"/>
          </w:tcPr>
          <w:p>
            <w:pPr>
              <w:pStyle w:val="22"/>
              <w:bidi w:val="0"/>
              <w:jc w:val="center"/>
              <w:rPr>
                <w:rFonts w:hint="default" w:ascii="Times New Roman" w:hAnsi="Times New Roman" w:cs="Times New Roman"/>
                <w:color w:val="auto"/>
                <w:highlight w:val="none"/>
              </w:rPr>
            </w:pPr>
          </w:p>
        </w:tc>
        <w:tc>
          <w:tcPr>
            <w:tcW w:w="2789" w:type="dxa"/>
            <w:vAlign w:val="center"/>
          </w:tcPr>
          <w:p>
            <w:pPr>
              <w:pStyle w:val="2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岸线距离/km</w:t>
            </w:r>
          </w:p>
        </w:tc>
        <w:tc>
          <w:tcPr>
            <w:tcW w:w="2771" w:type="dxa"/>
            <w:vAlign w:val="center"/>
          </w:tcPr>
          <w:p>
            <w:pPr>
              <w:pStyle w:val="2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jc w:val="center"/>
        </w:trPr>
        <w:tc>
          <w:tcPr>
            <w:tcW w:w="2766" w:type="dxa"/>
            <w:vMerge w:val="continue"/>
            <w:vAlign w:val="center"/>
          </w:tcPr>
          <w:p>
            <w:pPr>
              <w:pStyle w:val="22"/>
              <w:bidi w:val="0"/>
              <w:jc w:val="center"/>
              <w:rPr>
                <w:rFonts w:hint="default" w:ascii="Times New Roman" w:hAnsi="Times New Roman" w:cs="Times New Roman"/>
                <w:color w:val="auto"/>
                <w:highlight w:val="none"/>
              </w:rPr>
            </w:pPr>
          </w:p>
        </w:tc>
        <w:tc>
          <w:tcPr>
            <w:tcW w:w="2789" w:type="dxa"/>
            <w:vAlign w:val="center"/>
          </w:tcPr>
          <w:p>
            <w:pPr>
              <w:pStyle w:val="2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岸线方向/º</w:t>
            </w:r>
          </w:p>
        </w:tc>
        <w:tc>
          <w:tcPr>
            <w:tcW w:w="2771" w:type="dxa"/>
            <w:vAlign w:val="center"/>
          </w:tcPr>
          <w:p>
            <w:pPr>
              <w:pStyle w:val="22"/>
              <w:bidi w:val="0"/>
              <w:jc w:val="center"/>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r>
    </w:tbl>
    <w:p>
      <w:pPr>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（3）源强：污水处理站废气源强详见下表。</w:t>
      </w:r>
    </w:p>
    <w:p>
      <w:pPr>
        <w:pStyle w:val="22"/>
        <w:bidi w:val="0"/>
        <w:rPr>
          <w:b/>
          <w:bCs/>
          <w:color w:val="auto"/>
        </w:rPr>
      </w:pPr>
      <w:r>
        <w:rPr>
          <w:b/>
          <w:bCs/>
          <w:color w:val="auto"/>
        </w:rPr>
        <w:t>表</w:t>
      </w:r>
      <w:r>
        <w:rPr>
          <w:rFonts w:hint="eastAsia"/>
          <w:b/>
          <w:bCs/>
          <w:color w:val="auto"/>
          <w:lang w:val="en-US" w:eastAsia="zh-CN"/>
        </w:rPr>
        <w:t>5</w:t>
      </w:r>
      <w:r>
        <w:rPr>
          <w:b/>
          <w:bCs/>
          <w:color w:val="auto"/>
        </w:rPr>
        <w:t>.2-</w:t>
      </w:r>
      <w:r>
        <w:rPr>
          <w:rFonts w:hint="eastAsia"/>
          <w:b/>
          <w:bCs/>
          <w:color w:val="auto"/>
          <w:lang w:val="en-US" w:eastAsia="zh-CN"/>
        </w:rPr>
        <w:t>2</w:t>
      </w:r>
      <w:r>
        <w:rPr>
          <w:b/>
          <w:bCs/>
          <w:color w:val="auto"/>
        </w:rPr>
        <w:t>面源参数表</w:t>
      </w:r>
    </w:p>
    <w:tbl>
      <w:tblPr>
        <w:tblStyle w:val="23"/>
        <w:tblW w:w="897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9"/>
        <w:gridCol w:w="750"/>
        <w:gridCol w:w="911"/>
        <w:gridCol w:w="818"/>
        <w:gridCol w:w="722"/>
        <w:gridCol w:w="772"/>
        <w:gridCol w:w="583"/>
        <w:gridCol w:w="788"/>
        <w:gridCol w:w="655"/>
        <w:gridCol w:w="1108"/>
        <w:gridCol w:w="13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jc w:val="center"/>
        </w:trPr>
        <w:tc>
          <w:tcPr>
            <w:tcW w:w="479" w:type="dxa"/>
            <w:vMerge w:val="restart"/>
            <w:tcBorders>
              <w:bottom w:val="nil"/>
            </w:tcBorders>
            <w:textDirection w:val="tbRlV"/>
            <w:vAlign w:val="center"/>
          </w:tcPr>
          <w:p>
            <w:pPr>
              <w:pStyle w:val="22"/>
              <w:bidi w:val="0"/>
              <w:rPr>
                <w:color w:val="auto"/>
              </w:rPr>
            </w:pPr>
            <w:r>
              <w:rPr>
                <w:color w:val="auto"/>
              </w:rPr>
              <w:t>编号</w:t>
            </w:r>
          </w:p>
        </w:tc>
        <w:tc>
          <w:tcPr>
            <w:tcW w:w="750" w:type="dxa"/>
            <w:vMerge w:val="restart"/>
            <w:tcBorders>
              <w:bottom w:val="nil"/>
            </w:tcBorders>
            <w:textDirection w:val="tbRlV"/>
            <w:vAlign w:val="center"/>
          </w:tcPr>
          <w:p>
            <w:pPr>
              <w:pStyle w:val="22"/>
              <w:bidi w:val="0"/>
              <w:rPr>
                <w:color w:val="auto"/>
              </w:rPr>
            </w:pPr>
            <w:r>
              <w:rPr>
                <w:color w:val="auto"/>
              </w:rPr>
              <w:t>名称</w:t>
            </w:r>
          </w:p>
        </w:tc>
        <w:tc>
          <w:tcPr>
            <w:tcW w:w="911" w:type="dxa"/>
            <w:vMerge w:val="restart"/>
            <w:tcBorders>
              <w:bottom w:val="nil"/>
            </w:tcBorders>
            <w:vAlign w:val="center"/>
          </w:tcPr>
          <w:p>
            <w:pPr>
              <w:pStyle w:val="22"/>
              <w:bidi w:val="0"/>
              <w:rPr>
                <w:color w:val="auto"/>
              </w:rPr>
            </w:pPr>
            <w:r>
              <w:rPr>
                <w:color w:val="auto"/>
              </w:rPr>
              <w:t>面源海拔</w:t>
            </w:r>
          </w:p>
          <w:p>
            <w:pPr>
              <w:pStyle w:val="22"/>
              <w:bidi w:val="0"/>
              <w:rPr>
                <w:color w:val="auto"/>
              </w:rPr>
            </w:pPr>
            <w:r>
              <w:rPr>
                <w:color w:val="auto"/>
              </w:rPr>
              <w:t>高度/m</w:t>
            </w:r>
          </w:p>
        </w:tc>
        <w:tc>
          <w:tcPr>
            <w:tcW w:w="818" w:type="dxa"/>
            <w:vMerge w:val="restart"/>
            <w:tcBorders>
              <w:bottom w:val="nil"/>
            </w:tcBorders>
            <w:vAlign w:val="center"/>
          </w:tcPr>
          <w:p>
            <w:pPr>
              <w:pStyle w:val="22"/>
              <w:bidi w:val="0"/>
              <w:jc w:val="center"/>
              <w:rPr>
                <w:color w:val="auto"/>
              </w:rPr>
            </w:pPr>
            <w:r>
              <w:rPr>
                <w:color w:val="auto"/>
              </w:rPr>
              <w:t>面源长度/m</w:t>
            </w:r>
          </w:p>
        </w:tc>
        <w:tc>
          <w:tcPr>
            <w:tcW w:w="722" w:type="dxa"/>
            <w:vMerge w:val="restart"/>
            <w:tcBorders>
              <w:bottom w:val="nil"/>
              <w:right w:val="single" w:color="000000" w:sz="4" w:space="0"/>
            </w:tcBorders>
            <w:vAlign w:val="center"/>
          </w:tcPr>
          <w:p>
            <w:pPr>
              <w:pStyle w:val="22"/>
              <w:bidi w:val="0"/>
              <w:jc w:val="center"/>
              <w:rPr>
                <w:color w:val="auto"/>
              </w:rPr>
            </w:pPr>
            <w:r>
              <w:rPr>
                <w:color w:val="auto"/>
              </w:rPr>
              <w:t>面源宽度/m</w:t>
            </w:r>
          </w:p>
        </w:tc>
        <w:tc>
          <w:tcPr>
            <w:tcW w:w="772" w:type="dxa"/>
            <w:vMerge w:val="restart"/>
            <w:tcBorders>
              <w:left w:val="single" w:color="000000" w:sz="4" w:space="0"/>
              <w:bottom w:val="nil"/>
            </w:tcBorders>
            <w:vAlign w:val="center"/>
          </w:tcPr>
          <w:p>
            <w:pPr>
              <w:pStyle w:val="22"/>
              <w:bidi w:val="0"/>
              <w:jc w:val="center"/>
              <w:rPr>
                <w:color w:val="auto"/>
              </w:rPr>
            </w:pPr>
            <w:r>
              <w:rPr>
                <w:color w:val="auto"/>
              </w:rPr>
              <w:t>与正北方向夹角/°</w:t>
            </w:r>
          </w:p>
        </w:tc>
        <w:tc>
          <w:tcPr>
            <w:tcW w:w="583" w:type="dxa"/>
            <w:vMerge w:val="restart"/>
            <w:tcBorders>
              <w:bottom w:val="nil"/>
            </w:tcBorders>
            <w:vAlign w:val="center"/>
          </w:tcPr>
          <w:p>
            <w:pPr>
              <w:pStyle w:val="22"/>
              <w:bidi w:val="0"/>
              <w:jc w:val="center"/>
              <w:rPr>
                <w:color w:val="auto"/>
              </w:rPr>
            </w:pPr>
            <w:r>
              <w:rPr>
                <w:color w:val="auto"/>
              </w:rPr>
              <w:t>面源有效排放高度/m</w:t>
            </w:r>
          </w:p>
        </w:tc>
        <w:tc>
          <w:tcPr>
            <w:tcW w:w="788" w:type="dxa"/>
            <w:vMerge w:val="restart"/>
            <w:tcBorders>
              <w:bottom w:val="nil"/>
            </w:tcBorders>
            <w:vAlign w:val="center"/>
          </w:tcPr>
          <w:p>
            <w:pPr>
              <w:pStyle w:val="22"/>
              <w:bidi w:val="0"/>
              <w:rPr>
                <w:color w:val="auto"/>
              </w:rPr>
            </w:pPr>
          </w:p>
          <w:p>
            <w:pPr>
              <w:pStyle w:val="22"/>
              <w:bidi w:val="0"/>
              <w:jc w:val="center"/>
              <w:rPr>
                <w:color w:val="auto"/>
              </w:rPr>
            </w:pPr>
            <w:r>
              <w:rPr>
                <w:color w:val="auto"/>
              </w:rPr>
              <w:t>年排放小时数/h</w:t>
            </w:r>
          </w:p>
        </w:tc>
        <w:tc>
          <w:tcPr>
            <w:tcW w:w="655" w:type="dxa"/>
            <w:vMerge w:val="restart"/>
            <w:tcBorders>
              <w:bottom w:val="nil"/>
            </w:tcBorders>
            <w:textDirection w:val="tbRlV"/>
            <w:vAlign w:val="center"/>
          </w:tcPr>
          <w:p>
            <w:pPr>
              <w:pStyle w:val="22"/>
              <w:bidi w:val="0"/>
              <w:rPr>
                <w:color w:val="auto"/>
              </w:rPr>
            </w:pPr>
            <w:r>
              <w:rPr>
                <w:color w:val="auto"/>
              </w:rPr>
              <w:t>排放工况</w:t>
            </w:r>
          </w:p>
        </w:tc>
        <w:tc>
          <w:tcPr>
            <w:tcW w:w="2497" w:type="dxa"/>
            <w:gridSpan w:val="2"/>
            <w:vAlign w:val="center"/>
          </w:tcPr>
          <w:p>
            <w:pPr>
              <w:pStyle w:val="22"/>
              <w:bidi w:val="0"/>
              <w:rPr>
                <w:color w:val="auto"/>
              </w:rPr>
            </w:pPr>
            <w:r>
              <w:rPr>
                <w:color w:val="auto"/>
              </w:rPr>
              <w:t>污染物排放速率</w:t>
            </w:r>
          </w:p>
          <w:p>
            <w:pPr>
              <w:pStyle w:val="22"/>
              <w:bidi w:val="0"/>
              <w:rPr>
                <w:color w:val="auto"/>
              </w:rPr>
            </w:pPr>
            <w:r>
              <w:rPr>
                <w:color w:val="auto"/>
              </w:rPr>
              <w:t>/(g/</w:t>
            </w:r>
            <w:r>
              <w:rPr>
                <w:rFonts w:hint="eastAsia"/>
                <w:color w:val="auto"/>
                <w:lang w:val="en-US" w:eastAsia="zh-CN"/>
              </w:rPr>
              <w:t>s</w:t>
            </w:r>
            <w:r>
              <w:rPr>
                <w:color w:val="auto"/>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7" w:hRule="atLeast"/>
          <w:jc w:val="center"/>
        </w:trPr>
        <w:tc>
          <w:tcPr>
            <w:tcW w:w="479" w:type="dxa"/>
            <w:vMerge w:val="continue"/>
            <w:tcBorders>
              <w:top w:val="nil"/>
            </w:tcBorders>
            <w:textDirection w:val="tbRlV"/>
            <w:vAlign w:val="center"/>
          </w:tcPr>
          <w:p>
            <w:pPr>
              <w:pStyle w:val="22"/>
              <w:bidi w:val="0"/>
              <w:rPr>
                <w:color w:val="auto"/>
              </w:rPr>
            </w:pPr>
          </w:p>
        </w:tc>
        <w:tc>
          <w:tcPr>
            <w:tcW w:w="750" w:type="dxa"/>
            <w:vMerge w:val="continue"/>
            <w:tcBorders>
              <w:top w:val="nil"/>
            </w:tcBorders>
            <w:textDirection w:val="tbRlV"/>
            <w:vAlign w:val="center"/>
          </w:tcPr>
          <w:p>
            <w:pPr>
              <w:pStyle w:val="22"/>
              <w:bidi w:val="0"/>
              <w:rPr>
                <w:color w:val="auto"/>
              </w:rPr>
            </w:pPr>
          </w:p>
        </w:tc>
        <w:tc>
          <w:tcPr>
            <w:tcW w:w="911" w:type="dxa"/>
            <w:vMerge w:val="continue"/>
            <w:tcBorders>
              <w:top w:val="nil"/>
            </w:tcBorders>
            <w:vAlign w:val="center"/>
          </w:tcPr>
          <w:p>
            <w:pPr>
              <w:pStyle w:val="22"/>
              <w:bidi w:val="0"/>
              <w:rPr>
                <w:color w:val="auto"/>
              </w:rPr>
            </w:pPr>
          </w:p>
        </w:tc>
        <w:tc>
          <w:tcPr>
            <w:tcW w:w="818" w:type="dxa"/>
            <w:vMerge w:val="continue"/>
            <w:tcBorders>
              <w:top w:val="nil"/>
            </w:tcBorders>
            <w:vAlign w:val="center"/>
          </w:tcPr>
          <w:p>
            <w:pPr>
              <w:pStyle w:val="22"/>
              <w:bidi w:val="0"/>
              <w:rPr>
                <w:color w:val="auto"/>
              </w:rPr>
            </w:pPr>
          </w:p>
        </w:tc>
        <w:tc>
          <w:tcPr>
            <w:tcW w:w="722" w:type="dxa"/>
            <w:vMerge w:val="continue"/>
            <w:tcBorders>
              <w:top w:val="nil"/>
              <w:right w:val="single" w:color="000000" w:sz="4" w:space="0"/>
            </w:tcBorders>
            <w:vAlign w:val="center"/>
          </w:tcPr>
          <w:p>
            <w:pPr>
              <w:pStyle w:val="22"/>
              <w:bidi w:val="0"/>
              <w:rPr>
                <w:color w:val="auto"/>
              </w:rPr>
            </w:pPr>
          </w:p>
        </w:tc>
        <w:tc>
          <w:tcPr>
            <w:tcW w:w="772" w:type="dxa"/>
            <w:vMerge w:val="continue"/>
            <w:tcBorders>
              <w:top w:val="nil"/>
              <w:left w:val="single" w:color="000000" w:sz="4" w:space="0"/>
            </w:tcBorders>
            <w:vAlign w:val="center"/>
          </w:tcPr>
          <w:p>
            <w:pPr>
              <w:pStyle w:val="22"/>
              <w:bidi w:val="0"/>
              <w:rPr>
                <w:color w:val="auto"/>
              </w:rPr>
            </w:pPr>
          </w:p>
        </w:tc>
        <w:tc>
          <w:tcPr>
            <w:tcW w:w="583" w:type="dxa"/>
            <w:vMerge w:val="continue"/>
            <w:tcBorders>
              <w:top w:val="nil"/>
            </w:tcBorders>
            <w:vAlign w:val="center"/>
          </w:tcPr>
          <w:p>
            <w:pPr>
              <w:pStyle w:val="22"/>
              <w:bidi w:val="0"/>
              <w:rPr>
                <w:color w:val="auto"/>
              </w:rPr>
            </w:pPr>
          </w:p>
        </w:tc>
        <w:tc>
          <w:tcPr>
            <w:tcW w:w="788" w:type="dxa"/>
            <w:vMerge w:val="continue"/>
            <w:tcBorders>
              <w:top w:val="nil"/>
            </w:tcBorders>
            <w:vAlign w:val="center"/>
          </w:tcPr>
          <w:p>
            <w:pPr>
              <w:pStyle w:val="22"/>
              <w:bidi w:val="0"/>
              <w:rPr>
                <w:color w:val="auto"/>
              </w:rPr>
            </w:pPr>
          </w:p>
        </w:tc>
        <w:tc>
          <w:tcPr>
            <w:tcW w:w="655" w:type="dxa"/>
            <w:vMerge w:val="continue"/>
            <w:tcBorders>
              <w:top w:val="nil"/>
            </w:tcBorders>
            <w:textDirection w:val="tbRlV"/>
            <w:vAlign w:val="center"/>
          </w:tcPr>
          <w:p>
            <w:pPr>
              <w:pStyle w:val="22"/>
              <w:bidi w:val="0"/>
              <w:rPr>
                <w:color w:val="auto"/>
              </w:rPr>
            </w:pPr>
          </w:p>
        </w:tc>
        <w:tc>
          <w:tcPr>
            <w:tcW w:w="1108" w:type="dxa"/>
            <w:vAlign w:val="center"/>
          </w:tcPr>
          <w:p>
            <w:pPr>
              <w:pStyle w:val="22"/>
              <w:bidi w:val="0"/>
              <w:rPr>
                <w:color w:val="auto"/>
              </w:rPr>
            </w:pPr>
            <w:r>
              <w:rPr>
                <w:color w:val="auto"/>
              </w:rPr>
              <w:t>NH</w:t>
            </w:r>
            <w:r>
              <w:rPr>
                <w:color w:val="auto"/>
                <w:vertAlign w:val="subscript"/>
              </w:rPr>
              <w:t>3</w:t>
            </w:r>
          </w:p>
        </w:tc>
        <w:tc>
          <w:tcPr>
            <w:tcW w:w="1389" w:type="dxa"/>
            <w:vAlign w:val="center"/>
          </w:tcPr>
          <w:p>
            <w:pPr>
              <w:pStyle w:val="22"/>
              <w:bidi w:val="0"/>
              <w:rPr>
                <w:color w:val="auto"/>
              </w:rPr>
            </w:pPr>
            <w:r>
              <w:rPr>
                <w:color w:val="auto"/>
              </w:rPr>
              <w:t>H</w:t>
            </w:r>
            <w:r>
              <w:rPr>
                <w:color w:val="auto"/>
                <w:vertAlign w:val="subscript"/>
              </w:rPr>
              <w:t>2</w:t>
            </w:r>
            <w:r>
              <w:rPr>
                <w:color w:val="auto"/>
              </w:rPr>
              <w: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jc w:val="center"/>
        </w:trPr>
        <w:tc>
          <w:tcPr>
            <w:tcW w:w="479" w:type="dxa"/>
            <w:vAlign w:val="center"/>
          </w:tcPr>
          <w:p>
            <w:pPr>
              <w:pStyle w:val="22"/>
              <w:bidi w:val="0"/>
              <w:rPr>
                <w:color w:val="auto"/>
              </w:rPr>
            </w:pPr>
            <w:r>
              <w:rPr>
                <w:color w:val="auto"/>
              </w:rPr>
              <w:t>1</w:t>
            </w:r>
          </w:p>
        </w:tc>
        <w:tc>
          <w:tcPr>
            <w:tcW w:w="750" w:type="dxa"/>
            <w:vAlign w:val="center"/>
          </w:tcPr>
          <w:p>
            <w:pPr>
              <w:pStyle w:val="22"/>
              <w:bidi w:val="0"/>
              <w:rPr>
                <w:rFonts w:hint="default"/>
                <w:color w:val="auto"/>
                <w:lang w:val="en-US" w:eastAsia="zh-CN"/>
              </w:rPr>
            </w:pPr>
            <w:r>
              <w:rPr>
                <w:rFonts w:hint="eastAsia"/>
                <w:color w:val="auto"/>
                <w:lang w:val="en-US" w:eastAsia="zh-CN"/>
              </w:rPr>
              <w:t>污水处理站</w:t>
            </w:r>
          </w:p>
        </w:tc>
        <w:tc>
          <w:tcPr>
            <w:tcW w:w="911" w:type="dxa"/>
            <w:vAlign w:val="center"/>
          </w:tcPr>
          <w:p>
            <w:pPr>
              <w:pStyle w:val="22"/>
              <w:bidi w:val="0"/>
              <w:rPr>
                <w:rFonts w:hint="default" w:eastAsia="宋体"/>
                <w:color w:val="auto"/>
                <w:lang w:val="en-US" w:eastAsia="zh-CN"/>
              </w:rPr>
            </w:pPr>
            <w:r>
              <w:rPr>
                <w:rFonts w:hint="eastAsia"/>
                <w:color w:val="auto"/>
                <w:lang w:val="en-US" w:eastAsia="zh-CN"/>
              </w:rPr>
              <w:t>1329</w:t>
            </w:r>
          </w:p>
        </w:tc>
        <w:tc>
          <w:tcPr>
            <w:tcW w:w="818" w:type="dxa"/>
            <w:vAlign w:val="center"/>
          </w:tcPr>
          <w:p>
            <w:pPr>
              <w:pStyle w:val="22"/>
              <w:bidi w:val="0"/>
              <w:rPr>
                <w:rFonts w:hint="default" w:eastAsia="宋体"/>
                <w:color w:val="auto"/>
                <w:lang w:val="en-US" w:eastAsia="zh-CN"/>
              </w:rPr>
            </w:pPr>
            <w:r>
              <w:rPr>
                <w:rFonts w:hint="eastAsia"/>
                <w:color w:val="auto"/>
                <w:lang w:val="en-US" w:eastAsia="zh-CN"/>
              </w:rPr>
              <w:t>2.5</w:t>
            </w:r>
          </w:p>
        </w:tc>
        <w:tc>
          <w:tcPr>
            <w:tcW w:w="722" w:type="dxa"/>
            <w:tcBorders>
              <w:right w:val="single" w:color="000000" w:sz="4" w:space="0"/>
            </w:tcBorders>
            <w:vAlign w:val="center"/>
          </w:tcPr>
          <w:p>
            <w:pPr>
              <w:pStyle w:val="22"/>
              <w:bidi w:val="0"/>
              <w:rPr>
                <w:rFonts w:hint="default" w:eastAsia="宋体"/>
                <w:color w:val="auto"/>
                <w:lang w:val="en-US" w:eastAsia="zh-CN"/>
              </w:rPr>
            </w:pPr>
            <w:r>
              <w:rPr>
                <w:rFonts w:hint="eastAsia"/>
                <w:color w:val="auto"/>
                <w:lang w:val="en-US" w:eastAsia="zh-CN"/>
              </w:rPr>
              <w:t>2</w:t>
            </w:r>
          </w:p>
        </w:tc>
        <w:tc>
          <w:tcPr>
            <w:tcW w:w="772" w:type="dxa"/>
            <w:tcBorders>
              <w:left w:val="single" w:color="000000" w:sz="4" w:space="0"/>
            </w:tcBorders>
            <w:vAlign w:val="center"/>
          </w:tcPr>
          <w:p>
            <w:pPr>
              <w:pStyle w:val="22"/>
              <w:bidi w:val="0"/>
              <w:rPr>
                <w:color w:val="auto"/>
              </w:rPr>
            </w:pPr>
            <w:r>
              <w:rPr>
                <w:color w:val="auto"/>
              </w:rPr>
              <w:t>0</w:t>
            </w:r>
          </w:p>
        </w:tc>
        <w:tc>
          <w:tcPr>
            <w:tcW w:w="583" w:type="dxa"/>
            <w:vAlign w:val="center"/>
          </w:tcPr>
          <w:p>
            <w:pPr>
              <w:pStyle w:val="22"/>
              <w:bidi w:val="0"/>
              <w:rPr>
                <w:color w:val="auto"/>
              </w:rPr>
            </w:pPr>
            <w:r>
              <w:rPr>
                <w:color w:val="auto"/>
              </w:rPr>
              <w:t>1</w:t>
            </w:r>
          </w:p>
        </w:tc>
        <w:tc>
          <w:tcPr>
            <w:tcW w:w="788" w:type="dxa"/>
            <w:vAlign w:val="center"/>
          </w:tcPr>
          <w:p>
            <w:pPr>
              <w:pStyle w:val="22"/>
              <w:bidi w:val="0"/>
              <w:rPr>
                <w:color w:val="auto"/>
              </w:rPr>
            </w:pPr>
            <w:r>
              <w:rPr>
                <w:color w:val="auto"/>
              </w:rPr>
              <w:t>8760</w:t>
            </w:r>
          </w:p>
        </w:tc>
        <w:tc>
          <w:tcPr>
            <w:tcW w:w="655" w:type="dxa"/>
            <w:textDirection w:val="tbRlV"/>
            <w:vAlign w:val="center"/>
          </w:tcPr>
          <w:p>
            <w:pPr>
              <w:pStyle w:val="22"/>
              <w:bidi w:val="0"/>
              <w:rPr>
                <w:color w:val="auto"/>
              </w:rPr>
            </w:pPr>
            <w:r>
              <w:rPr>
                <w:color w:val="auto"/>
              </w:rPr>
              <w:t>正常</w:t>
            </w:r>
          </w:p>
        </w:tc>
        <w:tc>
          <w:tcPr>
            <w:tcW w:w="1108" w:type="dxa"/>
            <w:vAlign w:val="center"/>
          </w:tcPr>
          <w:p>
            <w:pPr>
              <w:pStyle w:val="22"/>
              <w:bidi w:val="0"/>
              <w:ind w:firstLine="0" w:firstLineChars="0"/>
              <w:rPr>
                <w:rFonts w:hint="default" w:eastAsia="宋体"/>
                <w:color w:val="auto"/>
                <w:lang w:val="en-US" w:eastAsia="zh-CN"/>
              </w:rPr>
            </w:pPr>
            <w:r>
              <w:rPr>
                <w:rFonts w:hint="eastAsia"/>
                <w:color w:val="auto"/>
                <w:lang w:val="en-US" w:eastAsia="zh-CN"/>
              </w:rPr>
              <w:t>0.0001</w:t>
            </w:r>
          </w:p>
        </w:tc>
        <w:tc>
          <w:tcPr>
            <w:tcW w:w="1389" w:type="dxa"/>
            <w:vAlign w:val="center"/>
          </w:tcPr>
          <w:p>
            <w:pPr>
              <w:pStyle w:val="22"/>
              <w:bidi w:val="0"/>
              <w:ind w:firstLine="0" w:firstLineChars="0"/>
              <w:rPr>
                <w:rFonts w:hint="default" w:eastAsia="宋体"/>
                <w:color w:val="auto"/>
                <w:lang w:val="en-US" w:eastAsia="zh-CN"/>
              </w:rPr>
            </w:pPr>
            <w:r>
              <w:rPr>
                <w:rFonts w:hint="eastAsia"/>
                <w:color w:val="auto"/>
                <w:lang w:val="en-US" w:eastAsia="zh-CN"/>
              </w:rPr>
              <w:t>0.000004</w:t>
            </w:r>
          </w:p>
        </w:tc>
      </w:tr>
    </w:tbl>
    <w:p>
      <w:pPr>
        <w:bidi w:val="0"/>
        <w:rPr>
          <w:color w:val="auto"/>
        </w:rPr>
      </w:pPr>
      <w:r>
        <w:rPr>
          <w:color w:val="auto"/>
        </w:rPr>
        <w:t>（4）预测结果</w:t>
      </w:r>
    </w:p>
    <w:p>
      <w:pPr>
        <w:bidi w:val="0"/>
        <w:rPr>
          <w:color w:val="auto"/>
        </w:rPr>
      </w:pPr>
      <w:r>
        <w:rPr>
          <w:color w:val="auto"/>
        </w:rPr>
        <w:t>污水处理站废气影响预测详见下表。</w:t>
      </w:r>
    </w:p>
    <w:p>
      <w:pPr>
        <w:pStyle w:val="22"/>
        <w:bidi w:val="0"/>
        <w:rPr>
          <w:b/>
          <w:bCs/>
          <w:color w:val="auto"/>
        </w:rPr>
      </w:pPr>
      <w:r>
        <w:rPr>
          <w:b/>
          <w:bCs/>
          <w:color w:val="auto"/>
        </w:rPr>
        <w:t>表</w:t>
      </w:r>
      <w:r>
        <w:rPr>
          <w:rFonts w:hint="eastAsia"/>
          <w:b/>
          <w:bCs/>
          <w:color w:val="auto"/>
          <w:lang w:val="en-US" w:eastAsia="zh-CN"/>
        </w:rPr>
        <w:t>5</w:t>
      </w:r>
      <w:r>
        <w:rPr>
          <w:b/>
          <w:bCs/>
          <w:color w:val="auto"/>
        </w:rPr>
        <w:t>.2-</w:t>
      </w:r>
      <w:r>
        <w:rPr>
          <w:rFonts w:hint="eastAsia"/>
          <w:b/>
          <w:bCs/>
          <w:color w:val="auto"/>
          <w:lang w:val="en-US" w:eastAsia="zh-CN"/>
        </w:rPr>
        <w:t>3</w:t>
      </w:r>
      <w:r>
        <w:rPr>
          <w:b/>
          <w:bCs/>
          <w:color w:val="auto"/>
        </w:rPr>
        <w:t>项目区污水处理站废气估算模式计算结果表</w:t>
      </w:r>
    </w:p>
    <w:tbl>
      <w:tblPr>
        <w:tblStyle w:val="23"/>
        <w:tblW w:w="833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01"/>
        <w:gridCol w:w="1621"/>
        <w:gridCol w:w="1709"/>
        <w:gridCol w:w="1501"/>
        <w:gridCol w:w="15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7" w:hRule="atLeast"/>
          <w:jc w:val="center"/>
        </w:trPr>
        <w:tc>
          <w:tcPr>
            <w:tcW w:w="2001" w:type="dxa"/>
            <w:vMerge w:val="restart"/>
            <w:tcBorders>
              <w:bottom w:val="nil"/>
              <w:tl2br w:val="single" w:color="000000" w:sz="2" w:space="0"/>
            </w:tcBorders>
            <w:vAlign w:val="center"/>
          </w:tcPr>
          <w:p>
            <w:pPr>
              <w:pStyle w:val="22"/>
              <w:bidi w:val="0"/>
              <w:jc w:val="center"/>
              <w:rPr>
                <w:color w:val="auto"/>
              </w:rPr>
            </w:pPr>
            <w:r>
              <w:rPr>
                <w:color w:val="auto"/>
              </w:rPr>
              <w:t>污染物</w:t>
            </w:r>
          </w:p>
          <w:p>
            <w:pPr>
              <w:pStyle w:val="22"/>
              <w:bidi w:val="0"/>
              <w:ind w:firstLine="210" w:firstLineChars="100"/>
              <w:jc w:val="both"/>
              <w:rPr>
                <w:color w:val="auto"/>
              </w:rPr>
            </w:pPr>
            <w:r>
              <w:rPr>
                <w:color w:val="auto"/>
              </w:rPr>
              <w:t>距离</w:t>
            </w:r>
            <w:r>
              <w:rPr>
                <w:rFonts w:hint="eastAsia"/>
                <w:color w:val="auto"/>
                <w:lang w:eastAsia="zh-CN"/>
              </w:rPr>
              <w:t>（m</w:t>
            </w:r>
            <w:r>
              <w:rPr>
                <w:color w:val="auto"/>
              </w:rPr>
              <w:t>)</w:t>
            </w:r>
          </w:p>
        </w:tc>
        <w:tc>
          <w:tcPr>
            <w:tcW w:w="3330" w:type="dxa"/>
            <w:gridSpan w:val="2"/>
            <w:vAlign w:val="center"/>
          </w:tcPr>
          <w:p>
            <w:pPr>
              <w:pStyle w:val="22"/>
              <w:bidi w:val="0"/>
              <w:jc w:val="center"/>
              <w:rPr>
                <w:color w:val="auto"/>
              </w:rPr>
            </w:pPr>
            <w:r>
              <w:rPr>
                <w:color w:val="auto"/>
              </w:rPr>
              <w:t>NH</w:t>
            </w:r>
            <w:r>
              <w:rPr>
                <w:color w:val="auto"/>
                <w:vertAlign w:val="subscript"/>
              </w:rPr>
              <w:t>3</w:t>
            </w:r>
          </w:p>
        </w:tc>
        <w:tc>
          <w:tcPr>
            <w:tcW w:w="3008" w:type="dxa"/>
            <w:gridSpan w:val="2"/>
            <w:vAlign w:val="center"/>
          </w:tcPr>
          <w:p>
            <w:pPr>
              <w:pStyle w:val="22"/>
              <w:bidi w:val="0"/>
              <w:jc w:val="center"/>
              <w:rPr>
                <w:color w:val="auto"/>
              </w:rPr>
            </w:pPr>
            <w:r>
              <w:rPr>
                <w:color w:val="auto"/>
              </w:rPr>
              <w:t>H</w:t>
            </w:r>
            <w:r>
              <w:rPr>
                <w:color w:val="auto"/>
                <w:vertAlign w:val="subscript"/>
              </w:rPr>
              <w:t>2</w:t>
            </w:r>
            <w:r>
              <w:rPr>
                <w:color w:val="auto"/>
              </w:rPr>
              <w:t>S</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9" w:hRule="atLeast"/>
          <w:jc w:val="center"/>
        </w:trPr>
        <w:tc>
          <w:tcPr>
            <w:tcW w:w="2001" w:type="dxa"/>
            <w:vMerge w:val="continue"/>
            <w:tcBorders>
              <w:top w:val="nil"/>
              <w:tl2br w:val="single" w:color="000000" w:sz="2" w:space="0"/>
            </w:tcBorders>
            <w:vAlign w:val="center"/>
          </w:tcPr>
          <w:p>
            <w:pPr>
              <w:pStyle w:val="22"/>
              <w:bidi w:val="0"/>
              <w:jc w:val="center"/>
              <w:rPr>
                <w:color w:val="auto"/>
              </w:rPr>
            </w:pPr>
          </w:p>
        </w:tc>
        <w:tc>
          <w:tcPr>
            <w:tcW w:w="1621" w:type="dxa"/>
            <w:vAlign w:val="center"/>
          </w:tcPr>
          <w:p>
            <w:pPr>
              <w:pStyle w:val="22"/>
              <w:bidi w:val="0"/>
              <w:jc w:val="center"/>
              <w:rPr>
                <w:color w:val="auto"/>
              </w:rPr>
            </w:pPr>
            <w:r>
              <w:rPr>
                <w:color w:val="auto"/>
              </w:rPr>
              <w:t>浓度Ci(ug/m</w:t>
            </w:r>
            <w:r>
              <w:rPr>
                <w:color w:val="auto"/>
                <w:vertAlign w:val="superscript"/>
              </w:rPr>
              <w:t>3</w:t>
            </w:r>
            <w:r>
              <w:rPr>
                <w:color w:val="auto"/>
              </w:rPr>
              <w:t>)</w:t>
            </w:r>
          </w:p>
        </w:tc>
        <w:tc>
          <w:tcPr>
            <w:tcW w:w="1709" w:type="dxa"/>
            <w:vAlign w:val="center"/>
          </w:tcPr>
          <w:p>
            <w:pPr>
              <w:pStyle w:val="22"/>
              <w:bidi w:val="0"/>
              <w:jc w:val="center"/>
              <w:rPr>
                <w:color w:val="auto"/>
              </w:rPr>
            </w:pPr>
            <w:r>
              <w:rPr>
                <w:color w:val="auto"/>
              </w:rPr>
              <w:t>占标率Pi(%)</w:t>
            </w:r>
          </w:p>
        </w:tc>
        <w:tc>
          <w:tcPr>
            <w:tcW w:w="1501" w:type="dxa"/>
            <w:vAlign w:val="center"/>
          </w:tcPr>
          <w:p>
            <w:pPr>
              <w:pStyle w:val="22"/>
              <w:bidi w:val="0"/>
              <w:jc w:val="center"/>
              <w:rPr>
                <w:color w:val="auto"/>
              </w:rPr>
            </w:pPr>
            <w:r>
              <w:rPr>
                <w:color w:val="auto"/>
              </w:rPr>
              <w:t>浓度Ci(ug/m</w:t>
            </w:r>
            <w:r>
              <w:rPr>
                <w:color w:val="auto"/>
                <w:vertAlign w:val="superscript"/>
              </w:rPr>
              <w:t>3</w:t>
            </w:r>
            <w:r>
              <w:rPr>
                <w:color w:val="auto"/>
              </w:rPr>
              <w:t>)</w:t>
            </w:r>
          </w:p>
        </w:tc>
        <w:tc>
          <w:tcPr>
            <w:tcW w:w="1507" w:type="dxa"/>
            <w:vAlign w:val="center"/>
          </w:tcPr>
          <w:p>
            <w:pPr>
              <w:pStyle w:val="22"/>
              <w:bidi w:val="0"/>
              <w:jc w:val="center"/>
              <w:rPr>
                <w:color w:val="auto"/>
              </w:rPr>
            </w:pPr>
            <w:r>
              <w:rPr>
                <w:color w:val="auto"/>
              </w:rPr>
              <w:t>占标率Pi(%)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jc w:val="center"/>
        </w:trPr>
        <w:tc>
          <w:tcPr>
            <w:tcW w:w="2001" w:type="dxa"/>
            <w:vAlign w:val="center"/>
          </w:tcPr>
          <w:p>
            <w:pPr>
              <w:pStyle w:val="22"/>
              <w:bidi w:val="0"/>
              <w:jc w:val="center"/>
              <w:rPr>
                <w:color w:val="auto"/>
              </w:rPr>
            </w:pPr>
            <w:r>
              <w:rPr>
                <w:color w:val="auto"/>
              </w:rPr>
              <w:t>10</w:t>
            </w:r>
          </w:p>
        </w:tc>
        <w:tc>
          <w:tcPr>
            <w:tcW w:w="1621" w:type="dxa"/>
            <w:vAlign w:val="center"/>
          </w:tcPr>
          <w:p>
            <w:pPr>
              <w:pStyle w:val="22"/>
              <w:bidi w:val="0"/>
              <w:jc w:val="center"/>
              <w:rPr>
                <w:color w:val="auto"/>
              </w:rPr>
            </w:pPr>
            <w:r>
              <w:rPr>
                <w:rFonts w:hint="eastAsia"/>
                <w:color w:val="auto"/>
              </w:rPr>
              <w:t>0.37507</w:t>
            </w:r>
          </w:p>
        </w:tc>
        <w:tc>
          <w:tcPr>
            <w:tcW w:w="1709" w:type="dxa"/>
            <w:vAlign w:val="center"/>
          </w:tcPr>
          <w:p>
            <w:pPr>
              <w:pStyle w:val="22"/>
              <w:bidi w:val="0"/>
              <w:jc w:val="center"/>
              <w:rPr>
                <w:color w:val="auto"/>
              </w:rPr>
            </w:pPr>
            <w:r>
              <w:rPr>
                <w:rFonts w:hint="eastAsia"/>
                <w:color w:val="auto"/>
              </w:rPr>
              <w:t>0.19</w:t>
            </w:r>
          </w:p>
        </w:tc>
        <w:tc>
          <w:tcPr>
            <w:tcW w:w="1501" w:type="dxa"/>
            <w:vAlign w:val="center"/>
          </w:tcPr>
          <w:p>
            <w:pPr>
              <w:pStyle w:val="22"/>
              <w:bidi w:val="0"/>
              <w:jc w:val="center"/>
              <w:rPr>
                <w:color w:val="auto"/>
              </w:rPr>
            </w:pPr>
            <w:r>
              <w:rPr>
                <w:rFonts w:hint="eastAsia"/>
                <w:color w:val="auto"/>
              </w:rPr>
              <w:t>0.014997</w:t>
            </w:r>
          </w:p>
        </w:tc>
        <w:tc>
          <w:tcPr>
            <w:tcW w:w="1507" w:type="dxa"/>
            <w:vAlign w:val="center"/>
          </w:tcPr>
          <w:p>
            <w:pPr>
              <w:pStyle w:val="22"/>
              <w:bidi w:val="0"/>
              <w:jc w:val="center"/>
              <w:rPr>
                <w:color w:val="auto"/>
              </w:rPr>
            </w:pPr>
            <w:r>
              <w:rPr>
                <w:rFonts w:hint="eastAsia"/>
                <w:color w:val="auto"/>
              </w:rPr>
              <w:t>0.15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001" w:type="dxa"/>
            <w:vAlign w:val="center"/>
          </w:tcPr>
          <w:p>
            <w:pPr>
              <w:pStyle w:val="22"/>
              <w:bidi w:val="0"/>
              <w:jc w:val="center"/>
              <w:rPr>
                <w:color w:val="auto"/>
              </w:rPr>
            </w:pPr>
            <w:r>
              <w:rPr>
                <w:color w:val="auto"/>
              </w:rPr>
              <w:t>25</w:t>
            </w:r>
          </w:p>
        </w:tc>
        <w:tc>
          <w:tcPr>
            <w:tcW w:w="1621" w:type="dxa"/>
            <w:vAlign w:val="center"/>
          </w:tcPr>
          <w:p>
            <w:pPr>
              <w:pStyle w:val="22"/>
              <w:bidi w:val="0"/>
              <w:jc w:val="center"/>
              <w:rPr>
                <w:color w:val="auto"/>
              </w:rPr>
            </w:pPr>
            <w:r>
              <w:rPr>
                <w:rFonts w:hint="eastAsia"/>
                <w:color w:val="auto"/>
              </w:rPr>
              <w:t>0.21181</w:t>
            </w:r>
          </w:p>
        </w:tc>
        <w:tc>
          <w:tcPr>
            <w:tcW w:w="1709" w:type="dxa"/>
            <w:vAlign w:val="center"/>
          </w:tcPr>
          <w:p>
            <w:pPr>
              <w:pStyle w:val="22"/>
              <w:bidi w:val="0"/>
              <w:jc w:val="center"/>
              <w:rPr>
                <w:rFonts w:hint="eastAsia" w:eastAsia="宋体"/>
                <w:color w:val="auto"/>
                <w:lang w:val="en-US" w:eastAsia="zh-CN"/>
              </w:rPr>
            </w:pPr>
            <w:r>
              <w:rPr>
                <w:rFonts w:hint="eastAsia"/>
                <w:color w:val="auto"/>
              </w:rPr>
              <w:t>0.1</w:t>
            </w:r>
            <w:r>
              <w:rPr>
                <w:rFonts w:hint="eastAsia"/>
                <w:color w:val="auto"/>
                <w:lang w:val="en-US" w:eastAsia="zh-CN"/>
              </w:rPr>
              <w:t>1</w:t>
            </w:r>
          </w:p>
        </w:tc>
        <w:tc>
          <w:tcPr>
            <w:tcW w:w="1501" w:type="dxa"/>
            <w:vAlign w:val="center"/>
          </w:tcPr>
          <w:p>
            <w:pPr>
              <w:pStyle w:val="22"/>
              <w:bidi w:val="0"/>
              <w:jc w:val="center"/>
              <w:rPr>
                <w:color w:val="auto"/>
              </w:rPr>
            </w:pPr>
            <w:r>
              <w:rPr>
                <w:rFonts w:hint="eastAsia"/>
                <w:color w:val="auto"/>
              </w:rPr>
              <w:t>0.008469</w:t>
            </w:r>
          </w:p>
        </w:tc>
        <w:tc>
          <w:tcPr>
            <w:tcW w:w="1507" w:type="dxa"/>
            <w:vAlign w:val="center"/>
          </w:tcPr>
          <w:p>
            <w:pPr>
              <w:pStyle w:val="22"/>
              <w:bidi w:val="0"/>
              <w:jc w:val="center"/>
              <w:rPr>
                <w:color w:val="auto"/>
              </w:rPr>
            </w:pPr>
            <w:r>
              <w:rPr>
                <w:rFonts w:hint="eastAsia"/>
                <w:color w:val="auto"/>
              </w:rPr>
              <w:t>0.08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001" w:type="dxa"/>
            <w:vAlign w:val="center"/>
          </w:tcPr>
          <w:p>
            <w:pPr>
              <w:pStyle w:val="22"/>
              <w:bidi w:val="0"/>
              <w:jc w:val="center"/>
              <w:rPr>
                <w:color w:val="auto"/>
              </w:rPr>
            </w:pPr>
            <w:r>
              <w:rPr>
                <w:color w:val="auto"/>
              </w:rPr>
              <w:t>50</w:t>
            </w:r>
          </w:p>
        </w:tc>
        <w:tc>
          <w:tcPr>
            <w:tcW w:w="1621" w:type="dxa"/>
            <w:vAlign w:val="center"/>
          </w:tcPr>
          <w:p>
            <w:pPr>
              <w:pStyle w:val="22"/>
              <w:bidi w:val="0"/>
              <w:jc w:val="center"/>
              <w:rPr>
                <w:color w:val="auto"/>
              </w:rPr>
            </w:pPr>
            <w:r>
              <w:rPr>
                <w:rFonts w:hint="eastAsia"/>
                <w:color w:val="auto"/>
              </w:rPr>
              <w:t>0.11114</w:t>
            </w:r>
          </w:p>
        </w:tc>
        <w:tc>
          <w:tcPr>
            <w:tcW w:w="1709" w:type="dxa"/>
            <w:vAlign w:val="center"/>
          </w:tcPr>
          <w:p>
            <w:pPr>
              <w:pStyle w:val="22"/>
              <w:bidi w:val="0"/>
              <w:jc w:val="center"/>
              <w:rPr>
                <w:color w:val="auto"/>
              </w:rPr>
            </w:pPr>
            <w:r>
              <w:rPr>
                <w:rFonts w:hint="eastAsia"/>
                <w:color w:val="auto"/>
              </w:rPr>
              <w:t>0.06</w:t>
            </w:r>
          </w:p>
        </w:tc>
        <w:tc>
          <w:tcPr>
            <w:tcW w:w="1501" w:type="dxa"/>
            <w:vAlign w:val="center"/>
          </w:tcPr>
          <w:p>
            <w:pPr>
              <w:pStyle w:val="22"/>
              <w:bidi w:val="0"/>
              <w:jc w:val="center"/>
              <w:rPr>
                <w:color w:val="auto"/>
              </w:rPr>
            </w:pPr>
            <w:r>
              <w:rPr>
                <w:rFonts w:hint="eastAsia"/>
                <w:color w:val="auto"/>
              </w:rPr>
              <w:t>0.004444</w:t>
            </w:r>
          </w:p>
        </w:tc>
        <w:tc>
          <w:tcPr>
            <w:tcW w:w="1507" w:type="dxa"/>
            <w:vAlign w:val="center"/>
          </w:tcPr>
          <w:p>
            <w:pPr>
              <w:pStyle w:val="22"/>
              <w:bidi w:val="0"/>
              <w:jc w:val="center"/>
              <w:rPr>
                <w:color w:val="auto"/>
              </w:rPr>
            </w:pPr>
            <w:r>
              <w:rPr>
                <w:rFonts w:hint="eastAsia"/>
                <w:color w:val="auto"/>
              </w:rPr>
              <w:t>0.04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jc w:val="center"/>
        </w:trPr>
        <w:tc>
          <w:tcPr>
            <w:tcW w:w="2001" w:type="dxa"/>
            <w:vAlign w:val="center"/>
          </w:tcPr>
          <w:p>
            <w:pPr>
              <w:pStyle w:val="22"/>
              <w:bidi w:val="0"/>
              <w:jc w:val="center"/>
              <w:rPr>
                <w:rFonts w:hint="default" w:eastAsia="宋体"/>
                <w:color w:val="auto"/>
                <w:lang w:val="en-US" w:eastAsia="zh-CN"/>
              </w:rPr>
            </w:pPr>
            <w:r>
              <w:rPr>
                <w:rFonts w:hint="eastAsia"/>
                <w:color w:val="auto"/>
                <w:lang w:val="en-US" w:eastAsia="zh-CN"/>
              </w:rPr>
              <w:t>100</w:t>
            </w:r>
          </w:p>
        </w:tc>
        <w:tc>
          <w:tcPr>
            <w:tcW w:w="1621" w:type="dxa"/>
            <w:vAlign w:val="center"/>
          </w:tcPr>
          <w:p>
            <w:pPr>
              <w:pStyle w:val="22"/>
              <w:bidi w:val="0"/>
              <w:jc w:val="center"/>
              <w:rPr>
                <w:rFonts w:hint="eastAsia"/>
                <w:color w:val="auto"/>
              </w:rPr>
            </w:pPr>
            <w:r>
              <w:rPr>
                <w:rFonts w:hint="eastAsia"/>
                <w:color w:val="auto"/>
              </w:rPr>
              <w:t>0.049543</w:t>
            </w:r>
          </w:p>
        </w:tc>
        <w:tc>
          <w:tcPr>
            <w:tcW w:w="1709" w:type="dxa"/>
            <w:vAlign w:val="center"/>
          </w:tcPr>
          <w:p>
            <w:pPr>
              <w:pStyle w:val="22"/>
              <w:bidi w:val="0"/>
              <w:jc w:val="center"/>
              <w:rPr>
                <w:color w:val="auto"/>
              </w:rPr>
            </w:pPr>
            <w:r>
              <w:rPr>
                <w:rFonts w:hint="eastAsia"/>
                <w:color w:val="auto"/>
              </w:rPr>
              <w:t>0.02</w:t>
            </w:r>
          </w:p>
        </w:tc>
        <w:tc>
          <w:tcPr>
            <w:tcW w:w="1501" w:type="dxa"/>
            <w:vAlign w:val="center"/>
          </w:tcPr>
          <w:p>
            <w:pPr>
              <w:pStyle w:val="22"/>
              <w:bidi w:val="0"/>
              <w:jc w:val="center"/>
              <w:rPr>
                <w:color w:val="auto"/>
              </w:rPr>
            </w:pPr>
            <w:r>
              <w:rPr>
                <w:rFonts w:hint="eastAsia"/>
                <w:color w:val="auto"/>
              </w:rPr>
              <w:t>0.001981</w:t>
            </w:r>
          </w:p>
        </w:tc>
        <w:tc>
          <w:tcPr>
            <w:tcW w:w="1507" w:type="dxa"/>
            <w:vAlign w:val="center"/>
          </w:tcPr>
          <w:p>
            <w:pPr>
              <w:pStyle w:val="22"/>
              <w:bidi w:val="0"/>
              <w:jc w:val="center"/>
              <w:rPr>
                <w:color w:val="auto"/>
              </w:rPr>
            </w:pPr>
            <w:r>
              <w:rPr>
                <w:rFonts w:hint="eastAsia"/>
                <w:color w:val="auto"/>
              </w:rPr>
              <w:t>0.02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2001" w:type="dxa"/>
            <w:vAlign w:val="center"/>
          </w:tcPr>
          <w:p>
            <w:pPr>
              <w:pStyle w:val="22"/>
              <w:bidi w:val="0"/>
              <w:jc w:val="center"/>
              <w:rPr>
                <w:color w:val="auto"/>
              </w:rPr>
            </w:pPr>
            <w:r>
              <w:rPr>
                <w:color w:val="auto"/>
              </w:rPr>
              <w:t>200</w:t>
            </w:r>
          </w:p>
        </w:tc>
        <w:tc>
          <w:tcPr>
            <w:tcW w:w="1621" w:type="dxa"/>
            <w:vAlign w:val="center"/>
          </w:tcPr>
          <w:p>
            <w:pPr>
              <w:pStyle w:val="22"/>
              <w:bidi w:val="0"/>
              <w:jc w:val="center"/>
              <w:rPr>
                <w:color w:val="auto"/>
              </w:rPr>
            </w:pPr>
            <w:r>
              <w:rPr>
                <w:rFonts w:hint="eastAsia"/>
                <w:color w:val="auto"/>
              </w:rPr>
              <w:t>0.020379</w:t>
            </w:r>
          </w:p>
        </w:tc>
        <w:tc>
          <w:tcPr>
            <w:tcW w:w="1709" w:type="dxa"/>
            <w:vAlign w:val="center"/>
          </w:tcPr>
          <w:p>
            <w:pPr>
              <w:pStyle w:val="22"/>
              <w:bidi w:val="0"/>
              <w:jc w:val="center"/>
              <w:rPr>
                <w:color w:val="auto"/>
              </w:rPr>
            </w:pPr>
            <w:r>
              <w:rPr>
                <w:rFonts w:hint="eastAsia"/>
                <w:color w:val="auto"/>
              </w:rPr>
              <w:t>0.01</w:t>
            </w:r>
          </w:p>
        </w:tc>
        <w:tc>
          <w:tcPr>
            <w:tcW w:w="1501" w:type="dxa"/>
            <w:vAlign w:val="center"/>
          </w:tcPr>
          <w:p>
            <w:pPr>
              <w:pStyle w:val="22"/>
              <w:bidi w:val="0"/>
              <w:jc w:val="center"/>
              <w:rPr>
                <w:color w:val="auto"/>
              </w:rPr>
            </w:pPr>
            <w:r>
              <w:rPr>
                <w:rFonts w:hint="eastAsia"/>
                <w:color w:val="auto"/>
              </w:rPr>
              <w:t>0.000815</w:t>
            </w:r>
          </w:p>
        </w:tc>
        <w:tc>
          <w:tcPr>
            <w:tcW w:w="1507" w:type="dxa"/>
            <w:vAlign w:val="center"/>
          </w:tcPr>
          <w:p>
            <w:pPr>
              <w:pStyle w:val="22"/>
              <w:bidi w:val="0"/>
              <w:jc w:val="center"/>
              <w:rPr>
                <w:color w:val="auto"/>
              </w:rPr>
            </w:pPr>
            <w:r>
              <w:rPr>
                <w:rFonts w:hint="eastAsia"/>
                <w:color w:val="auto"/>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2001" w:type="dxa"/>
            <w:vAlign w:val="center"/>
          </w:tcPr>
          <w:p>
            <w:pPr>
              <w:pStyle w:val="22"/>
              <w:bidi w:val="0"/>
              <w:jc w:val="center"/>
              <w:rPr>
                <w:color w:val="auto"/>
              </w:rPr>
            </w:pPr>
            <w:r>
              <w:rPr>
                <w:color w:val="auto"/>
              </w:rPr>
              <w:t>300</w:t>
            </w:r>
          </w:p>
        </w:tc>
        <w:tc>
          <w:tcPr>
            <w:tcW w:w="1621" w:type="dxa"/>
            <w:vAlign w:val="center"/>
          </w:tcPr>
          <w:p>
            <w:pPr>
              <w:pStyle w:val="22"/>
              <w:bidi w:val="0"/>
              <w:jc w:val="center"/>
              <w:rPr>
                <w:color w:val="auto"/>
              </w:rPr>
            </w:pPr>
            <w:r>
              <w:rPr>
                <w:rFonts w:hint="eastAsia"/>
                <w:color w:val="auto"/>
              </w:rPr>
              <w:t>0.01192</w:t>
            </w:r>
          </w:p>
        </w:tc>
        <w:tc>
          <w:tcPr>
            <w:tcW w:w="1709" w:type="dxa"/>
            <w:vAlign w:val="center"/>
          </w:tcPr>
          <w:p>
            <w:pPr>
              <w:pStyle w:val="22"/>
              <w:bidi w:val="0"/>
              <w:jc w:val="center"/>
              <w:rPr>
                <w:color w:val="auto"/>
              </w:rPr>
            </w:pPr>
            <w:r>
              <w:rPr>
                <w:rFonts w:hint="eastAsia"/>
                <w:color w:val="auto"/>
              </w:rPr>
              <w:t>0.01</w:t>
            </w:r>
          </w:p>
        </w:tc>
        <w:tc>
          <w:tcPr>
            <w:tcW w:w="1501" w:type="dxa"/>
            <w:vAlign w:val="center"/>
          </w:tcPr>
          <w:p>
            <w:pPr>
              <w:pStyle w:val="22"/>
              <w:bidi w:val="0"/>
              <w:jc w:val="center"/>
              <w:rPr>
                <w:color w:val="auto"/>
              </w:rPr>
            </w:pPr>
            <w:r>
              <w:rPr>
                <w:rFonts w:hint="eastAsia"/>
                <w:color w:val="auto"/>
              </w:rPr>
              <w:t>0.000477</w:t>
            </w:r>
          </w:p>
        </w:tc>
        <w:tc>
          <w:tcPr>
            <w:tcW w:w="1507" w:type="dxa"/>
            <w:vAlign w:val="center"/>
          </w:tcPr>
          <w:p>
            <w:pPr>
              <w:pStyle w:val="22"/>
              <w:bidi w:val="0"/>
              <w:jc w:val="center"/>
              <w:rPr>
                <w:color w:val="auto"/>
              </w:rPr>
            </w:pPr>
            <w:r>
              <w:rPr>
                <w:rFonts w:hint="eastAsia"/>
                <w:color w:val="auto"/>
              </w:rPr>
              <w:t>0.01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2001" w:type="dxa"/>
            <w:vAlign w:val="center"/>
          </w:tcPr>
          <w:p>
            <w:pPr>
              <w:pStyle w:val="22"/>
              <w:bidi w:val="0"/>
              <w:jc w:val="center"/>
              <w:rPr>
                <w:color w:val="auto"/>
              </w:rPr>
            </w:pPr>
            <w:r>
              <w:rPr>
                <w:color w:val="auto"/>
              </w:rPr>
              <w:t>400</w:t>
            </w:r>
          </w:p>
        </w:tc>
        <w:tc>
          <w:tcPr>
            <w:tcW w:w="1621" w:type="dxa"/>
            <w:vAlign w:val="center"/>
          </w:tcPr>
          <w:p>
            <w:pPr>
              <w:pStyle w:val="22"/>
              <w:bidi w:val="0"/>
              <w:jc w:val="center"/>
              <w:rPr>
                <w:color w:val="auto"/>
              </w:rPr>
            </w:pPr>
            <w:r>
              <w:rPr>
                <w:rFonts w:hint="eastAsia"/>
                <w:color w:val="auto"/>
              </w:rPr>
              <w:t>0.008115</w:t>
            </w:r>
          </w:p>
        </w:tc>
        <w:tc>
          <w:tcPr>
            <w:tcW w:w="1709" w:type="dxa"/>
            <w:vAlign w:val="center"/>
          </w:tcPr>
          <w:p>
            <w:pPr>
              <w:pStyle w:val="22"/>
              <w:bidi w:val="0"/>
              <w:jc w:val="center"/>
              <w:rPr>
                <w:rFonts w:hint="eastAsia" w:eastAsia="宋体"/>
                <w:color w:val="auto"/>
                <w:lang w:eastAsia="zh-CN"/>
              </w:rPr>
            </w:pPr>
            <w:r>
              <w:rPr>
                <w:rFonts w:hint="eastAsia"/>
                <w:color w:val="auto"/>
                <w:lang w:val="en-US" w:eastAsia="zh-CN"/>
              </w:rPr>
              <w:t>0</w:t>
            </w:r>
          </w:p>
        </w:tc>
        <w:tc>
          <w:tcPr>
            <w:tcW w:w="1501" w:type="dxa"/>
            <w:vAlign w:val="center"/>
          </w:tcPr>
          <w:p>
            <w:pPr>
              <w:pStyle w:val="22"/>
              <w:bidi w:val="0"/>
              <w:jc w:val="center"/>
              <w:rPr>
                <w:color w:val="auto"/>
              </w:rPr>
            </w:pPr>
            <w:r>
              <w:rPr>
                <w:rFonts w:hint="eastAsia"/>
                <w:color w:val="auto"/>
              </w:rPr>
              <w:t>0.000324</w:t>
            </w:r>
          </w:p>
        </w:tc>
        <w:tc>
          <w:tcPr>
            <w:tcW w:w="1507" w:type="dxa"/>
            <w:vAlign w:val="center"/>
          </w:tcPr>
          <w:p>
            <w:pPr>
              <w:pStyle w:val="22"/>
              <w:bidi w:val="0"/>
              <w:jc w:val="center"/>
              <w:rPr>
                <w:rFonts w:hint="eastAsia" w:eastAsia="宋体"/>
                <w:color w:val="auto"/>
                <w:lang w:eastAsia="zh-CN"/>
              </w:rPr>
            </w:pPr>
            <w:r>
              <w:rPr>
                <w:rFonts w:hint="eastAsia"/>
                <w:color w:val="auto"/>
                <w:lang w:val="en-US" w:eastAsia="zh-C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2001" w:type="dxa"/>
            <w:vAlign w:val="center"/>
          </w:tcPr>
          <w:p>
            <w:pPr>
              <w:pStyle w:val="22"/>
              <w:bidi w:val="0"/>
              <w:jc w:val="center"/>
              <w:rPr>
                <w:color w:val="auto"/>
              </w:rPr>
            </w:pPr>
            <w:r>
              <w:rPr>
                <w:color w:val="auto"/>
              </w:rPr>
              <w:t>500</w:t>
            </w:r>
          </w:p>
        </w:tc>
        <w:tc>
          <w:tcPr>
            <w:tcW w:w="1621" w:type="dxa"/>
            <w:vAlign w:val="center"/>
          </w:tcPr>
          <w:p>
            <w:pPr>
              <w:pStyle w:val="22"/>
              <w:bidi w:val="0"/>
              <w:jc w:val="center"/>
              <w:rPr>
                <w:color w:val="auto"/>
              </w:rPr>
            </w:pPr>
            <w:r>
              <w:rPr>
                <w:rFonts w:hint="eastAsia"/>
                <w:color w:val="auto"/>
              </w:rPr>
              <w:t>0.006013</w:t>
            </w:r>
          </w:p>
        </w:tc>
        <w:tc>
          <w:tcPr>
            <w:tcW w:w="1709" w:type="dxa"/>
            <w:vAlign w:val="center"/>
          </w:tcPr>
          <w:p>
            <w:pPr>
              <w:pStyle w:val="22"/>
              <w:bidi w:val="0"/>
              <w:jc w:val="center"/>
              <w:rPr>
                <w:rFonts w:hint="eastAsia" w:eastAsia="宋体"/>
                <w:color w:val="auto"/>
                <w:lang w:eastAsia="zh-CN"/>
              </w:rPr>
            </w:pPr>
            <w:r>
              <w:rPr>
                <w:rFonts w:hint="eastAsia"/>
                <w:color w:val="auto"/>
                <w:lang w:val="en-US" w:eastAsia="zh-CN"/>
              </w:rPr>
              <w:t>0</w:t>
            </w:r>
          </w:p>
        </w:tc>
        <w:tc>
          <w:tcPr>
            <w:tcW w:w="1501" w:type="dxa"/>
            <w:vAlign w:val="center"/>
          </w:tcPr>
          <w:p>
            <w:pPr>
              <w:pStyle w:val="22"/>
              <w:bidi w:val="0"/>
              <w:jc w:val="center"/>
              <w:rPr>
                <w:color w:val="auto"/>
              </w:rPr>
            </w:pPr>
            <w:r>
              <w:rPr>
                <w:rFonts w:hint="eastAsia"/>
                <w:color w:val="auto"/>
              </w:rPr>
              <w:t>0.00024</w:t>
            </w:r>
          </w:p>
        </w:tc>
        <w:tc>
          <w:tcPr>
            <w:tcW w:w="1507" w:type="dxa"/>
            <w:vAlign w:val="center"/>
          </w:tcPr>
          <w:p>
            <w:pPr>
              <w:pStyle w:val="22"/>
              <w:bidi w:val="0"/>
              <w:jc w:val="center"/>
              <w:rPr>
                <w:rFonts w:hint="eastAsia" w:eastAsia="宋体"/>
                <w:color w:val="auto"/>
                <w:lang w:eastAsia="zh-CN"/>
              </w:rPr>
            </w:pPr>
            <w:r>
              <w:rPr>
                <w:rFonts w:hint="eastAsia"/>
                <w:color w:val="auto"/>
                <w:lang w:val="en-US" w:eastAsia="zh-C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2001" w:type="dxa"/>
            <w:vAlign w:val="center"/>
          </w:tcPr>
          <w:p>
            <w:pPr>
              <w:pStyle w:val="22"/>
              <w:bidi w:val="0"/>
              <w:jc w:val="center"/>
              <w:rPr>
                <w:color w:val="auto"/>
              </w:rPr>
            </w:pPr>
            <w:r>
              <w:rPr>
                <w:color w:val="auto"/>
              </w:rPr>
              <w:t>800</w:t>
            </w:r>
          </w:p>
        </w:tc>
        <w:tc>
          <w:tcPr>
            <w:tcW w:w="1621" w:type="dxa"/>
            <w:vAlign w:val="center"/>
          </w:tcPr>
          <w:p>
            <w:pPr>
              <w:pStyle w:val="22"/>
              <w:bidi w:val="0"/>
              <w:jc w:val="center"/>
              <w:rPr>
                <w:color w:val="auto"/>
              </w:rPr>
            </w:pPr>
            <w:r>
              <w:rPr>
                <w:rFonts w:hint="eastAsia"/>
                <w:color w:val="auto"/>
              </w:rPr>
              <w:t>0.003189</w:t>
            </w:r>
          </w:p>
        </w:tc>
        <w:tc>
          <w:tcPr>
            <w:tcW w:w="1709" w:type="dxa"/>
            <w:vAlign w:val="center"/>
          </w:tcPr>
          <w:p>
            <w:pPr>
              <w:pStyle w:val="22"/>
              <w:bidi w:val="0"/>
              <w:jc w:val="center"/>
              <w:rPr>
                <w:rFonts w:hint="eastAsia" w:eastAsia="宋体"/>
                <w:color w:val="auto"/>
                <w:lang w:eastAsia="zh-CN"/>
              </w:rPr>
            </w:pPr>
            <w:r>
              <w:rPr>
                <w:rFonts w:hint="eastAsia"/>
                <w:color w:val="auto"/>
                <w:lang w:val="en-US" w:eastAsia="zh-CN"/>
              </w:rPr>
              <w:t>0</w:t>
            </w:r>
          </w:p>
        </w:tc>
        <w:tc>
          <w:tcPr>
            <w:tcW w:w="1501" w:type="dxa"/>
            <w:vAlign w:val="center"/>
          </w:tcPr>
          <w:p>
            <w:pPr>
              <w:pStyle w:val="22"/>
              <w:bidi w:val="0"/>
              <w:jc w:val="center"/>
              <w:rPr>
                <w:color w:val="auto"/>
              </w:rPr>
            </w:pPr>
            <w:r>
              <w:rPr>
                <w:rFonts w:hint="eastAsia"/>
                <w:color w:val="auto"/>
              </w:rPr>
              <w:t>0.000127</w:t>
            </w:r>
          </w:p>
        </w:tc>
        <w:tc>
          <w:tcPr>
            <w:tcW w:w="1507" w:type="dxa"/>
            <w:vAlign w:val="center"/>
          </w:tcPr>
          <w:p>
            <w:pPr>
              <w:pStyle w:val="22"/>
              <w:bidi w:val="0"/>
              <w:jc w:val="center"/>
              <w:rPr>
                <w:rFonts w:hint="eastAsia" w:eastAsia="宋体"/>
                <w:color w:val="auto"/>
                <w:lang w:eastAsia="zh-CN"/>
              </w:rPr>
            </w:pPr>
            <w:r>
              <w:rPr>
                <w:rFonts w:hint="eastAsia"/>
                <w:color w:val="auto"/>
                <w:lang w:val="en-US" w:eastAsia="zh-C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2001" w:type="dxa"/>
            <w:vAlign w:val="center"/>
          </w:tcPr>
          <w:p>
            <w:pPr>
              <w:pStyle w:val="22"/>
              <w:bidi w:val="0"/>
              <w:jc w:val="center"/>
              <w:rPr>
                <w:color w:val="auto"/>
              </w:rPr>
            </w:pPr>
            <w:r>
              <w:rPr>
                <w:color w:val="auto"/>
              </w:rPr>
              <w:t>1000</w:t>
            </w:r>
          </w:p>
        </w:tc>
        <w:tc>
          <w:tcPr>
            <w:tcW w:w="1621" w:type="dxa"/>
            <w:vAlign w:val="center"/>
          </w:tcPr>
          <w:p>
            <w:pPr>
              <w:pStyle w:val="22"/>
              <w:bidi w:val="0"/>
              <w:jc w:val="center"/>
              <w:rPr>
                <w:color w:val="auto"/>
              </w:rPr>
            </w:pPr>
            <w:r>
              <w:rPr>
                <w:rFonts w:hint="eastAsia"/>
                <w:color w:val="auto"/>
              </w:rPr>
              <w:t>0.002357</w:t>
            </w:r>
          </w:p>
        </w:tc>
        <w:tc>
          <w:tcPr>
            <w:tcW w:w="1709" w:type="dxa"/>
            <w:vAlign w:val="center"/>
          </w:tcPr>
          <w:p>
            <w:pPr>
              <w:pStyle w:val="22"/>
              <w:bidi w:val="0"/>
              <w:jc w:val="center"/>
              <w:rPr>
                <w:rFonts w:hint="eastAsia" w:eastAsia="宋体"/>
                <w:color w:val="auto"/>
                <w:lang w:eastAsia="zh-CN"/>
              </w:rPr>
            </w:pPr>
            <w:r>
              <w:rPr>
                <w:rFonts w:hint="eastAsia"/>
                <w:color w:val="auto"/>
                <w:lang w:val="en-US" w:eastAsia="zh-CN"/>
              </w:rPr>
              <w:t>0</w:t>
            </w:r>
          </w:p>
        </w:tc>
        <w:tc>
          <w:tcPr>
            <w:tcW w:w="1501" w:type="dxa"/>
            <w:vAlign w:val="center"/>
          </w:tcPr>
          <w:p>
            <w:pPr>
              <w:pStyle w:val="22"/>
              <w:bidi w:val="0"/>
              <w:jc w:val="center"/>
              <w:rPr>
                <w:color w:val="auto"/>
              </w:rPr>
            </w:pPr>
            <w:r>
              <w:rPr>
                <w:rFonts w:hint="eastAsia"/>
                <w:color w:val="auto"/>
              </w:rPr>
              <w:t>0.000094</w:t>
            </w:r>
          </w:p>
        </w:tc>
        <w:tc>
          <w:tcPr>
            <w:tcW w:w="1507" w:type="dxa"/>
            <w:vAlign w:val="center"/>
          </w:tcPr>
          <w:p>
            <w:pPr>
              <w:pStyle w:val="22"/>
              <w:bidi w:val="0"/>
              <w:jc w:val="center"/>
              <w:rPr>
                <w:rFonts w:hint="eastAsia" w:eastAsia="宋体"/>
                <w:color w:val="auto"/>
                <w:lang w:eastAsia="zh-CN"/>
              </w:rPr>
            </w:pPr>
            <w:r>
              <w:rPr>
                <w:rFonts w:hint="eastAsia"/>
                <w:color w:val="auto"/>
                <w:lang w:val="en-US" w:eastAsia="zh-C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2001" w:type="dxa"/>
            <w:vAlign w:val="center"/>
          </w:tcPr>
          <w:p>
            <w:pPr>
              <w:pStyle w:val="22"/>
              <w:bidi w:val="0"/>
              <w:jc w:val="center"/>
              <w:rPr>
                <w:color w:val="auto"/>
              </w:rPr>
            </w:pPr>
            <w:r>
              <w:rPr>
                <w:color w:val="auto"/>
              </w:rPr>
              <w:t>1</w:t>
            </w:r>
            <w:r>
              <w:rPr>
                <w:rFonts w:hint="eastAsia"/>
                <w:color w:val="auto"/>
                <w:lang w:val="en-US" w:eastAsia="zh-CN"/>
              </w:rPr>
              <w:t>5</w:t>
            </w:r>
            <w:r>
              <w:rPr>
                <w:color w:val="auto"/>
              </w:rPr>
              <w:t>00</w:t>
            </w:r>
          </w:p>
        </w:tc>
        <w:tc>
          <w:tcPr>
            <w:tcW w:w="1621" w:type="dxa"/>
            <w:vAlign w:val="center"/>
          </w:tcPr>
          <w:p>
            <w:pPr>
              <w:pStyle w:val="22"/>
              <w:bidi w:val="0"/>
              <w:jc w:val="center"/>
              <w:rPr>
                <w:color w:val="auto"/>
              </w:rPr>
            </w:pPr>
            <w:r>
              <w:rPr>
                <w:rFonts w:hint="eastAsia"/>
                <w:color w:val="auto"/>
              </w:rPr>
              <w:t>0.00136</w:t>
            </w:r>
          </w:p>
        </w:tc>
        <w:tc>
          <w:tcPr>
            <w:tcW w:w="1709" w:type="dxa"/>
            <w:vAlign w:val="center"/>
          </w:tcPr>
          <w:p>
            <w:pPr>
              <w:pStyle w:val="22"/>
              <w:bidi w:val="0"/>
              <w:jc w:val="center"/>
              <w:rPr>
                <w:rFonts w:hint="eastAsia" w:eastAsia="宋体"/>
                <w:color w:val="auto"/>
                <w:lang w:eastAsia="zh-CN"/>
              </w:rPr>
            </w:pPr>
            <w:r>
              <w:rPr>
                <w:rFonts w:hint="eastAsia"/>
                <w:color w:val="auto"/>
                <w:lang w:val="en-US" w:eastAsia="zh-CN"/>
              </w:rPr>
              <w:t>0</w:t>
            </w:r>
          </w:p>
        </w:tc>
        <w:tc>
          <w:tcPr>
            <w:tcW w:w="1501" w:type="dxa"/>
            <w:vAlign w:val="center"/>
          </w:tcPr>
          <w:p>
            <w:pPr>
              <w:pStyle w:val="22"/>
              <w:bidi w:val="0"/>
              <w:jc w:val="center"/>
              <w:rPr>
                <w:color w:val="auto"/>
              </w:rPr>
            </w:pPr>
            <w:r>
              <w:rPr>
                <w:rFonts w:hint="eastAsia"/>
                <w:color w:val="auto"/>
              </w:rPr>
              <w:t>0.000054</w:t>
            </w:r>
          </w:p>
        </w:tc>
        <w:tc>
          <w:tcPr>
            <w:tcW w:w="1507" w:type="dxa"/>
            <w:vAlign w:val="center"/>
          </w:tcPr>
          <w:p>
            <w:pPr>
              <w:pStyle w:val="22"/>
              <w:bidi w:val="0"/>
              <w:jc w:val="center"/>
              <w:rPr>
                <w:rFonts w:hint="eastAsia" w:eastAsia="宋体"/>
                <w:color w:val="auto"/>
                <w:lang w:eastAsia="zh-CN"/>
              </w:rPr>
            </w:pPr>
            <w:r>
              <w:rPr>
                <w:rFonts w:hint="eastAsia"/>
                <w:color w:val="auto"/>
                <w:lang w:val="en-US" w:eastAsia="zh-C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3" w:hRule="atLeast"/>
          <w:jc w:val="center"/>
        </w:trPr>
        <w:tc>
          <w:tcPr>
            <w:tcW w:w="2001" w:type="dxa"/>
            <w:vAlign w:val="center"/>
          </w:tcPr>
          <w:p>
            <w:pPr>
              <w:pStyle w:val="22"/>
              <w:bidi w:val="0"/>
              <w:jc w:val="center"/>
              <w:rPr>
                <w:color w:val="auto"/>
              </w:rPr>
            </w:pPr>
            <w:r>
              <w:rPr>
                <w:color w:val="auto"/>
              </w:rPr>
              <w:t>2000</w:t>
            </w:r>
          </w:p>
        </w:tc>
        <w:tc>
          <w:tcPr>
            <w:tcW w:w="1621" w:type="dxa"/>
            <w:vAlign w:val="center"/>
          </w:tcPr>
          <w:p>
            <w:pPr>
              <w:pStyle w:val="22"/>
              <w:bidi w:val="0"/>
              <w:jc w:val="center"/>
              <w:rPr>
                <w:color w:val="auto"/>
              </w:rPr>
            </w:pPr>
            <w:r>
              <w:rPr>
                <w:rFonts w:hint="eastAsia"/>
                <w:color w:val="auto"/>
              </w:rPr>
              <w:t>0.00092</w:t>
            </w:r>
          </w:p>
        </w:tc>
        <w:tc>
          <w:tcPr>
            <w:tcW w:w="1709" w:type="dxa"/>
            <w:vAlign w:val="center"/>
          </w:tcPr>
          <w:p>
            <w:pPr>
              <w:pStyle w:val="22"/>
              <w:bidi w:val="0"/>
              <w:jc w:val="center"/>
              <w:rPr>
                <w:rFonts w:hint="eastAsia" w:eastAsia="宋体"/>
                <w:color w:val="auto"/>
                <w:lang w:eastAsia="zh-CN"/>
              </w:rPr>
            </w:pPr>
            <w:r>
              <w:rPr>
                <w:rFonts w:hint="eastAsia"/>
                <w:color w:val="auto"/>
                <w:lang w:val="en-US" w:eastAsia="zh-CN"/>
              </w:rPr>
              <w:t>0</w:t>
            </w:r>
          </w:p>
        </w:tc>
        <w:tc>
          <w:tcPr>
            <w:tcW w:w="1501" w:type="dxa"/>
            <w:vAlign w:val="center"/>
          </w:tcPr>
          <w:p>
            <w:pPr>
              <w:pStyle w:val="22"/>
              <w:bidi w:val="0"/>
              <w:jc w:val="center"/>
              <w:rPr>
                <w:color w:val="auto"/>
              </w:rPr>
            </w:pPr>
            <w:r>
              <w:rPr>
                <w:rFonts w:hint="eastAsia"/>
                <w:color w:val="auto"/>
              </w:rPr>
              <w:t>0.000037</w:t>
            </w:r>
          </w:p>
        </w:tc>
        <w:tc>
          <w:tcPr>
            <w:tcW w:w="1507" w:type="dxa"/>
            <w:vAlign w:val="center"/>
          </w:tcPr>
          <w:p>
            <w:pPr>
              <w:pStyle w:val="22"/>
              <w:bidi w:val="0"/>
              <w:jc w:val="center"/>
              <w:rPr>
                <w:rFonts w:hint="eastAsia" w:eastAsia="宋体"/>
                <w:color w:val="auto"/>
                <w:lang w:eastAsia="zh-CN"/>
              </w:rPr>
            </w:pPr>
            <w:r>
              <w:rPr>
                <w:rFonts w:hint="eastAsia"/>
                <w:color w:val="auto"/>
                <w:lang w:val="en-US" w:eastAsia="zh-C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jc w:val="center"/>
        </w:trPr>
        <w:tc>
          <w:tcPr>
            <w:tcW w:w="2001" w:type="dxa"/>
            <w:vAlign w:val="center"/>
          </w:tcPr>
          <w:p>
            <w:pPr>
              <w:pStyle w:val="22"/>
              <w:bidi w:val="0"/>
              <w:jc w:val="center"/>
              <w:rPr>
                <w:color w:val="auto"/>
              </w:rPr>
            </w:pPr>
            <w:r>
              <w:rPr>
                <w:color w:val="auto"/>
              </w:rPr>
              <w:t>2500</w:t>
            </w:r>
          </w:p>
        </w:tc>
        <w:tc>
          <w:tcPr>
            <w:tcW w:w="1621" w:type="dxa"/>
            <w:vAlign w:val="center"/>
          </w:tcPr>
          <w:p>
            <w:pPr>
              <w:pStyle w:val="22"/>
              <w:bidi w:val="0"/>
              <w:jc w:val="center"/>
              <w:rPr>
                <w:color w:val="auto"/>
              </w:rPr>
            </w:pPr>
            <w:r>
              <w:rPr>
                <w:rFonts w:hint="eastAsia"/>
                <w:color w:val="auto"/>
              </w:rPr>
              <w:t>0.000679</w:t>
            </w:r>
          </w:p>
        </w:tc>
        <w:tc>
          <w:tcPr>
            <w:tcW w:w="1709" w:type="dxa"/>
            <w:vAlign w:val="center"/>
          </w:tcPr>
          <w:p>
            <w:pPr>
              <w:pStyle w:val="22"/>
              <w:bidi w:val="0"/>
              <w:jc w:val="center"/>
              <w:rPr>
                <w:rFonts w:hint="eastAsia" w:eastAsia="宋体"/>
                <w:color w:val="auto"/>
                <w:lang w:eastAsia="zh-CN"/>
              </w:rPr>
            </w:pPr>
            <w:r>
              <w:rPr>
                <w:rFonts w:hint="eastAsia"/>
                <w:color w:val="auto"/>
                <w:lang w:val="en-US" w:eastAsia="zh-CN"/>
              </w:rPr>
              <w:t>0</w:t>
            </w:r>
          </w:p>
        </w:tc>
        <w:tc>
          <w:tcPr>
            <w:tcW w:w="1501" w:type="dxa"/>
            <w:vAlign w:val="center"/>
          </w:tcPr>
          <w:p>
            <w:pPr>
              <w:pStyle w:val="22"/>
              <w:bidi w:val="0"/>
              <w:jc w:val="center"/>
              <w:rPr>
                <w:color w:val="auto"/>
              </w:rPr>
            </w:pPr>
            <w:r>
              <w:rPr>
                <w:rFonts w:hint="eastAsia"/>
                <w:color w:val="auto"/>
              </w:rPr>
              <w:t>0.000027</w:t>
            </w:r>
          </w:p>
        </w:tc>
        <w:tc>
          <w:tcPr>
            <w:tcW w:w="1507" w:type="dxa"/>
            <w:vAlign w:val="center"/>
          </w:tcPr>
          <w:p>
            <w:pPr>
              <w:pStyle w:val="22"/>
              <w:bidi w:val="0"/>
              <w:jc w:val="center"/>
              <w:rPr>
                <w:rFonts w:hint="eastAsia" w:eastAsia="宋体"/>
                <w:color w:val="auto"/>
                <w:lang w:eastAsia="zh-CN"/>
              </w:rPr>
            </w:pPr>
            <w:r>
              <w:rPr>
                <w:rFonts w:hint="eastAsia"/>
                <w:color w:val="auto"/>
                <w:lang w:val="en-US" w:eastAsia="zh-CN"/>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9" w:hRule="atLeast"/>
          <w:jc w:val="center"/>
        </w:trPr>
        <w:tc>
          <w:tcPr>
            <w:tcW w:w="2001" w:type="dxa"/>
            <w:vAlign w:val="center"/>
          </w:tcPr>
          <w:p>
            <w:pPr>
              <w:pStyle w:val="22"/>
              <w:bidi w:val="0"/>
              <w:jc w:val="center"/>
              <w:rPr>
                <w:color w:val="auto"/>
              </w:rPr>
            </w:pPr>
            <w:r>
              <w:rPr>
                <w:color w:val="auto"/>
              </w:rPr>
              <w:t>下风向最大质量浓度及占标率/%</w:t>
            </w:r>
          </w:p>
        </w:tc>
        <w:tc>
          <w:tcPr>
            <w:tcW w:w="1621" w:type="dxa"/>
            <w:vAlign w:val="center"/>
          </w:tcPr>
          <w:p>
            <w:pPr>
              <w:pStyle w:val="22"/>
              <w:bidi w:val="0"/>
              <w:ind w:firstLine="0" w:firstLineChars="0"/>
              <w:jc w:val="center"/>
              <w:rPr>
                <w:color w:val="auto"/>
              </w:rPr>
            </w:pPr>
            <w:r>
              <w:rPr>
                <w:rFonts w:hint="eastAsia"/>
                <w:color w:val="auto"/>
              </w:rPr>
              <w:t>0.37507</w:t>
            </w:r>
          </w:p>
        </w:tc>
        <w:tc>
          <w:tcPr>
            <w:tcW w:w="1709" w:type="dxa"/>
            <w:vAlign w:val="center"/>
          </w:tcPr>
          <w:p>
            <w:pPr>
              <w:pStyle w:val="22"/>
              <w:bidi w:val="0"/>
              <w:ind w:firstLine="0" w:firstLineChars="0"/>
              <w:jc w:val="center"/>
              <w:rPr>
                <w:color w:val="auto"/>
              </w:rPr>
            </w:pPr>
            <w:r>
              <w:rPr>
                <w:rFonts w:hint="eastAsia"/>
                <w:color w:val="auto"/>
              </w:rPr>
              <w:t>0.19</w:t>
            </w:r>
          </w:p>
        </w:tc>
        <w:tc>
          <w:tcPr>
            <w:tcW w:w="1501" w:type="dxa"/>
            <w:vAlign w:val="center"/>
          </w:tcPr>
          <w:p>
            <w:pPr>
              <w:pStyle w:val="22"/>
              <w:bidi w:val="0"/>
              <w:ind w:firstLine="0" w:firstLineChars="0"/>
              <w:jc w:val="center"/>
              <w:rPr>
                <w:color w:val="auto"/>
              </w:rPr>
            </w:pPr>
            <w:r>
              <w:rPr>
                <w:rFonts w:hint="eastAsia"/>
                <w:color w:val="auto"/>
              </w:rPr>
              <w:t>0.014997</w:t>
            </w:r>
          </w:p>
        </w:tc>
        <w:tc>
          <w:tcPr>
            <w:tcW w:w="1507" w:type="dxa"/>
            <w:vAlign w:val="center"/>
          </w:tcPr>
          <w:p>
            <w:pPr>
              <w:pStyle w:val="22"/>
              <w:bidi w:val="0"/>
              <w:ind w:firstLine="0" w:firstLineChars="0"/>
              <w:jc w:val="center"/>
              <w:rPr>
                <w:color w:val="auto"/>
              </w:rPr>
            </w:pPr>
            <w:r>
              <w:rPr>
                <w:rFonts w:hint="eastAsia"/>
                <w:color w:val="auto"/>
              </w:rPr>
              <w:t>0.15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 w:hRule="atLeast"/>
          <w:jc w:val="center"/>
        </w:trPr>
        <w:tc>
          <w:tcPr>
            <w:tcW w:w="2001" w:type="dxa"/>
            <w:vAlign w:val="center"/>
          </w:tcPr>
          <w:p>
            <w:pPr>
              <w:pStyle w:val="22"/>
              <w:bidi w:val="0"/>
              <w:jc w:val="center"/>
              <w:rPr>
                <w:color w:val="auto"/>
              </w:rPr>
            </w:pPr>
            <w:r>
              <w:rPr>
                <w:color w:val="auto"/>
              </w:rPr>
              <w:t>下风向最大落地浓度距离/m</w:t>
            </w:r>
          </w:p>
        </w:tc>
        <w:tc>
          <w:tcPr>
            <w:tcW w:w="3330" w:type="dxa"/>
            <w:gridSpan w:val="2"/>
            <w:vAlign w:val="center"/>
          </w:tcPr>
          <w:p>
            <w:pPr>
              <w:pStyle w:val="22"/>
              <w:bidi w:val="0"/>
              <w:jc w:val="center"/>
              <w:rPr>
                <w:color w:val="auto"/>
              </w:rPr>
            </w:pPr>
            <w:r>
              <w:rPr>
                <w:color w:val="auto"/>
              </w:rPr>
              <w:t>10</w:t>
            </w:r>
          </w:p>
        </w:tc>
        <w:tc>
          <w:tcPr>
            <w:tcW w:w="3008" w:type="dxa"/>
            <w:gridSpan w:val="2"/>
            <w:vAlign w:val="center"/>
          </w:tcPr>
          <w:p>
            <w:pPr>
              <w:pStyle w:val="22"/>
              <w:bidi w:val="0"/>
              <w:jc w:val="center"/>
              <w:rPr>
                <w:color w:val="auto"/>
              </w:rPr>
            </w:pPr>
            <w:r>
              <w:rPr>
                <w:color w:val="auto"/>
              </w:rPr>
              <w:t>10</w:t>
            </w:r>
          </w:p>
        </w:tc>
      </w:tr>
    </w:tbl>
    <w:p>
      <w:pPr>
        <w:pStyle w:val="6"/>
        <w:bidi w:val="0"/>
        <w:rPr>
          <w:rFonts w:hint="default"/>
          <w:color w:val="auto"/>
          <w:lang w:val="en-US" w:eastAsia="zh-CN"/>
        </w:rPr>
      </w:pPr>
      <w:bookmarkStart w:id="101" w:name="_Toc26713"/>
      <w:r>
        <w:rPr>
          <w:rFonts w:hint="eastAsia"/>
          <w:color w:val="auto"/>
          <w:lang w:val="en-US" w:eastAsia="zh-CN"/>
        </w:rPr>
        <w:t>5.2.3影响分析</w:t>
      </w:r>
      <w:bookmarkEnd w:id="101"/>
    </w:p>
    <w:p>
      <w:pPr>
        <w:bidi w:val="0"/>
        <w:rPr>
          <w:color w:val="auto"/>
        </w:rPr>
      </w:pPr>
      <w:r>
        <w:rPr>
          <w:color w:val="auto"/>
        </w:rPr>
        <w:t>（1）消毒异味</w:t>
      </w:r>
    </w:p>
    <w:p>
      <w:pPr>
        <w:bidi w:val="0"/>
        <w:rPr>
          <w:color w:val="auto"/>
        </w:rPr>
      </w:pPr>
      <w:r>
        <w:rPr>
          <w:color w:val="auto"/>
        </w:rPr>
        <w:t>为降低空气中的含菌量，疾控中心经常使用次氯酸钠、过氧乙酸等消毒剂对楼道、卫生间等进行消毒处理，在此过程中会有少量异味产生。项目的消毒异味主要为消毒剂挥发物，产生量不大，且主要产生在室内，为无组织排放。实验室检验设施消毒所用蒸汽为两台微生物实验室有两台专用电热高压蒸汽灭菌器进行消毒，热源为电。</w:t>
      </w:r>
    </w:p>
    <w:p>
      <w:pPr>
        <w:bidi w:val="0"/>
        <w:rPr>
          <w:color w:val="auto"/>
        </w:rPr>
      </w:pPr>
      <w:r>
        <w:rPr>
          <w:color w:val="auto"/>
        </w:rPr>
        <w:t>（2）污水站恶臭</w:t>
      </w:r>
    </w:p>
    <w:p>
      <w:pPr>
        <w:bidi w:val="0"/>
        <w:rPr>
          <w:rFonts w:hint="default" w:ascii="Times New Roman" w:hAnsi="Times New Roman" w:cs="Times New Roman"/>
          <w:b w:val="0"/>
          <w:bCs w:val="0"/>
          <w:color w:val="auto"/>
          <w:highlight w:val="none"/>
        </w:rPr>
      </w:pPr>
      <w:r>
        <w:rPr>
          <w:rFonts w:hint="default" w:ascii="Times New Roman" w:hAnsi="Times New Roman" w:cs="Times New Roman"/>
          <w:b w:val="0"/>
          <w:bCs w:val="0"/>
          <w:color w:val="auto"/>
          <w:highlight w:val="none"/>
        </w:rPr>
        <w:t>项目污水站运用过程中都不可避免的产生臭气，其主要成分是硫化氢、氨气等，污水处理厂的恶臭物质排放量与水质、处理规模、当地气候、相对湿度、季节和处理工艺等有关，排放形式为低空无组织排放。</w:t>
      </w:r>
    </w:p>
    <w:p>
      <w:pPr>
        <w:bidi w:val="0"/>
        <w:rPr>
          <w:rFonts w:hint="default" w:ascii="Times New Roman" w:hAnsi="Times New Roman" w:cs="Times New Roman"/>
          <w:color w:val="auto"/>
          <w:highlight w:val="none"/>
        </w:rPr>
      </w:pPr>
      <w:r>
        <w:rPr>
          <w:rFonts w:hint="default" w:ascii="Times New Roman" w:hAnsi="Times New Roman" w:cs="Times New Roman"/>
          <w:b w:val="0"/>
          <w:bCs w:val="0"/>
          <w:color w:val="auto"/>
          <w:highlight w:val="none"/>
        </w:rPr>
        <w:t>项目污水站置于密闭空间内，产生的异味通过活性炭吸附，项目产生的恶臭量较小，主要在密闭空间内，为无组织排放。</w:t>
      </w:r>
      <w:r>
        <w:rPr>
          <w:rFonts w:hint="eastAsia" w:cs="Times New Roman"/>
          <w:color w:val="auto"/>
          <w:highlight w:val="none"/>
          <w:lang w:val="en-US" w:eastAsia="zh-CN"/>
        </w:rPr>
        <w:t>根据预测，</w:t>
      </w:r>
      <w:r>
        <w:rPr>
          <w:rFonts w:hint="default" w:ascii="Times New Roman" w:hAnsi="Times New Roman" w:cs="Times New Roman"/>
          <w:color w:val="auto"/>
          <w:highlight w:val="none"/>
        </w:rPr>
        <w:t>运营期NH</w:t>
      </w:r>
      <w:r>
        <w:rPr>
          <w:rFonts w:hint="default" w:ascii="Times New Roman" w:hAnsi="Times New Roman" w:cs="Times New Roman"/>
          <w:color w:val="auto"/>
          <w:highlight w:val="none"/>
          <w:vertAlign w:val="subscript"/>
        </w:rPr>
        <w:t>3</w:t>
      </w:r>
      <w:r>
        <w:rPr>
          <w:rFonts w:hint="default" w:ascii="Times New Roman" w:hAnsi="Times New Roman" w:cs="Times New Roman"/>
          <w:color w:val="auto"/>
          <w:highlight w:val="none"/>
        </w:rPr>
        <w:t>、H</w:t>
      </w:r>
      <w:r>
        <w:rPr>
          <w:rFonts w:hint="default" w:ascii="Times New Roman" w:hAnsi="Times New Roman" w:cs="Times New Roman"/>
          <w:color w:val="auto"/>
          <w:highlight w:val="none"/>
          <w:vertAlign w:val="subscript"/>
        </w:rPr>
        <w:t>2</w:t>
      </w:r>
      <w:r>
        <w:rPr>
          <w:rFonts w:hint="default" w:ascii="Times New Roman" w:hAnsi="Times New Roman" w:cs="Times New Roman"/>
          <w:color w:val="auto"/>
          <w:highlight w:val="none"/>
        </w:rPr>
        <w:t>S在下风向地面小时最大落地浓度分别为</w:t>
      </w:r>
      <w:r>
        <w:rPr>
          <w:rFonts w:hint="eastAsia"/>
          <w:color w:val="auto"/>
        </w:rPr>
        <w:t>0.37507</w:t>
      </w:r>
      <w:r>
        <w:rPr>
          <w:rFonts w:hint="default" w:ascii="Times New Roman" w:hAnsi="Times New Roman" w:cs="Times New Roman"/>
          <w:color w:val="auto"/>
          <w:highlight w:val="none"/>
        </w:rPr>
        <w:t>ug/m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w:t>
      </w:r>
      <w:r>
        <w:rPr>
          <w:rFonts w:hint="eastAsia"/>
          <w:color w:val="auto"/>
        </w:rPr>
        <w:t>0.014997</w:t>
      </w:r>
      <w:r>
        <w:rPr>
          <w:rFonts w:hint="default" w:ascii="Times New Roman" w:hAnsi="Times New Roman" w:cs="Times New Roman"/>
          <w:color w:val="auto"/>
          <w:highlight w:val="none"/>
        </w:rPr>
        <w:t>ug/m</w:t>
      </w:r>
      <w:r>
        <w:rPr>
          <w:rFonts w:hint="default" w:ascii="Times New Roman" w:hAnsi="Times New Roman" w:cs="Times New Roman"/>
          <w:color w:val="auto"/>
          <w:highlight w:val="none"/>
          <w:vertAlign w:val="superscript"/>
        </w:rPr>
        <w:t>3</w:t>
      </w:r>
      <w:r>
        <w:rPr>
          <w:rFonts w:hint="default" w:ascii="Times New Roman" w:hAnsi="Times New Roman" w:cs="Times New Roman"/>
          <w:color w:val="auto"/>
          <w:highlight w:val="none"/>
        </w:rPr>
        <w:t>；占标率分别为0.1</w:t>
      </w:r>
      <w:r>
        <w:rPr>
          <w:rFonts w:hint="eastAsia" w:cs="Times New Roman"/>
          <w:color w:val="auto"/>
          <w:highlight w:val="none"/>
          <w:lang w:val="en-US" w:eastAsia="zh-CN"/>
        </w:rPr>
        <w:t>9</w:t>
      </w:r>
      <w:r>
        <w:rPr>
          <w:rFonts w:hint="default" w:ascii="Times New Roman" w:hAnsi="Times New Roman" w:cs="Times New Roman"/>
          <w:color w:val="auto"/>
          <w:highlight w:val="none"/>
        </w:rPr>
        <w:t>%、0.</w:t>
      </w:r>
      <w:r>
        <w:rPr>
          <w:rFonts w:hint="eastAsia" w:cs="Times New Roman"/>
          <w:color w:val="auto"/>
          <w:highlight w:val="none"/>
          <w:lang w:val="en-US" w:eastAsia="zh-CN"/>
        </w:rPr>
        <w:t>1</w:t>
      </w:r>
      <w:r>
        <w:rPr>
          <w:rFonts w:hint="default" w:ascii="Times New Roman" w:hAnsi="Times New Roman" w:cs="Times New Roman"/>
          <w:color w:val="auto"/>
          <w:highlight w:val="none"/>
        </w:rPr>
        <w:t>5%，出现在厂区下风向10m处；污水处理站废气排放满足《医疗机构水污染物排放标准》（GB18466-2005）中表3中“污水处理站周边大气污染物最高允许浓度”相应标准要求，且根据表2.5-1项目主要环境保护目标一览表中大气环境保护目标，距离项目最近的居民点在</w:t>
      </w:r>
      <w:r>
        <w:rPr>
          <w:rFonts w:hint="eastAsia" w:cs="Times New Roman"/>
          <w:color w:val="auto"/>
          <w:highlight w:val="none"/>
          <w:lang w:val="en-US" w:eastAsia="zh-CN"/>
        </w:rPr>
        <w:t>160</w:t>
      </w:r>
      <w:r>
        <w:rPr>
          <w:rFonts w:hint="default" w:ascii="Times New Roman" w:hAnsi="Times New Roman" w:cs="Times New Roman"/>
          <w:color w:val="auto"/>
          <w:highlight w:val="none"/>
        </w:rPr>
        <w:t>m外，对周边大气环境及敏感点影响较小。计算已考虑了最不利的气象条件，因此建项目对周围大气环境质量影响不大。根据《环境影响评价技术导则大气环境》（HJ/2.2-2018）的大气评价工作分级依据，本项目大气评价等级应为三级，因此不再进行进一步预测与评价。</w:t>
      </w:r>
    </w:p>
    <w:p>
      <w:pPr>
        <w:bidi w:val="0"/>
        <w:rPr>
          <w:color w:val="auto"/>
        </w:rPr>
      </w:pPr>
      <w:r>
        <w:rPr>
          <w:color w:val="auto"/>
        </w:rPr>
        <w:t>（3）实验室废气</w:t>
      </w:r>
    </w:p>
    <w:p>
      <w:pPr>
        <w:bidi w:val="0"/>
        <w:rPr>
          <w:color w:val="auto"/>
        </w:rPr>
      </w:pPr>
      <w:r>
        <w:rPr>
          <w:color w:val="auto"/>
        </w:rPr>
        <w:t>实验室投入运营后，在实验过程中会产生实验废气，实验废气特点是分布散、排量小、间歇式排放。实验室产生的废气包括：试剂和样品的挥发物、实验分析过程中间产物、排空的标准气等，主要是酸雾和各种有机溶剂等常见污染物。</w:t>
      </w:r>
    </w:p>
    <w:p>
      <w:pPr>
        <w:bidi w:val="0"/>
        <w:rPr>
          <w:color w:val="auto"/>
        </w:rPr>
      </w:pPr>
      <w:r>
        <w:rPr>
          <w:color w:val="auto"/>
        </w:rPr>
        <w:t>理化实验室废气：理化实验室的日常分析中会使用一些挥发性酸和有机溶剂，在使用过程中会有部分挥发进入空气中，本项目理化实验室</w:t>
      </w:r>
      <w:r>
        <w:rPr>
          <w:rFonts w:ascii="宋体" w:hAnsi="宋体" w:eastAsia="宋体" w:cs="宋体"/>
          <w:color w:val="auto"/>
          <w:spacing w:val="-3"/>
          <w:sz w:val="24"/>
          <w:szCs w:val="24"/>
        </w:rPr>
        <w:t>实验过程废气集气罩收集，经活性炭装置</w:t>
      </w:r>
      <w:r>
        <w:rPr>
          <w:rFonts w:ascii="宋体" w:hAnsi="宋体" w:eastAsia="宋体" w:cs="宋体"/>
          <w:color w:val="auto"/>
          <w:spacing w:val="9"/>
          <w:sz w:val="24"/>
          <w:szCs w:val="24"/>
        </w:rPr>
        <w:t>吸附后，通过专用电控风道</w:t>
      </w:r>
      <w:r>
        <w:rPr>
          <w:color w:val="auto"/>
        </w:rPr>
        <w:t>于楼顶排放。根据建设单位提供的实验用试剂</w:t>
      </w:r>
      <w:r>
        <w:rPr>
          <w:rFonts w:hint="eastAsia"/>
          <w:color w:val="auto"/>
          <w:lang w:val="en-US" w:eastAsia="zh-CN"/>
        </w:rPr>
        <w:t>消耗</w:t>
      </w:r>
      <w:r>
        <w:rPr>
          <w:color w:val="auto"/>
        </w:rPr>
        <w:t>情况，无机酸、碱类试剂、有机溶剂、有机试剂年用量均较小，产生的废气量也较小，废气经处理后对周围大气环境影响较小。</w:t>
      </w:r>
    </w:p>
    <w:p>
      <w:pPr>
        <w:bidi w:val="0"/>
        <w:rPr>
          <w:color w:val="auto"/>
        </w:rPr>
      </w:pPr>
      <w:r>
        <w:rPr>
          <w:color w:val="auto"/>
        </w:rPr>
        <w:t>微生物实验室废气：微生物实验室废气可能含有传染性的细菌和病毒，每个实验室均设置生物安全柜，所有涉及病原微生物的操作均在生物安全柜中进行，可能含有病原微生物的气溶胶只有从其上部的排风口经高效过滤后外排，安全柜排气筒内置的高效过滤器对粒径0.5μm以上的气溶胶去除效率达到99.99%。同时实验室及所有生物安全柜均为负压设计，含病原微生物废气较少外泄。实验室排风系统均设置高效过滤器，实验室内气体经室内高效过滤器处理（粒径0.5μm以上的气溶胶经效过滤器过滤，过滤效率99.99%）后，排气中几乎不含病原微生物气溶胶，排气由风管经净化排风机组处理后，通过专用排气筒送至楼顶排放。</w:t>
      </w:r>
    </w:p>
    <w:p>
      <w:pPr>
        <w:bidi w:val="0"/>
        <w:rPr>
          <w:color w:val="auto"/>
        </w:rPr>
      </w:pPr>
      <w:r>
        <w:rPr>
          <w:color w:val="auto"/>
        </w:rPr>
        <w:t>此外实验室内部还设置辅助消毒装置，通过含氯消毒剂、紫外线、臭氧及熏蒸等方式切断病原微生物的传播途径，确保实验室排出的气体对周围环境影响较小。因此，在正常运行情况下，可能带有病原微生物气溶胶的废气经消毒灭菌、高效过滤后由专用排气筒送至楼顶排放，对周围环境影响较小。</w:t>
      </w:r>
    </w:p>
    <w:p>
      <w:pPr>
        <w:bidi w:val="0"/>
        <w:rPr>
          <w:color w:val="auto"/>
        </w:rPr>
      </w:pPr>
      <w:r>
        <w:rPr>
          <w:color w:val="auto"/>
        </w:rPr>
        <w:t>（</w:t>
      </w:r>
      <w:r>
        <w:rPr>
          <w:rFonts w:hint="eastAsia"/>
          <w:color w:val="auto"/>
          <w:lang w:val="en-US" w:eastAsia="zh-CN"/>
        </w:rPr>
        <w:t>4</w:t>
      </w:r>
      <w:r>
        <w:rPr>
          <w:color w:val="auto"/>
        </w:rPr>
        <w:t>）医疗废物暂存间废气</w:t>
      </w:r>
    </w:p>
    <w:p>
      <w:pPr>
        <w:bidi w:val="0"/>
        <w:rPr>
          <w:color w:val="auto"/>
        </w:rPr>
      </w:pPr>
      <w:r>
        <w:rPr>
          <w:color w:val="auto"/>
        </w:rPr>
        <w:t>医疗废物暂存间废气主要由医疗废物散发而来，废气产生量较小，但可能携带有一定量的病菌。本项目医疗废物暂存间严格按照《医疗卫生机构医疗废物管理办法》（中华人民共和国卫生部令第36号）设置，医疗废物的堆放不超过24小时，采取每天喷洒适量84消毒液对地面和墙体等进行消毒处理，暂存间有严密的封闭措施，消毒处理后通过排气扇将暂存间废气排出，加速废气扩散。</w:t>
      </w:r>
    </w:p>
    <w:p>
      <w:pPr>
        <w:pStyle w:val="6"/>
        <w:bidi w:val="0"/>
        <w:rPr>
          <w:rFonts w:hint="default" w:ascii="Times New Roman" w:hAnsi="Times New Roman" w:cs="Times New Roman"/>
          <w:color w:val="auto"/>
          <w:highlight w:val="none"/>
        </w:rPr>
      </w:pPr>
      <w:bookmarkStart w:id="102" w:name="_Toc3278"/>
      <w:r>
        <w:rPr>
          <w:rFonts w:hint="default" w:ascii="Times New Roman" w:hAnsi="Times New Roman" w:cs="Times New Roman"/>
          <w:color w:val="auto"/>
          <w:highlight w:val="none"/>
          <w:lang w:val="en-US" w:eastAsia="zh-CN"/>
        </w:rPr>
        <w:t>5</w:t>
      </w:r>
      <w:r>
        <w:rPr>
          <w:rFonts w:hint="default" w:ascii="Times New Roman" w:hAnsi="Times New Roman" w:cs="Times New Roman"/>
          <w:color w:val="auto"/>
          <w:highlight w:val="none"/>
        </w:rPr>
        <w:t>.2.</w:t>
      </w:r>
      <w:r>
        <w:rPr>
          <w:rFonts w:hint="eastAsia" w:cs="Times New Roman"/>
          <w:color w:val="auto"/>
          <w:highlight w:val="none"/>
          <w:lang w:val="en-US" w:eastAsia="zh-CN"/>
        </w:rPr>
        <w:t>4</w:t>
      </w:r>
      <w:r>
        <w:rPr>
          <w:rFonts w:hint="default" w:ascii="Times New Roman" w:hAnsi="Times New Roman" w:cs="Times New Roman"/>
          <w:color w:val="auto"/>
          <w:highlight w:val="none"/>
        </w:rPr>
        <w:t>防护距离</w:t>
      </w:r>
      <w:bookmarkEnd w:id="102"/>
    </w:p>
    <w:p>
      <w:pPr>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根据《环境影响评价技术导则大气环境》(HJ2.2-2018</w:t>
      </w:r>
      <w:r>
        <w:rPr>
          <w:rFonts w:hint="eastAsia" w:cs="Times New Roman"/>
          <w:color w:val="auto"/>
          <w:highlight w:val="none"/>
          <w:lang w:eastAsia="zh-CN"/>
        </w:rPr>
        <w:t>)</w:t>
      </w:r>
      <w:r>
        <w:rPr>
          <w:rFonts w:hint="default" w:ascii="Times New Roman" w:hAnsi="Times New Roman" w:cs="Times New Roman"/>
          <w:color w:val="auto"/>
          <w:highlight w:val="none"/>
        </w:rPr>
        <w:t>的规定，大气防护距离采用进一步预测模式确定，本项目大气环境影响评价等级为三级，不进行进一步预测与评价，因此不需设置大气环境防护距离。</w:t>
      </w:r>
    </w:p>
    <w:p>
      <w:pPr>
        <w:bidi w:val="0"/>
        <w:jc w:val="center"/>
        <w:rPr>
          <w:rFonts w:hint="default"/>
          <w:b/>
          <w:bCs/>
          <w:color w:val="auto"/>
          <w:sz w:val="21"/>
          <w:szCs w:val="21"/>
        </w:rPr>
      </w:pPr>
      <w:r>
        <w:rPr>
          <w:rFonts w:hint="default"/>
          <w:b/>
          <w:bCs/>
          <w:color w:val="auto"/>
          <w:sz w:val="21"/>
          <w:szCs w:val="21"/>
        </w:rPr>
        <w:t>表</w:t>
      </w:r>
      <w:r>
        <w:rPr>
          <w:rFonts w:hint="eastAsia"/>
          <w:b/>
          <w:bCs/>
          <w:color w:val="auto"/>
          <w:sz w:val="21"/>
          <w:szCs w:val="21"/>
          <w:lang w:val="en-US" w:eastAsia="zh-CN"/>
        </w:rPr>
        <w:t>5.2-4</w:t>
      </w:r>
      <w:r>
        <w:rPr>
          <w:rFonts w:hint="default"/>
          <w:b/>
          <w:bCs/>
          <w:color w:val="auto"/>
          <w:sz w:val="21"/>
          <w:szCs w:val="21"/>
        </w:rPr>
        <w:t>大气环境影响评价自查表</w:t>
      </w:r>
    </w:p>
    <w:p>
      <w:pPr>
        <w:spacing w:line="32" w:lineRule="exact"/>
        <w:rPr>
          <w:rFonts w:hint="default" w:ascii="Times New Roman" w:hAnsi="Times New Roman" w:cs="Times New Roman"/>
          <w:color w:val="auto"/>
          <w:highlight w:val="none"/>
        </w:rPr>
      </w:pPr>
    </w:p>
    <w:tbl>
      <w:tblPr>
        <w:tblStyle w:val="18"/>
        <w:tblW w:w="853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24"/>
        <w:gridCol w:w="1593"/>
        <w:gridCol w:w="920"/>
        <w:gridCol w:w="355"/>
        <w:gridCol w:w="108"/>
        <w:gridCol w:w="130"/>
        <w:gridCol w:w="232"/>
        <w:gridCol w:w="113"/>
        <w:gridCol w:w="266"/>
        <w:gridCol w:w="265"/>
        <w:gridCol w:w="249"/>
        <w:gridCol w:w="108"/>
        <w:gridCol w:w="102"/>
        <w:gridCol w:w="485"/>
        <w:gridCol w:w="389"/>
        <w:gridCol w:w="174"/>
        <w:gridCol w:w="107"/>
        <w:gridCol w:w="429"/>
        <w:gridCol w:w="63"/>
        <w:gridCol w:w="1"/>
        <w:gridCol w:w="383"/>
        <w:gridCol w:w="1"/>
        <w:gridCol w:w="457"/>
        <w:gridCol w:w="6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jc w:val="center"/>
        </w:trPr>
        <w:tc>
          <w:tcPr>
            <w:tcW w:w="2517" w:type="dxa"/>
            <w:gridSpan w:val="2"/>
            <w:tcBorders>
              <w:tl2br w:val="nil"/>
              <w:tr2bl w:val="nil"/>
            </w:tcBorders>
            <w:noWrap w:val="0"/>
            <w:vAlign w:val="center"/>
          </w:tcPr>
          <w:p>
            <w:pPr>
              <w:pStyle w:val="22"/>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工作内容</w:t>
            </w:r>
          </w:p>
        </w:tc>
        <w:tc>
          <w:tcPr>
            <w:tcW w:w="6022" w:type="dxa"/>
            <w:gridSpan w:val="22"/>
            <w:tcBorders>
              <w:tl2br w:val="nil"/>
              <w:tr2bl w:val="nil"/>
            </w:tcBorders>
            <w:noWrap w:val="0"/>
            <w:vAlign w:val="center"/>
          </w:tcPr>
          <w:p>
            <w:pPr>
              <w:pStyle w:val="22"/>
              <w:bidi w:val="0"/>
              <w:rPr>
                <w:rFonts w:hint="default" w:ascii="Times New Roman" w:hAnsi="Times New Roman" w:cs="Times New Roman"/>
                <w:b/>
                <w:bCs/>
                <w:color w:val="auto"/>
                <w:highlight w:val="none"/>
              </w:rPr>
            </w:pPr>
            <w:r>
              <w:rPr>
                <w:rFonts w:hint="default" w:ascii="Times New Roman" w:hAnsi="Times New Roman" w:cs="Times New Roman"/>
                <w:b/>
                <w:bCs/>
                <w:color w:val="auto"/>
                <w:highlight w:val="none"/>
              </w:rPr>
              <w:t>自查项目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jc w:val="center"/>
        </w:trPr>
        <w:tc>
          <w:tcPr>
            <w:tcW w:w="924" w:type="dxa"/>
            <w:vMerge w:val="restart"/>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评价等级与范围</w:t>
            </w:r>
          </w:p>
        </w:tc>
        <w:tc>
          <w:tcPr>
            <w:tcW w:w="1593" w:type="dxa"/>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评价等级</w:t>
            </w:r>
          </w:p>
        </w:tc>
        <w:tc>
          <w:tcPr>
            <w:tcW w:w="2389" w:type="dxa"/>
            <w:gridSpan w:val="8"/>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一级□</w:t>
            </w:r>
          </w:p>
        </w:tc>
        <w:tc>
          <w:tcPr>
            <w:tcW w:w="2107" w:type="dxa"/>
            <w:gridSpan w:val="10"/>
            <w:tcBorders>
              <w:tl2br w:val="nil"/>
              <w:tr2bl w:val="nil"/>
            </w:tcBorders>
            <w:noWrap w:val="0"/>
            <w:vAlign w:val="center"/>
          </w:tcPr>
          <w:p>
            <w:pPr>
              <w:pStyle w:val="22"/>
              <w:bidi w:val="0"/>
              <w:rPr>
                <w:rFonts w:hint="default"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二级</w:t>
            </w:r>
            <w:r>
              <w:rPr>
                <w:rFonts w:hint="default" w:ascii="Times New Roman" w:hAnsi="Times New Roman" w:cs="Times New Roman"/>
                <w:color w:val="auto"/>
                <w:highlight w:val="none"/>
                <w:lang w:eastAsia="zh-CN"/>
              </w:rPr>
              <w:t>□</w:t>
            </w:r>
          </w:p>
        </w:tc>
        <w:tc>
          <w:tcPr>
            <w:tcW w:w="1526" w:type="dxa"/>
            <w:gridSpan w:val="4"/>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三级</w:t>
            </w:r>
            <w:r>
              <w:rPr>
                <w:rFonts w:hint="default" w:ascii="Times New Roman" w:hAnsi="Times New Roman" w:cs="Times New Roman"/>
                <w:color w:val="auto"/>
                <w:highlight w:val="none"/>
              </w:rPr>
              <w:sym w:font="Wingdings" w:char="0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jc w:val="center"/>
        </w:trPr>
        <w:tc>
          <w:tcPr>
            <w:tcW w:w="924" w:type="dxa"/>
            <w:vMerge w:val="continue"/>
            <w:tcBorders>
              <w:tl2br w:val="nil"/>
              <w:tr2bl w:val="nil"/>
            </w:tcBorders>
            <w:noWrap w:val="0"/>
            <w:vAlign w:val="center"/>
          </w:tcPr>
          <w:p>
            <w:pPr>
              <w:pStyle w:val="22"/>
              <w:bidi w:val="0"/>
              <w:rPr>
                <w:rFonts w:hint="default" w:ascii="Times New Roman" w:hAnsi="Times New Roman" w:cs="Times New Roman"/>
                <w:color w:val="auto"/>
                <w:highlight w:val="none"/>
              </w:rPr>
            </w:pPr>
          </w:p>
        </w:tc>
        <w:tc>
          <w:tcPr>
            <w:tcW w:w="1593" w:type="dxa"/>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评价范围</w:t>
            </w:r>
          </w:p>
        </w:tc>
        <w:tc>
          <w:tcPr>
            <w:tcW w:w="2389" w:type="dxa"/>
            <w:gridSpan w:val="8"/>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边长=50km□</w:t>
            </w:r>
          </w:p>
        </w:tc>
        <w:tc>
          <w:tcPr>
            <w:tcW w:w="2107" w:type="dxa"/>
            <w:gridSpan w:val="10"/>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边长5～50km□</w:t>
            </w:r>
          </w:p>
        </w:tc>
        <w:tc>
          <w:tcPr>
            <w:tcW w:w="1526" w:type="dxa"/>
            <w:gridSpan w:val="4"/>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边长=5km</w:t>
            </w:r>
            <w:r>
              <w:rPr>
                <w:rFonts w:hint="default" w:ascii="Times New Roman" w:hAnsi="Times New Roman" w:cs="Times New Roman"/>
                <w:color w:val="auto"/>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5" w:hRule="atLeast"/>
          <w:jc w:val="center"/>
        </w:trPr>
        <w:tc>
          <w:tcPr>
            <w:tcW w:w="924" w:type="dxa"/>
            <w:vMerge w:val="restart"/>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评价因子</w:t>
            </w:r>
          </w:p>
        </w:tc>
        <w:tc>
          <w:tcPr>
            <w:tcW w:w="1593" w:type="dxa"/>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SO2+NOx排放量</w:t>
            </w:r>
          </w:p>
        </w:tc>
        <w:tc>
          <w:tcPr>
            <w:tcW w:w="1275" w:type="dxa"/>
            <w:gridSpan w:val="2"/>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≥2000t/a□</w:t>
            </w:r>
          </w:p>
        </w:tc>
        <w:tc>
          <w:tcPr>
            <w:tcW w:w="3221" w:type="dxa"/>
            <w:gridSpan w:val="16"/>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500~2000t/a□</w:t>
            </w:r>
          </w:p>
        </w:tc>
        <w:tc>
          <w:tcPr>
            <w:tcW w:w="1526" w:type="dxa"/>
            <w:gridSpan w:val="4"/>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＜500t/a</w:t>
            </w:r>
            <w:r>
              <w:rPr>
                <w:rFonts w:hint="default" w:ascii="Times New Roman" w:hAnsi="Times New Roman" w:cs="Times New Roman"/>
                <w:color w:val="auto"/>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jc w:val="center"/>
        </w:trPr>
        <w:tc>
          <w:tcPr>
            <w:tcW w:w="924" w:type="dxa"/>
            <w:vMerge w:val="continue"/>
            <w:tcBorders>
              <w:tl2br w:val="nil"/>
              <w:tr2bl w:val="nil"/>
            </w:tcBorders>
            <w:noWrap w:val="0"/>
            <w:vAlign w:val="center"/>
          </w:tcPr>
          <w:p>
            <w:pPr>
              <w:pStyle w:val="22"/>
              <w:bidi w:val="0"/>
              <w:rPr>
                <w:rFonts w:hint="default" w:ascii="Times New Roman" w:hAnsi="Times New Roman" w:cs="Times New Roman"/>
                <w:color w:val="auto"/>
                <w:highlight w:val="none"/>
              </w:rPr>
            </w:pPr>
          </w:p>
        </w:tc>
        <w:tc>
          <w:tcPr>
            <w:tcW w:w="1593" w:type="dxa"/>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评价因子</w:t>
            </w:r>
          </w:p>
        </w:tc>
        <w:tc>
          <w:tcPr>
            <w:tcW w:w="3333" w:type="dxa"/>
            <w:gridSpan w:val="12"/>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基本污染物（</w:t>
            </w:r>
            <w:r>
              <w:rPr>
                <w:rFonts w:hint="default" w:ascii="Times New Roman" w:hAnsi="Times New Roman" w:cs="Times New Roman"/>
                <w:color w:val="auto"/>
                <w:highlight w:val="none"/>
                <w:lang w:val="en-US" w:eastAsia="zh-CN"/>
              </w:rPr>
              <w:t>氯化氢、硫酸雾、氮氧化合物和非甲烷总烃</w:t>
            </w:r>
            <w:r>
              <w:rPr>
                <w:rFonts w:hint="default" w:ascii="Times New Roman" w:hAnsi="Times New Roman" w:cs="Times New Roman"/>
                <w:color w:val="auto"/>
                <w:highlight w:val="none"/>
              </w:rPr>
              <w:t>）</w:t>
            </w:r>
          </w:p>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其他污染物（</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w:t>
            </w:r>
          </w:p>
        </w:tc>
        <w:tc>
          <w:tcPr>
            <w:tcW w:w="2689" w:type="dxa"/>
            <w:gridSpan w:val="10"/>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包括二次PM2.5□</w:t>
            </w:r>
          </w:p>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不包括二次PM2.5</w:t>
            </w:r>
            <w:r>
              <w:rPr>
                <w:rFonts w:hint="default" w:ascii="Times New Roman" w:hAnsi="Times New Roman" w:cs="Times New Roman"/>
                <w:color w:val="auto"/>
                <w:highlight w:val="none"/>
              </w:rPr>
              <w:sym w:font="Wingdings" w:char="0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924" w:type="dxa"/>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评价标准</w:t>
            </w:r>
          </w:p>
        </w:tc>
        <w:tc>
          <w:tcPr>
            <w:tcW w:w="1593" w:type="dxa"/>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评价标准</w:t>
            </w:r>
          </w:p>
        </w:tc>
        <w:tc>
          <w:tcPr>
            <w:tcW w:w="1858" w:type="dxa"/>
            <w:gridSpan w:val="6"/>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国家标准</w:t>
            </w:r>
            <w:r>
              <w:rPr>
                <w:rFonts w:hint="default" w:ascii="Times New Roman" w:hAnsi="Times New Roman" w:cs="Times New Roman"/>
                <w:color w:val="auto"/>
                <w:highlight w:val="none"/>
              </w:rPr>
              <w:sym w:font="Wingdings" w:char="00FE"/>
            </w:r>
          </w:p>
        </w:tc>
        <w:tc>
          <w:tcPr>
            <w:tcW w:w="1475" w:type="dxa"/>
            <w:gridSpan w:val="6"/>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地方标准□</w:t>
            </w:r>
          </w:p>
        </w:tc>
        <w:tc>
          <w:tcPr>
            <w:tcW w:w="1547" w:type="dxa"/>
            <w:gridSpan w:val="8"/>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附录D□</w:t>
            </w:r>
          </w:p>
        </w:tc>
        <w:tc>
          <w:tcPr>
            <w:tcW w:w="1142" w:type="dxa"/>
            <w:gridSpan w:val="2"/>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其他标准□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924" w:type="dxa"/>
            <w:vMerge w:val="restart"/>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现状评价</w:t>
            </w:r>
          </w:p>
        </w:tc>
        <w:tc>
          <w:tcPr>
            <w:tcW w:w="1593" w:type="dxa"/>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环境功能区</w:t>
            </w:r>
          </w:p>
        </w:tc>
        <w:tc>
          <w:tcPr>
            <w:tcW w:w="2389" w:type="dxa"/>
            <w:gridSpan w:val="8"/>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一类区□</w:t>
            </w:r>
          </w:p>
        </w:tc>
        <w:tc>
          <w:tcPr>
            <w:tcW w:w="2043" w:type="dxa"/>
            <w:gridSpan w:val="8"/>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二类区</w:t>
            </w:r>
            <w:r>
              <w:rPr>
                <w:rFonts w:hint="default" w:ascii="Times New Roman" w:hAnsi="Times New Roman" w:cs="Times New Roman"/>
                <w:color w:val="auto"/>
                <w:highlight w:val="none"/>
              </w:rPr>
              <w:sym w:font="Wingdings" w:char="00A8"/>
            </w:r>
          </w:p>
        </w:tc>
        <w:tc>
          <w:tcPr>
            <w:tcW w:w="1590" w:type="dxa"/>
            <w:gridSpan w:val="6"/>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一类区和二类区□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jc w:val="center"/>
        </w:trPr>
        <w:tc>
          <w:tcPr>
            <w:tcW w:w="924" w:type="dxa"/>
            <w:vMerge w:val="continue"/>
            <w:tcBorders>
              <w:tl2br w:val="nil"/>
              <w:tr2bl w:val="nil"/>
            </w:tcBorders>
            <w:noWrap w:val="0"/>
            <w:vAlign w:val="center"/>
          </w:tcPr>
          <w:p>
            <w:pPr>
              <w:pStyle w:val="22"/>
              <w:bidi w:val="0"/>
              <w:rPr>
                <w:rFonts w:hint="default" w:ascii="Times New Roman" w:hAnsi="Times New Roman" w:cs="Times New Roman"/>
                <w:color w:val="auto"/>
                <w:highlight w:val="none"/>
              </w:rPr>
            </w:pPr>
          </w:p>
        </w:tc>
        <w:tc>
          <w:tcPr>
            <w:tcW w:w="1593" w:type="dxa"/>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评价基准年</w:t>
            </w:r>
          </w:p>
        </w:tc>
        <w:tc>
          <w:tcPr>
            <w:tcW w:w="6022" w:type="dxa"/>
            <w:gridSpan w:val="22"/>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（2019）年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924" w:type="dxa"/>
            <w:vMerge w:val="continue"/>
            <w:tcBorders>
              <w:tl2br w:val="nil"/>
              <w:tr2bl w:val="nil"/>
            </w:tcBorders>
            <w:noWrap w:val="0"/>
            <w:vAlign w:val="center"/>
          </w:tcPr>
          <w:p>
            <w:pPr>
              <w:pStyle w:val="22"/>
              <w:bidi w:val="0"/>
              <w:rPr>
                <w:rFonts w:hint="default" w:ascii="Times New Roman" w:hAnsi="Times New Roman" w:cs="Times New Roman"/>
                <w:color w:val="auto"/>
                <w:highlight w:val="none"/>
              </w:rPr>
            </w:pPr>
          </w:p>
        </w:tc>
        <w:tc>
          <w:tcPr>
            <w:tcW w:w="1593" w:type="dxa"/>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环境空气质量</w:t>
            </w:r>
          </w:p>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现状调查数据来源</w:t>
            </w:r>
          </w:p>
        </w:tc>
        <w:tc>
          <w:tcPr>
            <w:tcW w:w="2389" w:type="dxa"/>
            <w:gridSpan w:val="8"/>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长期例行监测数据□</w:t>
            </w:r>
          </w:p>
        </w:tc>
        <w:tc>
          <w:tcPr>
            <w:tcW w:w="2106" w:type="dxa"/>
            <w:gridSpan w:val="9"/>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主管部门发布的数据</w:t>
            </w:r>
            <w:r>
              <w:rPr>
                <w:rFonts w:hint="default" w:ascii="Times New Roman" w:hAnsi="Times New Roman" w:cs="Times New Roman"/>
                <w:color w:val="auto"/>
                <w:highlight w:val="none"/>
              </w:rPr>
              <w:sym w:font="Wingdings" w:char="00FE"/>
            </w:r>
          </w:p>
        </w:tc>
        <w:tc>
          <w:tcPr>
            <w:tcW w:w="1527" w:type="dxa"/>
            <w:gridSpan w:val="5"/>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现状补充监测</w:t>
            </w:r>
            <w:r>
              <w:rPr>
                <w:rFonts w:hint="default" w:ascii="Times New Roman" w:hAnsi="Times New Roman" w:cs="Times New Roman"/>
                <w:color w:val="auto"/>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924" w:type="dxa"/>
            <w:vMerge w:val="continue"/>
            <w:tcBorders>
              <w:tl2br w:val="nil"/>
              <w:tr2bl w:val="nil"/>
            </w:tcBorders>
            <w:noWrap w:val="0"/>
            <w:vAlign w:val="center"/>
          </w:tcPr>
          <w:p>
            <w:pPr>
              <w:pStyle w:val="22"/>
              <w:bidi w:val="0"/>
              <w:rPr>
                <w:rFonts w:hint="default" w:ascii="Times New Roman" w:hAnsi="Times New Roman" w:cs="Times New Roman"/>
                <w:color w:val="auto"/>
                <w:highlight w:val="none"/>
              </w:rPr>
            </w:pPr>
          </w:p>
        </w:tc>
        <w:tc>
          <w:tcPr>
            <w:tcW w:w="1593" w:type="dxa"/>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现状评价</w:t>
            </w:r>
          </w:p>
        </w:tc>
        <w:tc>
          <w:tcPr>
            <w:tcW w:w="3333" w:type="dxa"/>
            <w:gridSpan w:val="12"/>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达标区□</w:t>
            </w:r>
          </w:p>
        </w:tc>
        <w:tc>
          <w:tcPr>
            <w:tcW w:w="2689" w:type="dxa"/>
            <w:gridSpan w:val="10"/>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不达标区</w:t>
            </w:r>
            <w:r>
              <w:rPr>
                <w:rFonts w:hint="default" w:ascii="Times New Roman" w:hAnsi="Times New Roman" w:cs="Times New Roman"/>
                <w:color w:val="auto"/>
                <w:highlight w:val="none"/>
              </w:rPr>
              <w:sym w:font="Wingdings" w:char="0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8" w:hRule="atLeast"/>
          <w:jc w:val="center"/>
        </w:trPr>
        <w:tc>
          <w:tcPr>
            <w:tcW w:w="924" w:type="dxa"/>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污染</w:t>
            </w:r>
          </w:p>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源调查</w:t>
            </w:r>
          </w:p>
        </w:tc>
        <w:tc>
          <w:tcPr>
            <w:tcW w:w="1593" w:type="dxa"/>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调查内容</w:t>
            </w:r>
          </w:p>
        </w:tc>
        <w:tc>
          <w:tcPr>
            <w:tcW w:w="2124" w:type="dxa"/>
            <w:gridSpan w:val="7"/>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本项目正常排放源</w:t>
            </w:r>
            <w:r>
              <w:rPr>
                <w:rFonts w:hint="default" w:ascii="Times New Roman" w:hAnsi="Times New Roman" w:cs="Times New Roman"/>
                <w:color w:val="auto"/>
                <w:highlight w:val="none"/>
              </w:rPr>
              <w:sym w:font="Wingdings" w:char="00A8"/>
            </w:r>
          </w:p>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本项目非正常排放源□</w:t>
            </w:r>
          </w:p>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现有污染源□</w:t>
            </w:r>
          </w:p>
        </w:tc>
        <w:tc>
          <w:tcPr>
            <w:tcW w:w="1209" w:type="dxa"/>
            <w:gridSpan w:val="5"/>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拟替代的污染源□</w:t>
            </w:r>
          </w:p>
        </w:tc>
        <w:tc>
          <w:tcPr>
            <w:tcW w:w="1547" w:type="dxa"/>
            <w:gridSpan w:val="8"/>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其他在建、拟建项目污染源□</w:t>
            </w:r>
          </w:p>
        </w:tc>
        <w:tc>
          <w:tcPr>
            <w:tcW w:w="1142" w:type="dxa"/>
            <w:gridSpan w:val="2"/>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区域污染源□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8" w:hRule="atLeast"/>
          <w:jc w:val="center"/>
        </w:trPr>
        <w:tc>
          <w:tcPr>
            <w:tcW w:w="924" w:type="dxa"/>
            <w:vMerge w:val="restart"/>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大气环境影响预测与评价</w:t>
            </w:r>
          </w:p>
        </w:tc>
        <w:tc>
          <w:tcPr>
            <w:tcW w:w="1593" w:type="dxa"/>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预测模型</w:t>
            </w:r>
          </w:p>
        </w:tc>
        <w:tc>
          <w:tcPr>
            <w:tcW w:w="920" w:type="dxa"/>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AERMOD</w:t>
            </w:r>
          </w:p>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825" w:type="dxa"/>
            <w:gridSpan w:val="4"/>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ADMS</w:t>
            </w:r>
          </w:p>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w:t>
            </w:r>
          </w:p>
        </w:tc>
        <w:tc>
          <w:tcPr>
            <w:tcW w:w="1001" w:type="dxa"/>
            <w:gridSpan w:val="5"/>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AUSTAL2000□</w:t>
            </w:r>
          </w:p>
        </w:tc>
        <w:tc>
          <w:tcPr>
            <w:tcW w:w="976" w:type="dxa"/>
            <w:gridSpan w:val="3"/>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EDMS/AEDT□</w:t>
            </w:r>
          </w:p>
        </w:tc>
        <w:tc>
          <w:tcPr>
            <w:tcW w:w="773" w:type="dxa"/>
            <w:gridSpan w:val="4"/>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CALPUFF□</w:t>
            </w:r>
          </w:p>
        </w:tc>
        <w:tc>
          <w:tcPr>
            <w:tcW w:w="842" w:type="dxa"/>
            <w:gridSpan w:val="4"/>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网格模型□</w:t>
            </w:r>
          </w:p>
        </w:tc>
        <w:tc>
          <w:tcPr>
            <w:tcW w:w="685" w:type="dxa"/>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其他</w:t>
            </w:r>
            <w:r>
              <w:rPr>
                <w:rFonts w:hint="default" w:ascii="Times New Roman" w:hAnsi="Times New Roman" w:cs="Times New Roman"/>
                <w:color w:val="auto"/>
                <w:highlight w:val="none"/>
              </w:rPr>
              <w:sym w:font="Wingdings" w:char="0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5" w:hRule="atLeast"/>
          <w:jc w:val="center"/>
        </w:trPr>
        <w:tc>
          <w:tcPr>
            <w:tcW w:w="924" w:type="dxa"/>
            <w:vMerge w:val="continue"/>
            <w:tcBorders>
              <w:tl2br w:val="nil"/>
              <w:tr2bl w:val="nil"/>
            </w:tcBorders>
            <w:noWrap w:val="0"/>
            <w:vAlign w:val="center"/>
          </w:tcPr>
          <w:p>
            <w:pPr>
              <w:pStyle w:val="22"/>
              <w:bidi w:val="0"/>
              <w:rPr>
                <w:rFonts w:hint="default" w:ascii="Times New Roman" w:hAnsi="Times New Roman" w:cs="Times New Roman"/>
                <w:color w:val="auto"/>
                <w:highlight w:val="none"/>
              </w:rPr>
            </w:pPr>
          </w:p>
        </w:tc>
        <w:tc>
          <w:tcPr>
            <w:tcW w:w="1593" w:type="dxa"/>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预测范围</w:t>
            </w:r>
          </w:p>
        </w:tc>
        <w:tc>
          <w:tcPr>
            <w:tcW w:w="1745" w:type="dxa"/>
            <w:gridSpan w:val="5"/>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边长≥50km□</w:t>
            </w:r>
          </w:p>
        </w:tc>
        <w:tc>
          <w:tcPr>
            <w:tcW w:w="2750" w:type="dxa"/>
            <w:gridSpan w:val="12"/>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边长5～50km□</w:t>
            </w:r>
          </w:p>
        </w:tc>
        <w:tc>
          <w:tcPr>
            <w:tcW w:w="1527" w:type="dxa"/>
            <w:gridSpan w:val="5"/>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边长=5km</w:t>
            </w:r>
            <w:r>
              <w:rPr>
                <w:rFonts w:hint="default" w:ascii="Times New Roman" w:hAnsi="Times New Roman" w:cs="Times New Roman"/>
                <w:color w:val="auto"/>
                <w:highlight w:val="none"/>
              </w:rPr>
              <w:sym w:font="Wingdings" w:char="0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jc w:val="center"/>
        </w:trPr>
        <w:tc>
          <w:tcPr>
            <w:tcW w:w="924" w:type="dxa"/>
            <w:vMerge w:val="continue"/>
            <w:tcBorders>
              <w:tl2br w:val="nil"/>
              <w:tr2bl w:val="nil"/>
            </w:tcBorders>
            <w:noWrap w:val="0"/>
            <w:vAlign w:val="center"/>
          </w:tcPr>
          <w:p>
            <w:pPr>
              <w:pStyle w:val="22"/>
              <w:bidi w:val="0"/>
              <w:rPr>
                <w:rFonts w:hint="default" w:ascii="Times New Roman" w:hAnsi="Times New Roman" w:cs="Times New Roman"/>
                <w:color w:val="auto"/>
                <w:highlight w:val="none"/>
              </w:rPr>
            </w:pPr>
          </w:p>
        </w:tc>
        <w:tc>
          <w:tcPr>
            <w:tcW w:w="1593" w:type="dxa"/>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预测因子</w:t>
            </w:r>
          </w:p>
        </w:tc>
        <w:tc>
          <w:tcPr>
            <w:tcW w:w="3333" w:type="dxa"/>
            <w:gridSpan w:val="12"/>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预测因子（</w:t>
            </w:r>
            <w:r>
              <w:rPr>
                <w:rFonts w:hint="default" w:ascii="Times New Roman" w:hAnsi="Times New Roman" w:cs="Times New Roman"/>
                <w:color w:val="auto"/>
                <w:highlight w:val="none"/>
                <w:lang w:val="en-US" w:eastAsia="zh-CN"/>
              </w:rPr>
              <w:t>氯化氢、硫酸雾、氮氧化合物和非甲烷总烃</w:t>
            </w:r>
            <w:r>
              <w:rPr>
                <w:rFonts w:hint="default" w:ascii="Times New Roman" w:hAnsi="Times New Roman" w:cs="Times New Roman"/>
                <w:color w:val="auto"/>
                <w:highlight w:val="none"/>
              </w:rPr>
              <w:t>）</w:t>
            </w:r>
          </w:p>
        </w:tc>
        <w:tc>
          <w:tcPr>
            <w:tcW w:w="2689" w:type="dxa"/>
            <w:gridSpan w:val="10"/>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包括二次PM2.5□</w:t>
            </w:r>
          </w:p>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不包括二次PM2.5</w:t>
            </w:r>
            <w:r>
              <w:rPr>
                <w:rFonts w:hint="default" w:ascii="Times New Roman" w:hAnsi="Times New Roman" w:cs="Times New Roman"/>
                <w:color w:val="auto"/>
                <w:highlight w:val="none"/>
              </w:rPr>
              <w:sym w:font="Wingdings" w:char="00FE"/>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924" w:type="dxa"/>
            <w:vMerge w:val="continue"/>
            <w:tcBorders>
              <w:tl2br w:val="nil"/>
              <w:tr2bl w:val="nil"/>
            </w:tcBorders>
            <w:noWrap w:val="0"/>
            <w:vAlign w:val="center"/>
          </w:tcPr>
          <w:p>
            <w:pPr>
              <w:pStyle w:val="22"/>
              <w:bidi w:val="0"/>
              <w:rPr>
                <w:rFonts w:hint="default" w:ascii="Times New Roman" w:hAnsi="Times New Roman" w:cs="Times New Roman"/>
                <w:color w:val="auto"/>
                <w:highlight w:val="none"/>
              </w:rPr>
            </w:pPr>
          </w:p>
        </w:tc>
        <w:tc>
          <w:tcPr>
            <w:tcW w:w="1593" w:type="dxa"/>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正常排放短期浓度贡献值</w:t>
            </w:r>
          </w:p>
        </w:tc>
        <w:tc>
          <w:tcPr>
            <w:tcW w:w="3333" w:type="dxa"/>
            <w:gridSpan w:val="12"/>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C本项目最大占标率≤100%</w:t>
            </w:r>
            <w:r>
              <w:rPr>
                <w:rFonts w:hint="default" w:ascii="Times New Roman" w:hAnsi="Times New Roman" w:cs="Times New Roman"/>
                <w:color w:val="auto"/>
                <w:highlight w:val="none"/>
              </w:rPr>
              <w:sym w:font="Wingdings" w:char="00A8"/>
            </w:r>
          </w:p>
        </w:tc>
        <w:tc>
          <w:tcPr>
            <w:tcW w:w="2689" w:type="dxa"/>
            <w:gridSpan w:val="10"/>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C本项目最大占标率＞100%□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jc w:val="center"/>
        </w:trPr>
        <w:tc>
          <w:tcPr>
            <w:tcW w:w="924" w:type="dxa"/>
            <w:vMerge w:val="continue"/>
            <w:tcBorders>
              <w:tl2br w:val="nil"/>
              <w:tr2bl w:val="nil"/>
            </w:tcBorders>
            <w:noWrap w:val="0"/>
            <w:vAlign w:val="center"/>
          </w:tcPr>
          <w:p>
            <w:pPr>
              <w:pStyle w:val="22"/>
              <w:bidi w:val="0"/>
              <w:rPr>
                <w:rFonts w:hint="default" w:ascii="Times New Roman" w:hAnsi="Times New Roman" w:cs="Times New Roman"/>
                <w:color w:val="auto"/>
                <w:highlight w:val="none"/>
              </w:rPr>
            </w:pPr>
          </w:p>
        </w:tc>
        <w:tc>
          <w:tcPr>
            <w:tcW w:w="1593" w:type="dxa"/>
            <w:vMerge w:val="restart"/>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正常排放</w:t>
            </w:r>
          </w:p>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年均浓度贡献值</w:t>
            </w:r>
          </w:p>
        </w:tc>
        <w:tc>
          <w:tcPr>
            <w:tcW w:w="920" w:type="dxa"/>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一类区</w:t>
            </w:r>
          </w:p>
        </w:tc>
        <w:tc>
          <w:tcPr>
            <w:tcW w:w="2413" w:type="dxa"/>
            <w:gridSpan w:val="11"/>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C本项目最大占标率≤10%□</w:t>
            </w:r>
          </w:p>
        </w:tc>
        <w:tc>
          <w:tcPr>
            <w:tcW w:w="2689" w:type="dxa"/>
            <w:gridSpan w:val="10"/>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C本项目最大标率＞10%□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0" w:hRule="atLeast"/>
          <w:jc w:val="center"/>
        </w:trPr>
        <w:tc>
          <w:tcPr>
            <w:tcW w:w="924" w:type="dxa"/>
            <w:vMerge w:val="continue"/>
            <w:tcBorders>
              <w:tl2br w:val="nil"/>
              <w:tr2bl w:val="nil"/>
            </w:tcBorders>
            <w:noWrap w:val="0"/>
            <w:vAlign w:val="center"/>
          </w:tcPr>
          <w:p>
            <w:pPr>
              <w:pStyle w:val="22"/>
              <w:bidi w:val="0"/>
              <w:rPr>
                <w:rFonts w:hint="default" w:ascii="Times New Roman" w:hAnsi="Times New Roman" w:cs="Times New Roman"/>
                <w:color w:val="auto"/>
                <w:highlight w:val="none"/>
              </w:rPr>
            </w:pPr>
          </w:p>
        </w:tc>
        <w:tc>
          <w:tcPr>
            <w:tcW w:w="1593" w:type="dxa"/>
            <w:vMerge w:val="continue"/>
            <w:tcBorders>
              <w:tl2br w:val="nil"/>
              <w:tr2bl w:val="nil"/>
            </w:tcBorders>
            <w:noWrap w:val="0"/>
            <w:vAlign w:val="center"/>
          </w:tcPr>
          <w:p>
            <w:pPr>
              <w:pStyle w:val="22"/>
              <w:bidi w:val="0"/>
              <w:rPr>
                <w:rFonts w:hint="default" w:ascii="Times New Roman" w:hAnsi="Times New Roman" w:cs="Times New Roman"/>
                <w:color w:val="auto"/>
                <w:highlight w:val="none"/>
              </w:rPr>
            </w:pPr>
          </w:p>
        </w:tc>
        <w:tc>
          <w:tcPr>
            <w:tcW w:w="920" w:type="dxa"/>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二类区</w:t>
            </w:r>
          </w:p>
        </w:tc>
        <w:tc>
          <w:tcPr>
            <w:tcW w:w="2413" w:type="dxa"/>
            <w:gridSpan w:val="11"/>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C本项目最大占标率≤30%</w:t>
            </w:r>
            <w:r>
              <w:rPr>
                <w:rFonts w:hint="default" w:ascii="Times New Roman" w:hAnsi="Times New Roman" w:cs="Times New Roman"/>
                <w:color w:val="auto"/>
                <w:highlight w:val="none"/>
              </w:rPr>
              <w:sym w:font="Wingdings" w:char="00A8"/>
            </w:r>
          </w:p>
        </w:tc>
        <w:tc>
          <w:tcPr>
            <w:tcW w:w="2689" w:type="dxa"/>
            <w:gridSpan w:val="10"/>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C本项目最大标率＞30%□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924" w:type="dxa"/>
            <w:vMerge w:val="continue"/>
            <w:tcBorders>
              <w:tl2br w:val="nil"/>
              <w:tr2bl w:val="nil"/>
            </w:tcBorders>
            <w:noWrap w:val="0"/>
            <w:vAlign w:val="center"/>
          </w:tcPr>
          <w:p>
            <w:pPr>
              <w:pStyle w:val="22"/>
              <w:bidi w:val="0"/>
              <w:rPr>
                <w:rFonts w:hint="default" w:ascii="Times New Roman" w:hAnsi="Times New Roman" w:cs="Times New Roman"/>
                <w:color w:val="auto"/>
                <w:highlight w:val="none"/>
              </w:rPr>
            </w:pPr>
          </w:p>
        </w:tc>
        <w:tc>
          <w:tcPr>
            <w:tcW w:w="1593" w:type="dxa"/>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非正常排放</w:t>
            </w:r>
          </w:p>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1h浓度贡献值</w:t>
            </w:r>
          </w:p>
        </w:tc>
        <w:tc>
          <w:tcPr>
            <w:tcW w:w="1383" w:type="dxa"/>
            <w:gridSpan w:val="3"/>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非正常持续时长（2）h</w:t>
            </w:r>
          </w:p>
        </w:tc>
        <w:tc>
          <w:tcPr>
            <w:tcW w:w="2513" w:type="dxa"/>
            <w:gridSpan w:val="11"/>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C非正常占标率≤100%</w:t>
            </w:r>
            <w:r>
              <w:rPr>
                <w:rFonts w:hint="default" w:ascii="Times New Roman" w:hAnsi="Times New Roman" w:cs="Times New Roman"/>
                <w:color w:val="auto"/>
                <w:highlight w:val="none"/>
              </w:rPr>
              <w:sym w:font="Wingdings" w:char="00A8"/>
            </w:r>
          </w:p>
        </w:tc>
        <w:tc>
          <w:tcPr>
            <w:tcW w:w="2126" w:type="dxa"/>
            <w:gridSpan w:val="8"/>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占标率＞100%□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4" w:hRule="atLeast"/>
          <w:jc w:val="center"/>
        </w:trPr>
        <w:tc>
          <w:tcPr>
            <w:tcW w:w="924" w:type="dxa"/>
            <w:vMerge w:val="continue"/>
            <w:tcBorders>
              <w:tl2br w:val="nil"/>
              <w:tr2bl w:val="nil"/>
            </w:tcBorders>
            <w:noWrap w:val="0"/>
            <w:vAlign w:val="center"/>
          </w:tcPr>
          <w:p>
            <w:pPr>
              <w:pStyle w:val="22"/>
              <w:bidi w:val="0"/>
              <w:rPr>
                <w:rFonts w:hint="default" w:ascii="Times New Roman" w:hAnsi="Times New Roman" w:cs="Times New Roman"/>
                <w:color w:val="auto"/>
                <w:highlight w:val="none"/>
              </w:rPr>
            </w:pPr>
          </w:p>
        </w:tc>
        <w:tc>
          <w:tcPr>
            <w:tcW w:w="1593" w:type="dxa"/>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保证率日平均浓度和年平均浓度叠加值</w:t>
            </w:r>
          </w:p>
        </w:tc>
        <w:tc>
          <w:tcPr>
            <w:tcW w:w="2848" w:type="dxa"/>
            <w:gridSpan w:val="11"/>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C叠加达标□</w:t>
            </w:r>
          </w:p>
        </w:tc>
        <w:tc>
          <w:tcPr>
            <w:tcW w:w="3174" w:type="dxa"/>
            <w:gridSpan w:val="11"/>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C叠加不达标□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924" w:type="dxa"/>
            <w:vMerge w:val="continue"/>
            <w:tcBorders>
              <w:tl2br w:val="nil"/>
              <w:tr2bl w:val="nil"/>
            </w:tcBorders>
            <w:noWrap w:val="0"/>
            <w:vAlign w:val="center"/>
          </w:tcPr>
          <w:p>
            <w:pPr>
              <w:pStyle w:val="22"/>
              <w:bidi w:val="0"/>
              <w:rPr>
                <w:rFonts w:hint="default" w:ascii="Times New Roman" w:hAnsi="Times New Roman" w:cs="Times New Roman"/>
                <w:color w:val="auto"/>
                <w:highlight w:val="none"/>
              </w:rPr>
            </w:pPr>
          </w:p>
        </w:tc>
        <w:tc>
          <w:tcPr>
            <w:tcW w:w="1593" w:type="dxa"/>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区域环境质量</w:t>
            </w:r>
          </w:p>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的整体变化情况</w:t>
            </w:r>
          </w:p>
        </w:tc>
        <w:tc>
          <w:tcPr>
            <w:tcW w:w="2848" w:type="dxa"/>
            <w:gridSpan w:val="11"/>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k≤-20%</w:t>
            </w:r>
            <w:r>
              <w:rPr>
                <w:rFonts w:hint="default" w:ascii="Times New Roman" w:hAnsi="Times New Roman" w:cs="Times New Roman"/>
                <w:color w:val="auto"/>
                <w:highlight w:val="none"/>
              </w:rPr>
              <w:sym w:font="Wingdings" w:char="00A8"/>
            </w:r>
          </w:p>
        </w:tc>
        <w:tc>
          <w:tcPr>
            <w:tcW w:w="3174" w:type="dxa"/>
            <w:gridSpan w:val="11"/>
            <w:tcBorders>
              <w:tl2br w:val="nil"/>
              <w:tr2bl w:val="nil"/>
            </w:tcBorders>
            <w:noWrap w:val="0"/>
            <w:vAlign w:val="center"/>
          </w:tcPr>
          <w:p>
            <w:pPr>
              <w:pStyle w:val="22"/>
              <w:bidi w:val="0"/>
              <w:rPr>
                <w:rFonts w:hint="eastAsia" w:ascii="Times New Roman" w:hAnsi="Times New Roman" w:eastAsia="宋体" w:cs="Times New Roman"/>
                <w:color w:val="auto"/>
                <w:highlight w:val="none"/>
                <w:lang w:eastAsia="zh-CN"/>
              </w:rPr>
            </w:pPr>
            <w:r>
              <w:rPr>
                <w:rFonts w:hint="default" w:ascii="Times New Roman" w:hAnsi="Times New Roman" w:cs="Times New Roman"/>
                <w:color w:val="auto"/>
                <w:highlight w:val="none"/>
              </w:rPr>
              <w:t>k＞-20%</w:t>
            </w:r>
            <w:r>
              <w:rPr>
                <w:rFonts w:hint="eastAsia" w:ascii="Times New Roman" w:hAnsi="Times New Roman" w:cs="Times New Roman"/>
                <w:color w:val="auto"/>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jc w:val="center"/>
        </w:trPr>
        <w:tc>
          <w:tcPr>
            <w:tcW w:w="924" w:type="dxa"/>
            <w:vMerge w:val="restart"/>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环境监测计划</w:t>
            </w:r>
          </w:p>
        </w:tc>
        <w:tc>
          <w:tcPr>
            <w:tcW w:w="1593" w:type="dxa"/>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污染源监测</w:t>
            </w:r>
          </w:p>
        </w:tc>
        <w:tc>
          <w:tcPr>
            <w:tcW w:w="2638" w:type="dxa"/>
            <w:gridSpan w:val="9"/>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监测因子：（</w:t>
            </w:r>
            <w:r>
              <w:rPr>
                <w:rFonts w:hint="default" w:ascii="Times New Roman" w:hAnsi="Times New Roman" w:cs="Times New Roman"/>
                <w:color w:val="auto"/>
                <w:highlight w:val="none"/>
                <w:lang w:val="en-US" w:eastAsia="zh-CN"/>
              </w:rPr>
              <w:t>氯化氢、硫酸雾、氮氧化合物和非甲烷总烃</w:t>
            </w:r>
            <w:r>
              <w:rPr>
                <w:rFonts w:hint="default" w:ascii="Times New Roman" w:hAnsi="Times New Roman" w:cs="Times New Roman"/>
                <w:color w:val="auto"/>
                <w:highlight w:val="none"/>
              </w:rPr>
              <w:t>）</w:t>
            </w:r>
          </w:p>
        </w:tc>
        <w:tc>
          <w:tcPr>
            <w:tcW w:w="2241" w:type="dxa"/>
            <w:gridSpan w:val="10"/>
            <w:tcBorders>
              <w:tl2br w:val="nil"/>
              <w:tr2bl w:val="nil"/>
            </w:tcBorders>
            <w:noWrap w:val="0"/>
            <w:vAlign w:val="center"/>
          </w:tcPr>
          <w:p>
            <w:pPr>
              <w:pStyle w:val="2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有组织废气监测</w:t>
            </w:r>
            <w:r>
              <w:rPr>
                <w:rFonts w:hint="default" w:ascii="Times New Roman" w:hAnsi="Times New Roman" w:cs="Times New Roman"/>
                <w:color w:val="auto"/>
                <w:highlight w:val="none"/>
                <w:lang w:eastAsia="zh-CN"/>
              </w:rPr>
              <w:t>☑</w:t>
            </w:r>
          </w:p>
          <w:p>
            <w:pPr>
              <w:pStyle w:val="2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无组织废气监测</w:t>
            </w:r>
            <w:r>
              <w:rPr>
                <w:rFonts w:hint="default" w:ascii="Times New Roman" w:hAnsi="Times New Roman" w:cs="Times New Roman"/>
                <w:color w:val="auto"/>
                <w:highlight w:val="none"/>
                <w:lang w:eastAsia="zh-CN"/>
              </w:rPr>
              <w:t>☑</w:t>
            </w:r>
          </w:p>
        </w:tc>
        <w:tc>
          <w:tcPr>
            <w:tcW w:w="1143" w:type="dxa"/>
            <w:gridSpan w:val="3"/>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无监测</w:t>
            </w:r>
            <w:r>
              <w:rPr>
                <w:rFonts w:hint="default" w:ascii="Times New Roman" w:hAnsi="Times New Roman" w:cs="Times New Roman"/>
                <w:color w:val="auto"/>
                <w:highlight w:val="none"/>
              </w:rPr>
              <w:sym w:font="Wingdings" w:char="00A8"/>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jc w:val="center"/>
        </w:trPr>
        <w:tc>
          <w:tcPr>
            <w:tcW w:w="924" w:type="dxa"/>
            <w:vMerge w:val="continue"/>
            <w:tcBorders>
              <w:tl2br w:val="nil"/>
              <w:tr2bl w:val="nil"/>
            </w:tcBorders>
            <w:noWrap w:val="0"/>
            <w:vAlign w:val="center"/>
          </w:tcPr>
          <w:p>
            <w:pPr>
              <w:pStyle w:val="22"/>
              <w:bidi w:val="0"/>
              <w:rPr>
                <w:rFonts w:hint="default" w:ascii="Times New Roman" w:hAnsi="Times New Roman" w:cs="Times New Roman"/>
                <w:color w:val="auto"/>
                <w:highlight w:val="none"/>
              </w:rPr>
            </w:pPr>
          </w:p>
        </w:tc>
        <w:tc>
          <w:tcPr>
            <w:tcW w:w="1593" w:type="dxa"/>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环境质量监测</w:t>
            </w:r>
          </w:p>
        </w:tc>
        <w:tc>
          <w:tcPr>
            <w:tcW w:w="2638" w:type="dxa"/>
            <w:gridSpan w:val="9"/>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监测因子：（）</w:t>
            </w:r>
          </w:p>
        </w:tc>
        <w:tc>
          <w:tcPr>
            <w:tcW w:w="2241" w:type="dxa"/>
            <w:gridSpan w:val="10"/>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监测点位数（）</w:t>
            </w:r>
          </w:p>
        </w:tc>
        <w:tc>
          <w:tcPr>
            <w:tcW w:w="1143" w:type="dxa"/>
            <w:gridSpan w:val="3"/>
            <w:tcBorders>
              <w:tl2br w:val="nil"/>
              <w:tr2bl w:val="nil"/>
            </w:tcBorders>
            <w:noWrap w:val="0"/>
            <w:vAlign w:val="center"/>
          </w:tcPr>
          <w:p>
            <w:pPr>
              <w:pStyle w:val="22"/>
              <w:bidi w:val="0"/>
              <w:rPr>
                <w:rFonts w:hint="default" w:ascii="Times New Roman" w:hAnsi="Times New Roman" w:cs="Times New Roman"/>
                <w:color w:val="auto"/>
                <w:highlight w:val="none"/>
                <w:lang w:eastAsia="zh-CN"/>
              </w:rPr>
            </w:pPr>
            <w:r>
              <w:rPr>
                <w:rFonts w:hint="default" w:ascii="Times New Roman" w:hAnsi="Times New Roman" w:cs="Times New Roman"/>
                <w:color w:val="auto"/>
                <w:highlight w:val="none"/>
              </w:rPr>
              <w:t>无监测</w:t>
            </w:r>
            <w:r>
              <w:rPr>
                <w:rFonts w:hint="default" w:ascii="Times New Roman" w:hAnsi="Times New Roman" w:cs="Times New Roman"/>
                <w:color w:val="auto"/>
                <w:highlight w:val="none"/>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jc w:val="center"/>
        </w:trPr>
        <w:tc>
          <w:tcPr>
            <w:tcW w:w="924" w:type="dxa"/>
            <w:vMerge w:val="restart"/>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评价结论</w:t>
            </w:r>
          </w:p>
        </w:tc>
        <w:tc>
          <w:tcPr>
            <w:tcW w:w="1593" w:type="dxa"/>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环境影响</w:t>
            </w:r>
          </w:p>
        </w:tc>
        <w:tc>
          <w:tcPr>
            <w:tcW w:w="6022" w:type="dxa"/>
            <w:gridSpan w:val="22"/>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可以接受</w:t>
            </w:r>
            <w:r>
              <w:rPr>
                <w:rFonts w:hint="default" w:ascii="Times New Roman" w:hAnsi="Times New Roman" w:cs="Times New Roman"/>
                <w:color w:val="auto"/>
                <w:highlight w:val="none"/>
              </w:rPr>
              <w:sym w:font="Wingdings" w:char="00FE"/>
            </w:r>
            <w:r>
              <w:rPr>
                <w:rFonts w:hint="default" w:ascii="Times New Roman" w:hAnsi="Times New Roman" w:cs="Times New Roman"/>
                <w:color w:val="auto"/>
                <w:highlight w:val="none"/>
              </w:rPr>
              <w:t>不可以接受□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6" w:hRule="atLeast"/>
          <w:jc w:val="center"/>
        </w:trPr>
        <w:tc>
          <w:tcPr>
            <w:tcW w:w="924" w:type="dxa"/>
            <w:vMerge w:val="continue"/>
            <w:tcBorders>
              <w:tl2br w:val="nil"/>
              <w:tr2bl w:val="nil"/>
            </w:tcBorders>
            <w:noWrap w:val="0"/>
            <w:vAlign w:val="center"/>
          </w:tcPr>
          <w:p>
            <w:pPr>
              <w:pStyle w:val="22"/>
              <w:bidi w:val="0"/>
              <w:rPr>
                <w:rFonts w:hint="default" w:ascii="Times New Roman" w:hAnsi="Times New Roman" w:cs="Times New Roman"/>
                <w:color w:val="auto"/>
                <w:highlight w:val="none"/>
              </w:rPr>
            </w:pPr>
          </w:p>
        </w:tc>
        <w:tc>
          <w:tcPr>
            <w:tcW w:w="1593" w:type="dxa"/>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大气环境防护距离</w:t>
            </w:r>
          </w:p>
        </w:tc>
        <w:tc>
          <w:tcPr>
            <w:tcW w:w="6022" w:type="dxa"/>
            <w:gridSpan w:val="22"/>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距（</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）厂界最远（</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1" w:hRule="atLeast"/>
          <w:jc w:val="center"/>
        </w:trPr>
        <w:tc>
          <w:tcPr>
            <w:tcW w:w="924" w:type="dxa"/>
            <w:vMerge w:val="continue"/>
            <w:tcBorders>
              <w:tl2br w:val="nil"/>
              <w:tr2bl w:val="nil"/>
            </w:tcBorders>
            <w:noWrap w:val="0"/>
            <w:vAlign w:val="center"/>
          </w:tcPr>
          <w:p>
            <w:pPr>
              <w:pStyle w:val="22"/>
              <w:bidi w:val="0"/>
              <w:rPr>
                <w:rFonts w:hint="default" w:ascii="Times New Roman" w:hAnsi="Times New Roman" w:cs="Times New Roman"/>
                <w:color w:val="auto"/>
                <w:highlight w:val="none"/>
              </w:rPr>
            </w:pPr>
          </w:p>
        </w:tc>
        <w:tc>
          <w:tcPr>
            <w:tcW w:w="1593" w:type="dxa"/>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污染源年排放量</w:t>
            </w:r>
          </w:p>
        </w:tc>
        <w:tc>
          <w:tcPr>
            <w:tcW w:w="1513" w:type="dxa"/>
            <w:gridSpan w:val="4"/>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SO2:（）t/a</w:t>
            </w:r>
          </w:p>
        </w:tc>
        <w:tc>
          <w:tcPr>
            <w:tcW w:w="1233" w:type="dxa"/>
            <w:gridSpan w:val="6"/>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NOx:（）t/a</w:t>
            </w:r>
          </w:p>
        </w:tc>
        <w:tc>
          <w:tcPr>
            <w:tcW w:w="1257" w:type="dxa"/>
            <w:gridSpan w:val="5"/>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颗粒物</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（）t/a</w:t>
            </w:r>
          </w:p>
        </w:tc>
        <w:tc>
          <w:tcPr>
            <w:tcW w:w="2019" w:type="dxa"/>
            <w:gridSpan w:val="7"/>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VOCs:（）t/a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jc w:val="center"/>
        </w:trPr>
        <w:tc>
          <w:tcPr>
            <w:tcW w:w="8539" w:type="dxa"/>
            <w:gridSpan w:val="24"/>
            <w:tcBorders>
              <w:tl2br w:val="nil"/>
              <w:tr2bl w:val="nil"/>
            </w:tcBorders>
            <w:noWrap w:val="0"/>
            <w:vAlign w:val="center"/>
          </w:tcPr>
          <w:p>
            <w:pPr>
              <w:pStyle w:val="22"/>
              <w:bidi w:val="0"/>
              <w:rPr>
                <w:rFonts w:hint="default" w:ascii="Times New Roman" w:hAnsi="Times New Roman" w:cs="Times New Roman"/>
                <w:color w:val="auto"/>
                <w:highlight w:val="none"/>
              </w:rPr>
            </w:pPr>
            <w:r>
              <w:rPr>
                <w:rFonts w:hint="default" w:ascii="Times New Roman" w:hAnsi="Times New Roman" w:cs="Times New Roman"/>
                <w:color w:val="auto"/>
                <w:highlight w:val="none"/>
              </w:rPr>
              <w:t>注：“□”为勾选项，填“√”；“（）”为内容填写项</w:t>
            </w:r>
          </w:p>
        </w:tc>
      </w:tr>
    </w:tbl>
    <w:p>
      <w:pPr>
        <w:pStyle w:val="6"/>
        <w:bidi w:val="0"/>
        <w:rPr>
          <w:color w:val="auto"/>
        </w:rPr>
      </w:pPr>
      <w:bookmarkStart w:id="103" w:name="_Toc26455"/>
      <w:r>
        <w:rPr>
          <w:color w:val="auto"/>
        </w:rPr>
        <w:t>5.2.2</w:t>
      </w:r>
      <w:r>
        <w:rPr>
          <w:rFonts w:hint="eastAsia"/>
          <w:color w:val="auto"/>
          <w:lang w:val="en-US" w:eastAsia="zh-CN"/>
        </w:rPr>
        <w:t>地表水</w:t>
      </w:r>
      <w:r>
        <w:rPr>
          <w:color w:val="auto"/>
        </w:rPr>
        <w:t>环境影响分析</w:t>
      </w:r>
      <w:bookmarkEnd w:id="103"/>
    </w:p>
    <w:p>
      <w:pPr>
        <w:pStyle w:val="7"/>
        <w:bidi w:val="0"/>
        <w:rPr>
          <w:color w:val="auto"/>
        </w:rPr>
      </w:pPr>
      <w:r>
        <w:rPr>
          <w:rFonts w:hint="eastAsia"/>
          <w:color w:val="auto"/>
          <w:lang w:val="en-US" w:eastAsia="zh-CN"/>
        </w:rPr>
        <w:t>5</w:t>
      </w:r>
      <w:r>
        <w:rPr>
          <w:color w:val="auto"/>
        </w:rPr>
        <w:t>.</w:t>
      </w:r>
      <w:r>
        <w:rPr>
          <w:rFonts w:hint="eastAsia"/>
          <w:color w:val="auto"/>
          <w:lang w:val="en-US" w:eastAsia="zh-CN"/>
        </w:rPr>
        <w:t>2.2.1</w:t>
      </w:r>
      <w:r>
        <w:rPr>
          <w:color w:val="auto"/>
        </w:rPr>
        <w:t>项目废水排放去向</w:t>
      </w:r>
    </w:p>
    <w:p>
      <w:pPr>
        <w:bidi w:val="0"/>
        <w:rPr>
          <w:color w:val="auto"/>
        </w:rPr>
      </w:pPr>
      <w:r>
        <w:rPr>
          <w:color w:val="auto"/>
        </w:rPr>
        <w:t>本项目各种废水分别经预处理后水质达到《医疗机构水污染物排放标准》</w:t>
      </w:r>
      <w:r>
        <w:rPr>
          <w:rFonts w:hint="eastAsia" w:eastAsia="宋体"/>
          <w:color w:val="auto"/>
          <w:lang w:eastAsia="zh-CN"/>
        </w:rPr>
        <w:t>（</w:t>
      </w:r>
      <w:r>
        <w:rPr>
          <w:color w:val="auto"/>
        </w:rPr>
        <w:t>GB18466-2005</w:t>
      </w:r>
      <w:r>
        <w:rPr>
          <w:rFonts w:hint="eastAsia" w:eastAsia="宋体"/>
          <w:color w:val="auto"/>
          <w:lang w:eastAsia="zh-CN"/>
        </w:rPr>
        <w:t>）</w:t>
      </w:r>
      <w:r>
        <w:rPr>
          <w:color w:val="auto"/>
        </w:rPr>
        <w:t>表1标准后由总排口经市政污水管网排入</w:t>
      </w:r>
      <w:r>
        <w:rPr>
          <w:rFonts w:hint="eastAsia"/>
          <w:color w:val="auto"/>
          <w:lang w:val="en-US" w:eastAsia="zh-CN"/>
        </w:rPr>
        <w:t>皮山农场</w:t>
      </w:r>
      <w:r>
        <w:rPr>
          <w:color w:val="auto"/>
        </w:rPr>
        <w:t>污水处理厂进行进一步处理</w:t>
      </w:r>
      <w:r>
        <w:rPr>
          <w:rFonts w:hint="eastAsia" w:eastAsia="宋体"/>
          <w:color w:val="auto"/>
          <w:lang w:eastAsia="zh-CN"/>
        </w:rPr>
        <w:t>。</w:t>
      </w:r>
      <w:r>
        <w:rPr>
          <w:color w:val="auto"/>
        </w:rPr>
        <w:t>自建污水处理站处理采用污水处理站采用地埋式一体化处理设备，处理工艺为“调节池+水解酸化+接触氧化+沉淀+消毒”。</w:t>
      </w:r>
    </w:p>
    <w:p>
      <w:pPr>
        <w:pStyle w:val="7"/>
        <w:bidi w:val="0"/>
        <w:rPr>
          <w:color w:val="auto"/>
        </w:rPr>
      </w:pPr>
      <w:r>
        <w:rPr>
          <w:rFonts w:hint="eastAsia"/>
          <w:color w:val="auto"/>
          <w:lang w:val="en-US" w:eastAsia="zh-CN"/>
        </w:rPr>
        <w:t>5.2.2.2</w:t>
      </w:r>
      <w:r>
        <w:rPr>
          <w:color w:val="auto"/>
        </w:rPr>
        <w:t>依托污水处理设施的环境可行性</w:t>
      </w:r>
    </w:p>
    <w:p>
      <w:pPr>
        <w:bidi w:val="0"/>
        <w:rPr>
          <w:color w:val="auto"/>
          <w:highlight w:val="none"/>
        </w:rPr>
      </w:pPr>
      <w:r>
        <w:rPr>
          <w:color w:val="auto"/>
          <w:highlight w:val="none"/>
        </w:rPr>
        <w:t>（1）</w:t>
      </w:r>
      <w:r>
        <w:rPr>
          <w:rFonts w:hint="eastAsia"/>
          <w:color w:val="auto"/>
          <w:highlight w:val="none"/>
          <w:lang w:val="en-US" w:eastAsia="zh-CN"/>
        </w:rPr>
        <w:t>皮山农场</w:t>
      </w:r>
      <w:r>
        <w:rPr>
          <w:color w:val="auto"/>
          <w:highlight w:val="none"/>
        </w:rPr>
        <w:t>污水处理厂基本情况</w:t>
      </w:r>
    </w:p>
    <w:p>
      <w:pPr>
        <w:bidi w:val="0"/>
        <w:rPr>
          <w:color w:val="auto"/>
          <w:highlight w:val="none"/>
        </w:rPr>
      </w:pPr>
      <w:r>
        <w:rPr>
          <w:color w:val="auto"/>
          <w:highlight w:val="none"/>
        </w:rPr>
        <w:t>污水处理厂为皮山农场场部东北侧约2.4km处，总占地面积A=28272m</w:t>
      </w:r>
      <w:r>
        <w:rPr>
          <w:color w:val="auto"/>
          <w:highlight w:val="none"/>
          <w:vertAlign w:val="superscript"/>
        </w:rPr>
        <w:t>2</w:t>
      </w:r>
      <w:r>
        <w:rPr>
          <w:rFonts w:hint="eastAsia"/>
          <w:color w:val="auto"/>
          <w:highlight w:val="none"/>
          <w:vertAlign w:val="superscript"/>
          <w:lang w:eastAsia="zh-CN"/>
        </w:rPr>
        <w:t>（</w:t>
      </w:r>
      <w:r>
        <w:rPr>
          <w:color w:val="auto"/>
          <w:highlight w:val="none"/>
        </w:rPr>
        <w:t>约42.4亩</w:t>
      </w:r>
      <w:r>
        <w:rPr>
          <w:rFonts w:hint="eastAsia"/>
          <w:color w:val="auto"/>
          <w:highlight w:val="none"/>
          <w:lang w:eastAsia="zh-CN"/>
        </w:rPr>
        <w:t>）</w:t>
      </w:r>
      <w:r>
        <w:rPr>
          <w:color w:val="auto"/>
          <w:highlight w:val="none"/>
        </w:rPr>
        <w:t>，污水处理核心工艺为“A2/0生化池+MBR膜工艺+次氯酸钠消毒”。粗格栅间、污水提升泵池合、细格栅及沉砂池、调节池、膜格栅间、生化池配水井、AAO生化池、MBR膜生物池及设备间、消毒接触池、加氯间、污泥脱水机房、污泥调节及污水提升池、鼓风机房、出水在线监测室、锅炉房、配电间、鼓风机房、值班室、业务用房、车库及机修间、围墙667</w:t>
      </w:r>
      <w:r>
        <w:rPr>
          <w:rFonts w:hint="eastAsia"/>
          <w:color w:val="auto"/>
          <w:highlight w:val="none"/>
          <w:lang w:val="en-US" w:eastAsia="zh-CN"/>
        </w:rPr>
        <w:t>m</w:t>
      </w:r>
      <w:r>
        <w:rPr>
          <w:color w:val="auto"/>
          <w:highlight w:val="none"/>
        </w:rPr>
        <w:t>、厂区绿化12735</w:t>
      </w:r>
      <w:r>
        <w:rPr>
          <w:rFonts w:hint="eastAsia"/>
          <w:color w:val="auto"/>
          <w:highlight w:val="none"/>
          <w:lang w:val="en-US" w:eastAsia="zh-CN"/>
        </w:rPr>
        <w:t>m</w:t>
      </w:r>
      <w:r>
        <w:rPr>
          <w:rFonts w:hint="eastAsia"/>
          <w:color w:val="auto"/>
          <w:highlight w:val="none"/>
          <w:vertAlign w:val="superscript"/>
          <w:lang w:val="en-US" w:eastAsia="zh-CN"/>
        </w:rPr>
        <w:t>2</w:t>
      </w:r>
      <w:r>
        <w:rPr>
          <w:color w:val="auto"/>
          <w:highlight w:val="none"/>
        </w:rPr>
        <w:t>、自控仪表、厂区综合管线、厂区硬化等配套基础设施建设。</w:t>
      </w:r>
    </w:p>
    <w:p>
      <w:pPr>
        <w:bidi w:val="0"/>
        <w:rPr>
          <w:color w:val="auto"/>
          <w:highlight w:val="none"/>
        </w:rPr>
      </w:pPr>
      <w:r>
        <w:rPr>
          <w:color w:val="auto"/>
          <w:highlight w:val="none"/>
        </w:rPr>
        <w:t>（2）接管可行性分析</w:t>
      </w:r>
    </w:p>
    <w:p>
      <w:pPr>
        <w:bidi w:val="0"/>
        <w:rPr>
          <w:color w:val="auto"/>
          <w:highlight w:val="none"/>
        </w:rPr>
      </w:pPr>
      <w:r>
        <w:rPr>
          <w:color w:val="auto"/>
          <w:highlight w:val="none"/>
        </w:rPr>
        <w:t>项目所在区域本属于</w:t>
      </w:r>
      <w:r>
        <w:rPr>
          <w:rFonts w:hint="eastAsia"/>
          <w:color w:val="auto"/>
          <w:highlight w:val="none"/>
          <w:lang w:val="en-US" w:eastAsia="zh-CN"/>
        </w:rPr>
        <w:t>皮山农场</w:t>
      </w:r>
      <w:r>
        <w:rPr>
          <w:color w:val="auto"/>
          <w:highlight w:val="none"/>
        </w:rPr>
        <w:t>污水处理厂</w:t>
      </w:r>
      <w:r>
        <w:rPr>
          <w:rFonts w:hint="eastAsia"/>
          <w:color w:val="auto"/>
          <w:highlight w:val="none"/>
          <w:lang w:eastAsia="zh-CN"/>
        </w:rPr>
        <w:t>的</w:t>
      </w:r>
      <w:r>
        <w:rPr>
          <w:color w:val="auto"/>
          <w:highlight w:val="none"/>
        </w:rPr>
        <w:t>收水范围，</w:t>
      </w:r>
      <w:r>
        <w:rPr>
          <w:rFonts w:hint="eastAsia"/>
          <w:color w:val="auto"/>
          <w:highlight w:val="none"/>
          <w:lang w:val="en-US" w:eastAsia="zh-CN"/>
        </w:rPr>
        <w:t>根据调查，皮山农场污水处理厂现状日处理7280</w:t>
      </w:r>
      <w:r>
        <w:rPr>
          <w:color w:val="auto"/>
          <w:highlight w:val="none"/>
        </w:rPr>
        <w:t>m</w:t>
      </w:r>
      <w:r>
        <w:rPr>
          <w:color w:val="auto"/>
          <w:highlight w:val="none"/>
          <w:vertAlign w:val="superscript"/>
        </w:rPr>
        <w:t>3</w:t>
      </w:r>
      <w:r>
        <w:rPr>
          <w:color w:val="auto"/>
          <w:highlight w:val="none"/>
        </w:rPr>
        <w:t>/d；本项目建成后，日均废水排放量为</w:t>
      </w:r>
      <w:r>
        <w:rPr>
          <w:rFonts w:hint="eastAsia"/>
          <w:color w:val="auto"/>
          <w:highlight w:val="none"/>
          <w:lang w:val="en-US" w:eastAsia="zh-CN"/>
        </w:rPr>
        <w:t>4.728</w:t>
      </w:r>
      <w:r>
        <w:rPr>
          <w:color w:val="auto"/>
          <w:highlight w:val="none"/>
        </w:rPr>
        <w:t>t/d，占该污水处理厂设计处理能力</w:t>
      </w:r>
      <w:r>
        <w:rPr>
          <w:rFonts w:hint="eastAsia"/>
          <w:color w:val="auto"/>
          <w:highlight w:val="none"/>
          <w:lang w:val="en-US" w:eastAsia="zh-CN"/>
        </w:rPr>
        <w:t>10000</w:t>
      </w:r>
      <w:r>
        <w:rPr>
          <w:color w:val="auto"/>
          <w:highlight w:val="none"/>
        </w:rPr>
        <w:t>m</w:t>
      </w:r>
      <w:r>
        <w:rPr>
          <w:color w:val="auto"/>
          <w:highlight w:val="none"/>
          <w:vertAlign w:val="superscript"/>
        </w:rPr>
        <w:t>3</w:t>
      </w:r>
      <w:r>
        <w:rPr>
          <w:color w:val="auto"/>
          <w:highlight w:val="none"/>
        </w:rPr>
        <w:t>/d的</w:t>
      </w:r>
      <w:r>
        <w:rPr>
          <w:rFonts w:hint="eastAsia"/>
          <w:color w:val="auto"/>
          <w:highlight w:val="none"/>
          <w:lang w:val="en-US" w:eastAsia="zh-CN"/>
        </w:rPr>
        <w:t>0.47</w:t>
      </w:r>
      <w:r>
        <w:rPr>
          <w:color w:val="auto"/>
          <w:highlight w:val="none"/>
        </w:rPr>
        <w:t>%，不会对污水处理厂产生冲击负荷</w:t>
      </w:r>
      <w:r>
        <w:rPr>
          <w:rFonts w:hint="eastAsia"/>
          <w:color w:val="auto"/>
          <w:highlight w:val="none"/>
          <w:lang w:eastAsia="zh-CN"/>
        </w:rPr>
        <w:t>。</w:t>
      </w:r>
    </w:p>
    <w:p>
      <w:pPr>
        <w:bidi w:val="0"/>
        <w:rPr>
          <w:color w:val="auto"/>
          <w:highlight w:val="none"/>
        </w:rPr>
      </w:pPr>
      <w:r>
        <w:rPr>
          <w:color w:val="auto"/>
          <w:highlight w:val="none"/>
        </w:rPr>
        <w:t>本项目产生的废水能够经过污水管网进入</w:t>
      </w:r>
      <w:r>
        <w:rPr>
          <w:rFonts w:hint="eastAsia"/>
          <w:color w:val="auto"/>
          <w:highlight w:val="none"/>
          <w:lang w:val="en-US" w:eastAsia="zh-CN"/>
        </w:rPr>
        <w:t>皮山农场</w:t>
      </w:r>
      <w:r>
        <w:rPr>
          <w:color w:val="auto"/>
          <w:highlight w:val="none"/>
        </w:rPr>
        <w:t>污水处理厂，处理后达到《城镇污水处理厂污染物排放标准》（GB18918-2002）一级A标准后作为生态用水排放至下游沙漠防护林区，根据该污水处理厂的环评结论，满负荷运营时，废水排放对环境影响较小。因此本项目投入运行后产生的废水经自建污水处理系统处理达到</w:t>
      </w:r>
      <w:r>
        <w:rPr>
          <w:rFonts w:hint="eastAsia"/>
          <w:color w:val="auto"/>
          <w:highlight w:val="none"/>
          <w:lang w:val="en-US" w:eastAsia="zh-CN"/>
        </w:rPr>
        <w:t>皮山农场</w:t>
      </w:r>
      <w:r>
        <w:rPr>
          <w:color w:val="auto"/>
          <w:highlight w:val="none"/>
        </w:rPr>
        <w:t>污水处理厂接管标准后，经污水管网进入</w:t>
      </w:r>
      <w:r>
        <w:rPr>
          <w:rFonts w:hint="eastAsia"/>
          <w:color w:val="auto"/>
          <w:highlight w:val="none"/>
          <w:lang w:val="en-US" w:eastAsia="zh-CN"/>
        </w:rPr>
        <w:t>皮山农场</w:t>
      </w:r>
      <w:r>
        <w:rPr>
          <w:color w:val="auto"/>
          <w:highlight w:val="none"/>
        </w:rPr>
        <w:t>污水处理厂可行。</w:t>
      </w:r>
    </w:p>
    <w:p>
      <w:pPr>
        <w:bidi w:val="0"/>
        <w:rPr>
          <w:color w:val="auto"/>
          <w:highlight w:val="none"/>
        </w:rPr>
      </w:pPr>
      <w:r>
        <w:rPr>
          <w:color w:val="auto"/>
          <w:highlight w:val="none"/>
        </w:rPr>
        <w:t>综上所述，项目废水的排放满足水污染控制和水环境影响减缓措施有效性评价以及依托污水处理设施的环境可行性，本环评认为地表水环境影响可以接受。</w:t>
      </w:r>
    </w:p>
    <w:p>
      <w:pPr>
        <w:pStyle w:val="7"/>
        <w:bidi w:val="0"/>
        <w:rPr>
          <w:color w:val="auto"/>
        </w:rPr>
      </w:pPr>
      <w:r>
        <w:rPr>
          <w:rFonts w:hint="eastAsia"/>
          <w:color w:val="auto"/>
          <w:lang w:val="en-US" w:eastAsia="zh-CN"/>
        </w:rPr>
        <w:t>5.2.2.3</w:t>
      </w:r>
      <w:r>
        <w:rPr>
          <w:color w:val="auto"/>
        </w:rPr>
        <w:t>地表水环境影响评价自查表</w:t>
      </w:r>
    </w:p>
    <w:p>
      <w:pPr>
        <w:bidi w:val="0"/>
        <w:rPr>
          <w:color w:val="auto"/>
        </w:rPr>
      </w:pPr>
      <w:r>
        <w:rPr>
          <w:color w:val="auto"/>
        </w:rPr>
        <w:t>本项目地表水环境影响评价自查表见表5</w:t>
      </w:r>
      <w:r>
        <w:rPr>
          <w:rFonts w:hint="eastAsia"/>
          <w:color w:val="auto"/>
          <w:lang w:val="en-US" w:eastAsia="zh-CN"/>
        </w:rPr>
        <w:t>.2-5</w:t>
      </w:r>
      <w:r>
        <w:rPr>
          <w:color w:val="auto"/>
        </w:rPr>
        <w:t>。</w:t>
      </w:r>
    </w:p>
    <w:p>
      <w:pPr>
        <w:pStyle w:val="22"/>
        <w:bidi w:val="0"/>
        <w:rPr>
          <w:b/>
          <w:bCs/>
          <w:color w:val="auto"/>
        </w:rPr>
      </w:pPr>
      <w:r>
        <w:rPr>
          <w:b/>
          <w:bCs/>
          <w:color w:val="auto"/>
        </w:rPr>
        <w:t>表5</w:t>
      </w:r>
      <w:r>
        <w:rPr>
          <w:rFonts w:hint="eastAsia"/>
          <w:b/>
          <w:bCs/>
          <w:color w:val="auto"/>
          <w:lang w:val="en-US" w:eastAsia="zh-CN"/>
        </w:rPr>
        <w:t>.2-5</w:t>
      </w:r>
      <w:r>
        <w:rPr>
          <w:b/>
          <w:bCs/>
          <w:color w:val="auto"/>
        </w:rPr>
        <w:t>地表水环境影响评价自查表</w:t>
      </w:r>
    </w:p>
    <w:tbl>
      <w:tblPr>
        <w:tblStyle w:val="23"/>
        <w:tblW w:w="924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9"/>
        <w:gridCol w:w="1523"/>
        <w:gridCol w:w="1354"/>
        <w:gridCol w:w="338"/>
        <w:gridCol w:w="57"/>
        <w:gridCol w:w="508"/>
        <w:gridCol w:w="452"/>
        <w:gridCol w:w="675"/>
        <w:gridCol w:w="679"/>
        <w:gridCol w:w="197"/>
        <w:gridCol w:w="253"/>
        <w:gridCol w:w="1"/>
        <w:gridCol w:w="850"/>
        <w:gridCol w:w="53"/>
        <w:gridCol w:w="13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2472" w:type="dxa"/>
            <w:gridSpan w:val="2"/>
            <w:tcBorders>
              <w:tl2br w:val="nil"/>
              <w:tr2bl w:val="nil"/>
            </w:tcBorders>
            <w:vAlign w:val="center"/>
          </w:tcPr>
          <w:p>
            <w:pPr>
              <w:pStyle w:val="22"/>
              <w:bidi w:val="0"/>
              <w:jc w:val="center"/>
              <w:rPr>
                <w:b/>
                <w:bCs/>
                <w:color w:val="auto"/>
              </w:rPr>
            </w:pPr>
            <w:r>
              <w:rPr>
                <w:b/>
                <w:bCs/>
                <w:color w:val="auto"/>
              </w:rPr>
              <w:t>工作内容</w:t>
            </w:r>
          </w:p>
        </w:tc>
        <w:tc>
          <w:tcPr>
            <w:tcW w:w="6776" w:type="dxa"/>
            <w:gridSpan w:val="13"/>
            <w:tcBorders>
              <w:tl2br w:val="nil"/>
              <w:tr2bl w:val="nil"/>
            </w:tcBorders>
            <w:vAlign w:val="center"/>
          </w:tcPr>
          <w:p>
            <w:pPr>
              <w:pStyle w:val="22"/>
              <w:bidi w:val="0"/>
              <w:jc w:val="center"/>
              <w:rPr>
                <w:b/>
                <w:bCs/>
                <w:color w:val="auto"/>
              </w:rPr>
            </w:pPr>
            <w:r>
              <w:rPr>
                <w:b/>
                <w:bCs/>
                <w:color w:val="auto"/>
              </w:rPr>
              <w:t>自查项目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jc w:val="center"/>
        </w:trPr>
        <w:tc>
          <w:tcPr>
            <w:tcW w:w="949" w:type="dxa"/>
            <w:vMerge w:val="restart"/>
            <w:tcBorders>
              <w:tl2br w:val="nil"/>
              <w:tr2bl w:val="nil"/>
            </w:tcBorders>
            <w:textDirection w:val="tbRlV"/>
            <w:vAlign w:val="center"/>
          </w:tcPr>
          <w:p>
            <w:pPr>
              <w:pStyle w:val="22"/>
              <w:bidi w:val="0"/>
              <w:jc w:val="center"/>
              <w:rPr>
                <w:color w:val="auto"/>
              </w:rPr>
            </w:pPr>
          </w:p>
          <w:p>
            <w:pPr>
              <w:pStyle w:val="22"/>
              <w:bidi w:val="0"/>
              <w:jc w:val="center"/>
              <w:rPr>
                <w:color w:val="auto"/>
              </w:rPr>
            </w:pPr>
            <w:r>
              <w:rPr>
                <w:color w:val="auto"/>
              </w:rPr>
              <w:t>影响识别</w:t>
            </w:r>
          </w:p>
        </w:tc>
        <w:tc>
          <w:tcPr>
            <w:tcW w:w="1523" w:type="dxa"/>
            <w:tcBorders>
              <w:tl2br w:val="nil"/>
              <w:tr2bl w:val="nil"/>
            </w:tcBorders>
            <w:vAlign w:val="center"/>
          </w:tcPr>
          <w:p>
            <w:pPr>
              <w:pStyle w:val="22"/>
              <w:bidi w:val="0"/>
              <w:jc w:val="center"/>
              <w:rPr>
                <w:color w:val="auto"/>
              </w:rPr>
            </w:pPr>
            <w:r>
              <w:rPr>
                <w:color w:val="auto"/>
              </w:rPr>
              <w:t>影响类型</w:t>
            </w:r>
          </w:p>
        </w:tc>
        <w:tc>
          <w:tcPr>
            <w:tcW w:w="6776" w:type="dxa"/>
            <w:gridSpan w:val="13"/>
            <w:tcBorders>
              <w:tl2br w:val="nil"/>
              <w:tr2bl w:val="nil"/>
            </w:tcBorders>
            <w:vAlign w:val="center"/>
          </w:tcPr>
          <w:p>
            <w:pPr>
              <w:pStyle w:val="22"/>
              <w:bidi w:val="0"/>
              <w:jc w:val="center"/>
              <w:rPr>
                <w:rFonts w:hint="eastAsia" w:eastAsia="宋体"/>
                <w:color w:val="auto"/>
                <w:lang w:eastAsia="zh-CN"/>
              </w:rPr>
            </w:pPr>
            <w:r>
              <w:rPr>
                <w:color w:val="auto"/>
              </w:rPr>
              <w:t>水污染影响型</w:t>
            </w:r>
            <w:r>
              <w:rPr>
                <w:rFonts w:hint="eastAsia"/>
                <w:color w:val="auto"/>
                <w:lang w:eastAsia="zh-CN"/>
              </w:rPr>
              <w:t>☑</w:t>
            </w:r>
            <w:r>
              <w:rPr>
                <w:color w:val="auto"/>
              </w:rPr>
              <w:t>；水文要素影响型</w:t>
            </w:r>
            <w:r>
              <w:rPr>
                <w:rFonts w:hint="eastAsia"/>
                <w:color w:val="auto"/>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jc w:val="center"/>
        </w:trPr>
        <w:tc>
          <w:tcPr>
            <w:tcW w:w="949" w:type="dxa"/>
            <w:vMerge w:val="continue"/>
            <w:tcBorders>
              <w:tl2br w:val="nil"/>
              <w:tr2bl w:val="nil"/>
            </w:tcBorders>
            <w:textDirection w:val="tbRlV"/>
            <w:vAlign w:val="center"/>
          </w:tcPr>
          <w:p>
            <w:pPr>
              <w:pStyle w:val="22"/>
              <w:bidi w:val="0"/>
              <w:jc w:val="center"/>
              <w:rPr>
                <w:color w:val="auto"/>
              </w:rPr>
            </w:pPr>
          </w:p>
        </w:tc>
        <w:tc>
          <w:tcPr>
            <w:tcW w:w="1523" w:type="dxa"/>
            <w:tcBorders>
              <w:tl2br w:val="nil"/>
              <w:tr2bl w:val="nil"/>
            </w:tcBorders>
            <w:vAlign w:val="center"/>
          </w:tcPr>
          <w:p>
            <w:pPr>
              <w:pStyle w:val="22"/>
              <w:bidi w:val="0"/>
              <w:jc w:val="center"/>
              <w:rPr>
                <w:color w:val="auto"/>
              </w:rPr>
            </w:pPr>
            <w:r>
              <w:rPr>
                <w:color w:val="auto"/>
              </w:rPr>
              <w:t>水环境保护目标</w:t>
            </w:r>
          </w:p>
        </w:tc>
        <w:tc>
          <w:tcPr>
            <w:tcW w:w="6776" w:type="dxa"/>
            <w:gridSpan w:val="13"/>
            <w:tcBorders>
              <w:tl2br w:val="nil"/>
              <w:tr2bl w:val="nil"/>
            </w:tcBorders>
            <w:vAlign w:val="center"/>
          </w:tcPr>
          <w:p>
            <w:pPr>
              <w:pStyle w:val="22"/>
              <w:bidi w:val="0"/>
              <w:jc w:val="center"/>
              <w:rPr>
                <w:rFonts w:hint="eastAsia" w:eastAsia="宋体"/>
                <w:color w:val="auto"/>
                <w:lang w:eastAsia="zh-CN"/>
              </w:rPr>
            </w:pPr>
            <w:r>
              <w:rPr>
                <w:color w:val="auto"/>
              </w:rPr>
              <w:t>饮用水水源保护区</w:t>
            </w:r>
            <w:r>
              <w:rPr>
                <w:rFonts w:hint="eastAsia"/>
                <w:color w:val="auto"/>
                <w:lang w:eastAsia="zh-CN"/>
              </w:rPr>
              <w:t>□</w:t>
            </w:r>
            <w:r>
              <w:rPr>
                <w:color w:val="auto"/>
              </w:rPr>
              <w:t>；饮用水取水口</w:t>
            </w:r>
            <w:r>
              <w:rPr>
                <w:rFonts w:hint="eastAsia"/>
                <w:color w:val="auto"/>
                <w:lang w:eastAsia="zh-CN"/>
              </w:rPr>
              <w:t>□</w:t>
            </w:r>
            <w:r>
              <w:rPr>
                <w:color w:val="auto"/>
              </w:rPr>
              <w:t>；涉水的自然保护区</w:t>
            </w:r>
            <w:r>
              <w:rPr>
                <w:rFonts w:hint="eastAsia"/>
                <w:color w:val="auto"/>
                <w:lang w:eastAsia="zh-CN"/>
              </w:rPr>
              <w:t>□</w:t>
            </w:r>
            <w:r>
              <w:rPr>
                <w:color w:val="auto"/>
              </w:rPr>
              <w:t>；重要湿地</w:t>
            </w:r>
            <w:r>
              <w:rPr>
                <w:rFonts w:hint="eastAsia"/>
                <w:color w:val="auto"/>
                <w:lang w:eastAsia="zh-CN"/>
              </w:rPr>
              <w:t>□</w:t>
            </w:r>
            <w:r>
              <w:rPr>
                <w:color w:val="auto"/>
              </w:rPr>
              <w:t>；重点保护与珍稀水生生物的栖息地</w:t>
            </w:r>
            <w:r>
              <w:rPr>
                <w:rFonts w:hint="eastAsia"/>
                <w:color w:val="auto"/>
                <w:lang w:eastAsia="zh-CN"/>
              </w:rPr>
              <w:t>□</w:t>
            </w:r>
            <w:r>
              <w:rPr>
                <w:color w:val="auto"/>
              </w:rPr>
              <w:t>；重要水生生物的自然产卵场及索饵场、越冬场和洄游通道、天然渔场等渔业水体</w:t>
            </w:r>
            <w:r>
              <w:rPr>
                <w:rFonts w:hint="eastAsia"/>
                <w:color w:val="auto"/>
                <w:lang w:eastAsia="zh-CN"/>
              </w:rPr>
              <w:t>□</w:t>
            </w:r>
            <w:r>
              <w:rPr>
                <w:color w:val="auto"/>
              </w:rPr>
              <w:t>；涉水的风景名胜区</w:t>
            </w:r>
            <w:r>
              <w:rPr>
                <w:rFonts w:hint="eastAsia"/>
                <w:color w:val="auto"/>
                <w:lang w:eastAsia="zh-CN"/>
              </w:rPr>
              <w:t>□</w:t>
            </w:r>
            <w:r>
              <w:rPr>
                <w:color w:val="auto"/>
              </w:rPr>
              <w:t>；其他</w:t>
            </w:r>
            <w:r>
              <w:rPr>
                <w:rFonts w:hint="eastAsia"/>
                <w:color w:val="auto"/>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22"/>
              <w:bidi w:val="0"/>
              <w:jc w:val="center"/>
              <w:rPr>
                <w:color w:val="auto"/>
              </w:rPr>
            </w:pPr>
          </w:p>
        </w:tc>
        <w:tc>
          <w:tcPr>
            <w:tcW w:w="1523" w:type="dxa"/>
            <w:vMerge w:val="restart"/>
            <w:tcBorders>
              <w:tl2br w:val="nil"/>
              <w:tr2bl w:val="nil"/>
            </w:tcBorders>
            <w:vAlign w:val="center"/>
          </w:tcPr>
          <w:p>
            <w:pPr>
              <w:pStyle w:val="22"/>
              <w:bidi w:val="0"/>
              <w:jc w:val="center"/>
              <w:rPr>
                <w:color w:val="auto"/>
              </w:rPr>
            </w:pPr>
            <w:r>
              <w:rPr>
                <w:color w:val="auto"/>
              </w:rPr>
              <w:t>影响途径</w:t>
            </w:r>
          </w:p>
        </w:tc>
        <w:tc>
          <w:tcPr>
            <w:tcW w:w="3384" w:type="dxa"/>
            <w:gridSpan w:val="6"/>
            <w:tcBorders>
              <w:tl2br w:val="nil"/>
              <w:tr2bl w:val="nil"/>
            </w:tcBorders>
            <w:vAlign w:val="center"/>
          </w:tcPr>
          <w:p>
            <w:pPr>
              <w:pStyle w:val="22"/>
              <w:bidi w:val="0"/>
              <w:jc w:val="center"/>
              <w:rPr>
                <w:color w:val="auto"/>
              </w:rPr>
            </w:pPr>
            <w:r>
              <w:rPr>
                <w:color w:val="auto"/>
              </w:rPr>
              <w:t>水污染影响型</w:t>
            </w:r>
          </w:p>
        </w:tc>
        <w:tc>
          <w:tcPr>
            <w:tcW w:w="3392" w:type="dxa"/>
            <w:gridSpan w:val="7"/>
            <w:tcBorders>
              <w:tl2br w:val="nil"/>
              <w:tr2bl w:val="nil"/>
            </w:tcBorders>
            <w:vAlign w:val="center"/>
          </w:tcPr>
          <w:p>
            <w:pPr>
              <w:pStyle w:val="22"/>
              <w:bidi w:val="0"/>
              <w:jc w:val="center"/>
              <w:rPr>
                <w:color w:val="auto"/>
              </w:rPr>
            </w:pPr>
            <w:r>
              <w:rPr>
                <w:color w:val="auto"/>
              </w:rPr>
              <w:t>水文要素影响型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22"/>
              <w:bidi w:val="0"/>
              <w:jc w:val="center"/>
              <w:rPr>
                <w:color w:val="auto"/>
              </w:rPr>
            </w:pPr>
          </w:p>
        </w:tc>
        <w:tc>
          <w:tcPr>
            <w:tcW w:w="1523" w:type="dxa"/>
            <w:vMerge w:val="continue"/>
            <w:tcBorders>
              <w:tl2br w:val="nil"/>
              <w:tr2bl w:val="nil"/>
            </w:tcBorders>
            <w:vAlign w:val="center"/>
          </w:tcPr>
          <w:p>
            <w:pPr>
              <w:pStyle w:val="22"/>
              <w:bidi w:val="0"/>
              <w:jc w:val="center"/>
              <w:rPr>
                <w:color w:val="auto"/>
              </w:rPr>
            </w:pPr>
          </w:p>
        </w:tc>
        <w:tc>
          <w:tcPr>
            <w:tcW w:w="3384" w:type="dxa"/>
            <w:gridSpan w:val="6"/>
            <w:tcBorders>
              <w:tl2br w:val="nil"/>
              <w:tr2bl w:val="nil"/>
            </w:tcBorders>
            <w:vAlign w:val="center"/>
          </w:tcPr>
          <w:p>
            <w:pPr>
              <w:pStyle w:val="22"/>
              <w:bidi w:val="0"/>
              <w:jc w:val="center"/>
              <w:rPr>
                <w:rFonts w:hint="eastAsia" w:eastAsia="宋体"/>
                <w:color w:val="auto"/>
                <w:lang w:eastAsia="zh-CN"/>
              </w:rPr>
            </w:pPr>
            <w:r>
              <w:rPr>
                <w:color w:val="auto"/>
              </w:rPr>
              <w:t>直接排放</w:t>
            </w:r>
            <w:r>
              <w:rPr>
                <w:rFonts w:hint="eastAsia"/>
                <w:color w:val="auto"/>
                <w:lang w:eastAsia="zh-CN"/>
              </w:rPr>
              <w:t>□</w:t>
            </w:r>
            <w:r>
              <w:rPr>
                <w:color w:val="auto"/>
              </w:rPr>
              <w:t>；间接排放</w:t>
            </w:r>
            <w:r>
              <w:rPr>
                <w:rFonts w:hint="eastAsia"/>
                <w:color w:val="auto"/>
                <w:lang w:eastAsia="zh-CN"/>
              </w:rPr>
              <w:t>☑</w:t>
            </w:r>
            <w:r>
              <w:rPr>
                <w:color w:val="auto"/>
              </w:rPr>
              <w:t>；其他</w:t>
            </w:r>
            <w:r>
              <w:rPr>
                <w:rFonts w:hint="eastAsia"/>
                <w:color w:val="auto"/>
                <w:lang w:eastAsia="zh-CN"/>
              </w:rPr>
              <w:t>□</w:t>
            </w:r>
          </w:p>
        </w:tc>
        <w:tc>
          <w:tcPr>
            <w:tcW w:w="3392" w:type="dxa"/>
            <w:gridSpan w:val="7"/>
            <w:tcBorders>
              <w:tl2br w:val="nil"/>
              <w:tr2bl w:val="nil"/>
            </w:tcBorders>
            <w:vAlign w:val="center"/>
          </w:tcPr>
          <w:p>
            <w:pPr>
              <w:pStyle w:val="22"/>
              <w:bidi w:val="0"/>
              <w:jc w:val="center"/>
              <w:rPr>
                <w:rFonts w:hint="eastAsia" w:eastAsia="宋体"/>
                <w:color w:val="auto"/>
                <w:lang w:eastAsia="zh-CN"/>
              </w:rPr>
            </w:pPr>
            <w:r>
              <w:rPr>
                <w:color w:val="auto"/>
              </w:rPr>
              <w:t>水温□；径流□；水域面积□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1" w:hRule="atLeast"/>
          <w:jc w:val="center"/>
        </w:trPr>
        <w:tc>
          <w:tcPr>
            <w:tcW w:w="949" w:type="dxa"/>
            <w:vMerge w:val="continue"/>
            <w:tcBorders>
              <w:tl2br w:val="nil"/>
              <w:tr2bl w:val="nil"/>
            </w:tcBorders>
            <w:textDirection w:val="tbRlV"/>
            <w:vAlign w:val="center"/>
          </w:tcPr>
          <w:p>
            <w:pPr>
              <w:pStyle w:val="22"/>
              <w:bidi w:val="0"/>
              <w:jc w:val="center"/>
              <w:rPr>
                <w:color w:val="auto"/>
              </w:rPr>
            </w:pPr>
          </w:p>
        </w:tc>
        <w:tc>
          <w:tcPr>
            <w:tcW w:w="1523" w:type="dxa"/>
            <w:tcBorders>
              <w:tl2br w:val="nil"/>
              <w:tr2bl w:val="nil"/>
            </w:tcBorders>
            <w:vAlign w:val="center"/>
          </w:tcPr>
          <w:p>
            <w:pPr>
              <w:pStyle w:val="22"/>
              <w:bidi w:val="0"/>
              <w:jc w:val="center"/>
              <w:rPr>
                <w:color w:val="auto"/>
              </w:rPr>
            </w:pPr>
            <w:r>
              <w:rPr>
                <w:color w:val="auto"/>
              </w:rPr>
              <w:t>影响因子</w:t>
            </w:r>
          </w:p>
        </w:tc>
        <w:tc>
          <w:tcPr>
            <w:tcW w:w="3384" w:type="dxa"/>
            <w:gridSpan w:val="6"/>
            <w:tcBorders>
              <w:tl2br w:val="nil"/>
              <w:tr2bl w:val="nil"/>
            </w:tcBorders>
            <w:vAlign w:val="center"/>
          </w:tcPr>
          <w:p>
            <w:pPr>
              <w:pStyle w:val="22"/>
              <w:bidi w:val="0"/>
              <w:jc w:val="center"/>
              <w:rPr>
                <w:color w:val="auto"/>
              </w:rPr>
            </w:pPr>
            <w:r>
              <w:rPr>
                <w:color w:val="auto"/>
              </w:rPr>
              <w:t>持久性污染物□；有毒有害污染物□；非持久性污染物</w:t>
            </w:r>
            <w:r>
              <w:rPr>
                <w:rFonts w:hint="eastAsia"/>
                <w:color w:val="auto"/>
                <w:lang w:eastAsia="zh-CN"/>
              </w:rPr>
              <w:t>☑</w:t>
            </w:r>
            <w:r>
              <w:rPr>
                <w:color w:val="auto"/>
              </w:rPr>
              <w:t>；</w:t>
            </w:r>
          </w:p>
          <w:p>
            <w:pPr>
              <w:pStyle w:val="22"/>
              <w:bidi w:val="0"/>
              <w:jc w:val="center"/>
              <w:rPr>
                <w:color w:val="auto"/>
              </w:rPr>
            </w:pPr>
            <w:r>
              <w:rPr>
                <w:color w:val="auto"/>
              </w:rPr>
              <w:t>pH值□；热污染□；富营养化□；其他□</w:t>
            </w:r>
          </w:p>
        </w:tc>
        <w:tc>
          <w:tcPr>
            <w:tcW w:w="3392" w:type="dxa"/>
            <w:gridSpan w:val="7"/>
            <w:tcBorders>
              <w:tl2br w:val="nil"/>
              <w:tr2bl w:val="nil"/>
            </w:tcBorders>
            <w:vAlign w:val="center"/>
          </w:tcPr>
          <w:p>
            <w:pPr>
              <w:pStyle w:val="22"/>
              <w:bidi w:val="0"/>
              <w:jc w:val="center"/>
              <w:rPr>
                <w:color w:val="auto"/>
              </w:rPr>
            </w:pPr>
            <w:r>
              <w:rPr>
                <w:color w:val="auto"/>
              </w:rPr>
              <w:t>水温□；水位（水深）□；流速□；</w:t>
            </w:r>
          </w:p>
          <w:p>
            <w:pPr>
              <w:pStyle w:val="22"/>
              <w:bidi w:val="0"/>
              <w:jc w:val="center"/>
              <w:rPr>
                <w:rFonts w:hint="eastAsia" w:eastAsia="宋体"/>
                <w:color w:val="auto"/>
                <w:lang w:eastAsia="zh-CN"/>
              </w:rPr>
            </w:pPr>
            <w:r>
              <w:rPr>
                <w:color w:val="auto"/>
              </w:rPr>
              <w:t>流量□；其他□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2472" w:type="dxa"/>
            <w:gridSpan w:val="2"/>
            <w:vMerge w:val="restart"/>
            <w:tcBorders>
              <w:tl2br w:val="nil"/>
              <w:tr2bl w:val="nil"/>
            </w:tcBorders>
            <w:vAlign w:val="center"/>
          </w:tcPr>
          <w:p>
            <w:pPr>
              <w:pStyle w:val="22"/>
              <w:bidi w:val="0"/>
              <w:jc w:val="center"/>
              <w:rPr>
                <w:color w:val="auto"/>
              </w:rPr>
            </w:pPr>
            <w:r>
              <w:rPr>
                <w:color w:val="auto"/>
              </w:rPr>
              <w:t>评价等级</w:t>
            </w:r>
          </w:p>
        </w:tc>
        <w:tc>
          <w:tcPr>
            <w:tcW w:w="3384" w:type="dxa"/>
            <w:gridSpan w:val="6"/>
            <w:tcBorders>
              <w:tl2br w:val="nil"/>
              <w:tr2bl w:val="nil"/>
            </w:tcBorders>
            <w:vAlign w:val="center"/>
          </w:tcPr>
          <w:p>
            <w:pPr>
              <w:pStyle w:val="22"/>
              <w:bidi w:val="0"/>
              <w:jc w:val="center"/>
              <w:rPr>
                <w:color w:val="auto"/>
              </w:rPr>
            </w:pPr>
            <w:r>
              <w:rPr>
                <w:color w:val="auto"/>
              </w:rPr>
              <w:t>水污染影响型</w:t>
            </w:r>
          </w:p>
        </w:tc>
        <w:tc>
          <w:tcPr>
            <w:tcW w:w="3392" w:type="dxa"/>
            <w:gridSpan w:val="7"/>
            <w:tcBorders>
              <w:tl2br w:val="nil"/>
              <w:tr2bl w:val="nil"/>
            </w:tcBorders>
            <w:vAlign w:val="center"/>
          </w:tcPr>
          <w:p>
            <w:pPr>
              <w:pStyle w:val="22"/>
              <w:bidi w:val="0"/>
              <w:jc w:val="center"/>
              <w:rPr>
                <w:color w:val="auto"/>
              </w:rPr>
            </w:pPr>
            <w:r>
              <w:rPr>
                <w:color w:val="auto"/>
              </w:rPr>
              <w:t>水文要素影响型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9" w:hRule="atLeast"/>
          <w:jc w:val="center"/>
        </w:trPr>
        <w:tc>
          <w:tcPr>
            <w:tcW w:w="2472" w:type="dxa"/>
            <w:gridSpan w:val="2"/>
            <w:vMerge w:val="continue"/>
            <w:tcBorders>
              <w:tl2br w:val="nil"/>
              <w:tr2bl w:val="nil"/>
            </w:tcBorders>
            <w:vAlign w:val="center"/>
          </w:tcPr>
          <w:p>
            <w:pPr>
              <w:pStyle w:val="22"/>
              <w:bidi w:val="0"/>
              <w:jc w:val="center"/>
              <w:rPr>
                <w:color w:val="auto"/>
              </w:rPr>
            </w:pPr>
          </w:p>
        </w:tc>
        <w:tc>
          <w:tcPr>
            <w:tcW w:w="3384" w:type="dxa"/>
            <w:gridSpan w:val="6"/>
            <w:tcBorders>
              <w:tl2br w:val="nil"/>
              <w:tr2bl w:val="nil"/>
            </w:tcBorders>
            <w:vAlign w:val="center"/>
          </w:tcPr>
          <w:p>
            <w:pPr>
              <w:pStyle w:val="22"/>
              <w:bidi w:val="0"/>
              <w:jc w:val="center"/>
              <w:rPr>
                <w:rFonts w:hint="eastAsia" w:eastAsia="宋体"/>
                <w:color w:val="auto"/>
                <w:lang w:eastAsia="zh-CN"/>
              </w:rPr>
            </w:pPr>
            <w:r>
              <w:rPr>
                <w:color w:val="auto"/>
              </w:rPr>
              <w:t>一级□；二级□；三级A□；三级B</w:t>
            </w:r>
            <w:r>
              <w:rPr>
                <w:rFonts w:hint="eastAsia"/>
                <w:color w:val="auto"/>
                <w:lang w:eastAsia="zh-CN"/>
              </w:rPr>
              <w:t>☑</w:t>
            </w:r>
          </w:p>
        </w:tc>
        <w:tc>
          <w:tcPr>
            <w:tcW w:w="3392" w:type="dxa"/>
            <w:gridSpan w:val="7"/>
            <w:tcBorders>
              <w:tl2br w:val="nil"/>
              <w:tr2bl w:val="nil"/>
            </w:tcBorders>
            <w:vAlign w:val="center"/>
          </w:tcPr>
          <w:p>
            <w:pPr>
              <w:pStyle w:val="22"/>
              <w:bidi w:val="0"/>
              <w:jc w:val="center"/>
              <w:rPr>
                <w:color w:val="auto"/>
              </w:rPr>
            </w:pPr>
            <w:r>
              <w:rPr>
                <w:color w:val="auto"/>
              </w:rPr>
              <w:t>一级□；二级□；三级□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jc w:val="center"/>
        </w:trPr>
        <w:tc>
          <w:tcPr>
            <w:tcW w:w="949" w:type="dxa"/>
            <w:vMerge w:val="restart"/>
            <w:tcBorders>
              <w:tl2br w:val="nil"/>
              <w:tr2bl w:val="nil"/>
            </w:tcBorders>
            <w:textDirection w:val="tbRlV"/>
            <w:vAlign w:val="center"/>
          </w:tcPr>
          <w:p>
            <w:pPr>
              <w:pStyle w:val="22"/>
              <w:bidi w:val="0"/>
              <w:jc w:val="center"/>
              <w:rPr>
                <w:color w:val="auto"/>
              </w:rPr>
            </w:pPr>
            <w:r>
              <w:rPr>
                <w:color w:val="auto"/>
              </w:rPr>
              <w:t>现状调查</w:t>
            </w:r>
          </w:p>
        </w:tc>
        <w:tc>
          <w:tcPr>
            <w:tcW w:w="1523" w:type="dxa"/>
            <w:vMerge w:val="restart"/>
            <w:tcBorders>
              <w:tl2br w:val="nil"/>
              <w:tr2bl w:val="nil"/>
            </w:tcBorders>
            <w:vAlign w:val="center"/>
          </w:tcPr>
          <w:p>
            <w:pPr>
              <w:pStyle w:val="22"/>
              <w:bidi w:val="0"/>
              <w:jc w:val="center"/>
              <w:rPr>
                <w:color w:val="auto"/>
              </w:rPr>
            </w:pPr>
            <w:r>
              <w:rPr>
                <w:color w:val="auto"/>
              </w:rPr>
              <w:t>区域污染源</w:t>
            </w:r>
          </w:p>
        </w:tc>
        <w:tc>
          <w:tcPr>
            <w:tcW w:w="3384" w:type="dxa"/>
            <w:gridSpan w:val="6"/>
            <w:tcBorders>
              <w:tl2br w:val="nil"/>
              <w:tr2bl w:val="nil"/>
            </w:tcBorders>
            <w:vAlign w:val="center"/>
          </w:tcPr>
          <w:p>
            <w:pPr>
              <w:pStyle w:val="22"/>
              <w:bidi w:val="0"/>
              <w:jc w:val="center"/>
              <w:rPr>
                <w:color w:val="auto"/>
              </w:rPr>
            </w:pPr>
            <w:r>
              <w:rPr>
                <w:color w:val="auto"/>
              </w:rPr>
              <w:t>调查项目</w:t>
            </w:r>
          </w:p>
        </w:tc>
        <w:tc>
          <w:tcPr>
            <w:tcW w:w="3392" w:type="dxa"/>
            <w:gridSpan w:val="7"/>
            <w:tcBorders>
              <w:tl2br w:val="nil"/>
              <w:tr2bl w:val="nil"/>
            </w:tcBorders>
            <w:vAlign w:val="center"/>
          </w:tcPr>
          <w:p>
            <w:pPr>
              <w:pStyle w:val="22"/>
              <w:bidi w:val="0"/>
              <w:jc w:val="center"/>
              <w:rPr>
                <w:color w:val="auto"/>
              </w:rPr>
            </w:pPr>
            <w:r>
              <w:rPr>
                <w:color w:val="auto"/>
              </w:rPr>
              <w:t>数据来源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jc w:val="center"/>
        </w:trPr>
        <w:tc>
          <w:tcPr>
            <w:tcW w:w="949" w:type="dxa"/>
            <w:vMerge w:val="continue"/>
            <w:tcBorders>
              <w:tl2br w:val="nil"/>
              <w:tr2bl w:val="nil"/>
            </w:tcBorders>
            <w:textDirection w:val="tbRlV"/>
            <w:vAlign w:val="center"/>
          </w:tcPr>
          <w:p>
            <w:pPr>
              <w:pStyle w:val="22"/>
              <w:bidi w:val="0"/>
              <w:jc w:val="center"/>
              <w:rPr>
                <w:color w:val="auto"/>
              </w:rPr>
            </w:pPr>
          </w:p>
        </w:tc>
        <w:tc>
          <w:tcPr>
            <w:tcW w:w="1523" w:type="dxa"/>
            <w:vMerge w:val="continue"/>
            <w:tcBorders>
              <w:tl2br w:val="nil"/>
              <w:tr2bl w:val="nil"/>
            </w:tcBorders>
            <w:vAlign w:val="center"/>
          </w:tcPr>
          <w:p>
            <w:pPr>
              <w:pStyle w:val="22"/>
              <w:bidi w:val="0"/>
              <w:jc w:val="center"/>
              <w:rPr>
                <w:color w:val="auto"/>
              </w:rPr>
            </w:pPr>
          </w:p>
        </w:tc>
        <w:tc>
          <w:tcPr>
            <w:tcW w:w="1692" w:type="dxa"/>
            <w:gridSpan w:val="2"/>
            <w:tcBorders>
              <w:tl2br w:val="nil"/>
              <w:tr2bl w:val="nil"/>
            </w:tcBorders>
            <w:vAlign w:val="center"/>
          </w:tcPr>
          <w:p>
            <w:pPr>
              <w:pStyle w:val="22"/>
              <w:bidi w:val="0"/>
              <w:jc w:val="center"/>
              <w:rPr>
                <w:color w:val="auto"/>
              </w:rPr>
            </w:pPr>
            <w:r>
              <w:rPr>
                <w:color w:val="auto"/>
              </w:rPr>
              <w:t>已建□；在建□；拟建□；其他□</w:t>
            </w:r>
          </w:p>
        </w:tc>
        <w:tc>
          <w:tcPr>
            <w:tcW w:w="1692" w:type="dxa"/>
            <w:gridSpan w:val="4"/>
            <w:tcBorders>
              <w:tl2br w:val="nil"/>
              <w:tr2bl w:val="nil"/>
            </w:tcBorders>
            <w:vAlign w:val="center"/>
          </w:tcPr>
          <w:p>
            <w:pPr>
              <w:pStyle w:val="22"/>
              <w:bidi w:val="0"/>
              <w:jc w:val="center"/>
              <w:rPr>
                <w:color w:val="auto"/>
              </w:rPr>
            </w:pPr>
          </w:p>
          <w:p>
            <w:pPr>
              <w:pStyle w:val="22"/>
              <w:bidi w:val="0"/>
              <w:jc w:val="center"/>
              <w:rPr>
                <w:color w:val="auto"/>
              </w:rPr>
            </w:pPr>
            <w:r>
              <w:rPr>
                <w:color w:val="auto"/>
              </w:rPr>
              <w:t>拟替代的污染源□</w:t>
            </w:r>
          </w:p>
        </w:tc>
        <w:tc>
          <w:tcPr>
            <w:tcW w:w="3392" w:type="dxa"/>
            <w:gridSpan w:val="7"/>
            <w:tcBorders>
              <w:tl2br w:val="nil"/>
              <w:tr2bl w:val="nil"/>
            </w:tcBorders>
            <w:vAlign w:val="center"/>
          </w:tcPr>
          <w:p>
            <w:pPr>
              <w:pStyle w:val="22"/>
              <w:bidi w:val="0"/>
              <w:jc w:val="center"/>
              <w:rPr>
                <w:color w:val="auto"/>
              </w:rPr>
            </w:pPr>
            <w:r>
              <w:rPr>
                <w:color w:val="auto"/>
              </w:rPr>
              <w:t>排污许可证□；环评□；环保验收□；</w:t>
            </w:r>
          </w:p>
          <w:p>
            <w:pPr>
              <w:pStyle w:val="22"/>
              <w:bidi w:val="0"/>
              <w:jc w:val="center"/>
              <w:rPr>
                <w:color w:val="auto"/>
              </w:rPr>
            </w:pPr>
            <w:r>
              <w:rPr>
                <w:color w:val="auto"/>
              </w:rPr>
              <w:t>既有实测□；现场监测□；入河排放口数据□；其他□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22"/>
              <w:bidi w:val="0"/>
              <w:jc w:val="center"/>
              <w:rPr>
                <w:color w:val="auto"/>
              </w:rPr>
            </w:pPr>
          </w:p>
        </w:tc>
        <w:tc>
          <w:tcPr>
            <w:tcW w:w="1523" w:type="dxa"/>
            <w:vMerge w:val="restart"/>
            <w:tcBorders>
              <w:tl2br w:val="nil"/>
              <w:tr2bl w:val="nil"/>
            </w:tcBorders>
            <w:vAlign w:val="center"/>
          </w:tcPr>
          <w:p>
            <w:pPr>
              <w:pStyle w:val="22"/>
              <w:bidi w:val="0"/>
              <w:jc w:val="center"/>
              <w:rPr>
                <w:color w:val="auto"/>
              </w:rPr>
            </w:pPr>
            <w:r>
              <w:rPr>
                <w:color w:val="auto"/>
              </w:rPr>
              <w:t>受影响水体水环境质量</w:t>
            </w:r>
          </w:p>
        </w:tc>
        <w:tc>
          <w:tcPr>
            <w:tcW w:w="3384" w:type="dxa"/>
            <w:gridSpan w:val="6"/>
            <w:tcBorders>
              <w:tl2br w:val="nil"/>
              <w:tr2bl w:val="nil"/>
            </w:tcBorders>
            <w:vAlign w:val="center"/>
          </w:tcPr>
          <w:p>
            <w:pPr>
              <w:pStyle w:val="22"/>
              <w:bidi w:val="0"/>
              <w:jc w:val="center"/>
              <w:rPr>
                <w:color w:val="auto"/>
              </w:rPr>
            </w:pPr>
            <w:r>
              <w:rPr>
                <w:color w:val="auto"/>
              </w:rPr>
              <w:t>调查时期</w:t>
            </w:r>
          </w:p>
        </w:tc>
        <w:tc>
          <w:tcPr>
            <w:tcW w:w="3392" w:type="dxa"/>
            <w:gridSpan w:val="7"/>
            <w:tcBorders>
              <w:tl2br w:val="nil"/>
              <w:tr2bl w:val="nil"/>
            </w:tcBorders>
            <w:vAlign w:val="center"/>
          </w:tcPr>
          <w:p>
            <w:pPr>
              <w:pStyle w:val="22"/>
              <w:bidi w:val="0"/>
              <w:jc w:val="center"/>
              <w:rPr>
                <w:color w:val="auto"/>
              </w:rPr>
            </w:pPr>
            <w:r>
              <w:rPr>
                <w:color w:val="auto"/>
              </w:rPr>
              <w:t>数据来源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1" w:hRule="atLeast"/>
          <w:jc w:val="center"/>
        </w:trPr>
        <w:tc>
          <w:tcPr>
            <w:tcW w:w="949" w:type="dxa"/>
            <w:vMerge w:val="continue"/>
            <w:tcBorders>
              <w:tl2br w:val="nil"/>
              <w:tr2bl w:val="nil"/>
            </w:tcBorders>
            <w:textDirection w:val="tbRlV"/>
            <w:vAlign w:val="center"/>
          </w:tcPr>
          <w:p>
            <w:pPr>
              <w:pStyle w:val="22"/>
              <w:bidi w:val="0"/>
              <w:jc w:val="center"/>
              <w:rPr>
                <w:color w:val="auto"/>
              </w:rPr>
            </w:pPr>
          </w:p>
        </w:tc>
        <w:tc>
          <w:tcPr>
            <w:tcW w:w="1523" w:type="dxa"/>
            <w:vMerge w:val="continue"/>
            <w:tcBorders>
              <w:tl2br w:val="nil"/>
              <w:tr2bl w:val="nil"/>
            </w:tcBorders>
            <w:vAlign w:val="center"/>
          </w:tcPr>
          <w:p>
            <w:pPr>
              <w:pStyle w:val="22"/>
              <w:bidi w:val="0"/>
              <w:jc w:val="center"/>
              <w:rPr>
                <w:color w:val="auto"/>
              </w:rPr>
            </w:pPr>
          </w:p>
        </w:tc>
        <w:tc>
          <w:tcPr>
            <w:tcW w:w="3384" w:type="dxa"/>
            <w:gridSpan w:val="6"/>
            <w:tcBorders>
              <w:tl2br w:val="nil"/>
              <w:tr2bl w:val="nil"/>
            </w:tcBorders>
            <w:vAlign w:val="center"/>
          </w:tcPr>
          <w:p>
            <w:pPr>
              <w:pStyle w:val="22"/>
              <w:bidi w:val="0"/>
              <w:jc w:val="center"/>
              <w:rPr>
                <w:color w:val="auto"/>
              </w:rPr>
            </w:pPr>
            <w:r>
              <w:rPr>
                <w:color w:val="auto"/>
              </w:rPr>
              <w:t>丰水期□；平水期□；枯水期□；冰封期□</w:t>
            </w:r>
          </w:p>
          <w:p>
            <w:pPr>
              <w:pStyle w:val="22"/>
              <w:bidi w:val="0"/>
              <w:jc w:val="center"/>
              <w:rPr>
                <w:color w:val="auto"/>
              </w:rPr>
            </w:pPr>
            <w:r>
              <w:rPr>
                <w:color w:val="auto"/>
              </w:rPr>
              <w:t>春季□；夏季□；秋季□；冬季□</w:t>
            </w:r>
          </w:p>
        </w:tc>
        <w:tc>
          <w:tcPr>
            <w:tcW w:w="3392" w:type="dxa"/>
            <w:gridSpan w:val="7"/>
            <w:tcBorders>
              <w:tl2br w:val="nil"/>
              <w:tr2bl w:val="nil"/>
            </w:tcBorders>
            <w:vAlign w:val="center"/>
          </w:tcPr>
          <w:p>
            <w:pPr>
              <w:pStyle w:val="22"/>
              <w:bidi w:val="0"/>
              <w:jc w:val="center"/>
              <w:rPr>
                <w:color w:val="auto"/>
              </w:rPr>
            </w:pPr>
            <w:r>
              <w:rPr>
                <w:color w:val="auto"/>
              </w:rPr>
              <w:t>生态环境保护主管部门□；补充监测□；其他□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949" w:type="dxa"/>
            <w:vMerge w:val="continue"/>
            <w:tcBorders>
              <w:tl2br w:val="nil"/>
              <w:tr2bl w:val="nil"/>
            </w:tcBorders>
            <w:textDirection w:val="tbRlV"/>
            <w:vAlign w:val="center"/>
          </w:tcPr>
          <w:p>
            <w:pPr>
              <w:pStyle w:val="22"/>
              <w:bidi w:val="0"/>
              <w:jc w:val="center"/>
              <w:rPr>
                <w:color w:val="auto"/>
              </w:rPr>
            </w:pPr>
          </w:p>
        </w:tc>
        <w:tc>
          <w:tcPr>
            <w:tcW w:w="1523" w:type="dxa"/>
            <w:tcBorders>
              <w:tl2br w:val="nil"/>
              <w:tr2bl w:val="nil"/>
            </w:tcBorders>
            <w:vAlign w:val="center"/>
          </w:tcPr>
          <w:p>
            <w:pPr>
              <w:pStyle w:val="22"/>
              <w:bidi w:val="0"/>
              <w:jc w:val="center"/>
              <w:rPr>
                <w:color w:val="auto"/>
              </w:rPr>
            </w:pPr>
            <w:r>
              <w:rPr>
                <w:color w:val="auto"/>
              </w:rPr>
              <w:t>区域水资源开发利用状况</w:t>
            </w:r>
          </w:p>
        </w:tc>
        <w:tc>
          <w:tcPr>
            <w:tcW w:w="6776" w:type="dxa"/>
            <w:gridSpan w:val="13"/>
            <w:tcBorders>
              <w:tl2br w:val="nil"/>
              <w:tr2bl w:val="nil"/>
            </w:tcBorders>
            <w:vAlign w:val="center"/>
          </w:tcPr>
          <w:p>
            <w:pPr>
              <w:pStyle w:val="22"/>
              <w:bidi w:val="0"/>
              <w:jc w:val="center"/>
              <w:rPr>
                <w:color w:val="auto"/>
              </w:rPr>
            </w:pPr>
            <w:r>
              <w:rPr>
                <w:color w:val="auto"/>
              </w:rPr>
              <w:t>未开发□；开发量40%以下□；开发量40%以上□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22"/>
              <w:bidi w:val="0"/>
              <w:jc w:val="center"/>
              <w:rPr>
                <w:color w:val="auto"/>
              </w:rPr>
            </w:pPr>
          </w:p>
        </w:tc>
        <w:tc>
          <w:tcPr>
            <w:tcW w:w="1523" w:type="dxa"/>
            <w:vMerge w:val="restart"/>
            <w:tcBorders>
              <w:tl2br w:val="nil"/>
              <w:tr2bl w:val="nil"/>
            </w:tcBorders>
            <w:vAlign w:val="center"/>
          </w:tcPr>
          <w:p>
            <w:pPr>
              <w:pStyle w:val="22"/>
              <w:bidi w:val="0"/>
              <w:jc w:val="center"/>
              <w:rPr>
                <w:color w:val="auto"/>
              </w:rPr>
            </w:pPr>
            <w:r>
              <w:rPr>
                <w:color w:val="auto"/>
              </w:rPr>
              <w:t>水文情势调查</w:t>
            </w:r>
          </w:p>
        </w:tc>
        <w:tc>
          <w:tcPr>
            <w:tcW w:w="3384" w:type="dxa"/>
            <w:gridSpan w:val="6"/>
            <w:tcBorders>
              <w:tl2br w:val="nil"/>
              <w:tr2bl w:val="nil"/>
            </w:tcBorders>
            <w:vAlign w:val="center"/>
          </w:tcPr>
          <w:p>
            <w:pPr>
              <w:pStyle w:val="22"/>
              <w:bidi w:val="0"/>
              <w:jc w:val="center"/>
              <w:rPr>
                <w:color w:val="auto"/>
              </w:rPr>
            </w:pPr>
            <w:r>
              <w:rPr>
                <w:color w:val="auto"/>
              </w:rPr>
              <w:t>调查时期</w:t>
            </w:r>
          </w:p>
        </w:tc>
        <w:tc>
          <w:tcPr>
            <w:tcW w:w="3392" w:type="dxa"/>
            <w:gridSpan w:val="7"/>
            <w:tcBorders>
              <w:tl2br w:val="nil"/>
              <w:tr2bl w:val="nil"/>
            </w:tcBorders>
            <w:vAlign w:val="center"/>
          </w:tcPr>
          <w:p>
            <w:pPr>
              <w:pStyle w:val="22"/>
              <w:bidi w:val="0"/>
              <w:jc w:val="center"/>
              <w:rPr>
                <w:color w:val="auto"/>
              </w:rPr>
            </w:pPr>
            <w:r>
              <w:rPr>
                <w:color w:val="auto"/>
              </w:rPr>
              <w:t>数据来源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1" w:hRule="atLeast"/>
          <w:jc w:val="center"/>
        </w:trPr>
        <w:tc>
          <w:tcPr>
            <w:tcW w:w="949" w:type="dxa"/>
            <w:vMerge w:val="continue"/>
            <w:tcBorders>
              <w:tl2br w:val="nil"/>
              <w:tr2bl w:val="nil"/>
            </w:tcBorders>
            <w:textDirection w:val="tbRlV"/>
            <w:vAlign w:val="center"/>
          </w:tcPr>
          <w:p>
            <w:pPr>
              <w:pStyle w:val="22"/>
              <w:bidi w:val="0"/>
              <w:jc w:val="center"/>
              <w:rPr>
                <w:color w:val="auto"/>
              </w:rPr>
            </w:pPr>
          </w:p>
        </w:tc>
        <w:tc>
          <w:tcPr>
            <w:tcW w:w="1523" w:type="dxa"/>
            <w:vMerge w:val="continue"/>
            <w:tcBorders>
              <w:tl2br w:val="nil"/>
              <w:tr2bl w:val="nil"/>
            </w:tcBorders>
            <w:vAlign w:val="center"/>
          </w:tcPr>
          <w:p>
            <w:pPr>
              <w:pStyle w:val="22"/>
              <w:bidi w:val="0"/>
              <w:jc w:val="center"/>
              <w:rPr>
                <w:color w:val="auto"/>
              </w:rPr>
            </w:pPr>
          </w:p>
        </w:tc>
        <w:tc>
          <w:tcPr>
            <w:tcW w:w="3384" w:type="dxa"/>
            <w:gridSpan w:val="6"/>
            <w:tcBorders>
              <w:tl2br w:val="nil"/>
              <w:tr2bl w:val="nil"/>
            </w:tcBorders>
            <w:vAlign w:val="center"/>
          </w:tcPr>
          <w:p>
            <w:pPr>
              <w:pStyle w:val="22"/>
              <w:bidi w:val="0"/>
              <w:jc w:val="center"/>
              <w:rPr>
                <w:color w:val="auto"/>
              </w:rPr>
            </w:pPr>
            <w:r>
              <w:rPr>
                <w:color w:val="auto"/>
              </w:rPr>
              <w:t>丰水期□；平水期□；枯水期□；冰封期</w:t>
            </w:r>
          </w:p>
          <w:p>
            <w:pPr>
              <w:pStyle w:val="22"/>
              <w:bidi w:val="0"/>
              <w:jc w:val="center"/>
              <w:rPr>
                <w:color w:val="auto"/>
              </w:rPr>
            </w:pPr>
            <w:r>
              <w:rPr>
                <w:color w:val="auto"/>
              </w:rPr>
              <w:t>春季</w:t>
            </w:r>
            <w:r>
              <w:rPr>
                <w:color w:val="auto"/>
              </w:rPr>
              <w:drawing>
                <wp:inline distT="0" distB="0" distL="0" distR="0">
                  <wp:extent cx="81280" cy="126365"/>
                  <wp:effectExtent l="0" t="0" r="13970" b="5715"/>
                  <wp:docPr id="146" name="IM 146"/>
                  <wp:cNvGraphicFramePr/>
                  <a:graphic xmlns:a="http://schemas.openxmlformats.org/drawingml/2006/main">
                    <a:graphicData uri="http://schemas.openxmlformats.org/drawingml/2006/picture">
                      <pic:pic xmlns:pic="http://schemas.openxmlformats.org/drawingml/2006/picture">
                        <pic:nvPicPr>
                          <pic:cNvPr id="146" name="IM 146"/>
                          <pic:cNvPicPr/>
                        </pic:nvPicPr>
                        <pic:blipFill>
                          <a:blip r:embed="rId16"/>
                          <a:stretch>
                            <a:fillRect/>
                          </a:stretch>
                        </pic:blipFill>
                        <pic:spPr>
                          <a:xfrm>
                            <a:off x="0" y="0"/>
                            <a:ext cx="81381" cy="126644"/>
                          </a:xfrm>
                          <a:prstGeom prst="rect">
                            <a:avLst/>
                          </a:prstGeom>
                        </pic:spPr>
                      </pic:pic>
                    </a:graphicData>
                  </a:graphic>
                </wp:inline>
              </w:drawing>
            </w:r>
            <w:r>
              <w:rPr>
                <w:color w:val="auto"/>
              </w:rPr>
              <w:t>；夏季□；秋季□；冬季□</w:t>
            </w:r>
          </w:p>
        </w:tc>
        <w:tc>
          <w:tcPr>
            <w:tcW w:w="3392" w:type="dxa"/>
            <w:gridSpan w:val="7"/>
            <w:tcBorders>
              <w:tl2br w:val="nil"/>
              <w:tr2bl w:val="nil"/>
            </w:tcBorders>
            <w:vAlign w:val="center"/>
          </w:tcPr>
          <w:p>
            <w:pPr>
              <w:pStyle w:val="22"/>
              <w:bidi w:val="0"/>
              <w:jc w:val="center"/>
              <w:rPr>
                <w:color w:val="auto"/>
              </w:rPr>
            </w:pPr>
            <w:r>
              <w:rPr>
                <w:color w:val="auto"/>
              </w:rPr>
              <w:t>水行政主管部门□；补充监测</w:t>
            </w:r>
            <w:r>
              <w:rPr>
                <w:color w:val="auto"/>
              </w:rPr>
              <w:drawing>
                <wp:inline distT="0" distB="0" distL="0" distR="0">
                  <wp:extent cx="81280" cy="126365"/>
                  <wp:effectExtent l="0" t="0" r="13970" b="5715"/>
                  <wp:docPr id="147" name="IM 147"/>
                  <wp:cNvGraphicFramePr/>
                  <a:graphic xmlns:a="http://schemas.openxmlformats.org/drawingml/2006/main">
                    <a:graphicData uri="http://schemas.openxmlformats.org/drawingml/2006/picture">
                      <pic:pic xmlns:pic="http://schemas.openxmlformats.org/drawingml/2006/picture">
                        <pic:nvPicPr>
                          <pic:cNvPr id="147" name="IM 147"/>
                          <pic:cNvPicPr/>
                        </pic:nvPicPr>
                        <pic:blipFill>
                          <a:blip r:embed="rId16"/>
                          <a:stretch>
                            <a:fillRect/>
                          </a:stretch>
                        </pic:blipFill>
                        <pic:spPr>
                          <a:xfrm>
                            <a:off x="0" y="0"/>
                            <a:ext cx="81381" cy="126644"/>
                          </a:xfrm>
                          <a:prstGeom prst="rect">
                            <a:avLst/>
                          </a:prstGeom>
                        </pic:spPr>
                      </pic:pic>
                    </a:graphicData>
                  </a:graphic>
                </wp:inline>
              </w:drawing>
            </w:r>
            <w:r>
              <w:rPr>
                <w:color w:val="auto"/>
              </w:rPr>
              <w:t>；其他□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22"/>
              <w:bidi w:val="0"/>
              <w:jc w:val="center"/>
              <w:rPr>
                <w:color w:val="auto"/>
              </w:rPr>
            </w:pPr>
          </w:p>
        </w:tc>
        <w:tc>
          <w:tcPr>
            <w:tcW w:w="1523" w:type="dxa"/>
            <w:vMerge w:val="restart"/>
            <w:tcBorders>
              <w:tl2br w:val="nil"/>
              <w:tr2bl w:val="nil"/>
            </w:tcBorders>
            <w:vAlign w:val="center"/>
          </w:tcPr>
          <w:p>
            <w:pPr>
              <w:pStyle w:val="22"/>
              <w:bidi w:val="0"/>
              <w:jc w:val="center"/>
              <w:rPr>
                <w:color w:val="auto"/>
              </w:rPr>
            </w:pPr>
            <w:r>
              <w:rPr>
                <w:color w:val="auto"/>
              </w:rPr>
              <w:t>补充监测</w:t>
            </w:r>
          </w:p>
        </w:tc>
        <w:tc>
          <w:tcPr>
            <w:tcW w:w="2257" w:type="dxa"/>
            <w:gridSpan w:val="4"/>
            <w:tcBorders>
              <w:tl2br w:val="nil"/>
              <w:tr2bl w:val="nil"/>
            </w:tcBorders>
            <w:vAlign w:val="center"/>
          </w:tcPr>
          <w:p>
            <w:pPr>
              <w:pStyle w:val="22"/>
              <w:bidi w:val="0"/>
              <w:jc w:val="center"/>
              <w:rPr>
                <w:color w:val="auto"/>
              </w:rPr>
            </w:pPr>
            <w:r>
              <w:rPr>
                <w:color w:val="auto"/>
              </w:rPr>
              <w:t>监测时期</w:t>
            </w:r>
          </w:p>
        </w:tc>
        <w:tc>
          <w:tcPr>
            <w:tcW w:w="2256" w:type="dxa"/>
            <w:gridSpan w:val="5"/>
            <w:tcBorders>
              <w:tl2br w:val="nil"/>
              <w:tr2bl w:val="nil"/>
            </w:tcBorders>
            <w:vAlign w:val="center"/>
          </w:tcPr>
          <w:p>
            <w:pPr>
              <w:pStyle w:val="22"/>
              <w:bidi w:val="0"/>
              <w:jc w:val="center"/>
              <w:rPr>
                <w:color w:val="auto"/>
              </w:rPr>
            </w:pPr>
            <w:r>
              <w:rPr>
                <w:color w:val="auto"/>
              </w:rPr>
              <w:t>监测因子</w:t>
            </w:r>
          </w:p>
        </w:tc>
        <w:tc>
          <w:tcPr>
            <w:tcW w:w="2263" w:type="dxa"/>
            <w:gridSpan w:val="4"/>
            <w:tcBorders>
              <w:tl2br w:val="nil"/>
              <w:tr2bl w:val="nil"/>
            </w:tcBorders>
            <w:vAlign w:val="center"/>
          </w:tcPr>
          <w:p>
            <w:pPr>
              <w:pStyle w:val="22"/>
              <w:bidi w:val="0"/>
              <w:jc w:val="center"/>
              <w:rPr>
                <w:color w:val="auto"/>
              </w:rPr>
            </w:pPr>
            <w:r>
              <w:rPr>
                <w:color w:val="auto"/>
              </w:rPr>
              <w:t>监测断面或点位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2" w:hRule="atLeast"/>
          <w:jc w:val="center"/>
        </w:trPr>
        <w:tc>
          <w:tcPr>
            <w:tcW w:w="949" w:type="dxa"/>
            <w:vMerge w:val="continue"/>
            <w:tcBorders>
              <w:tl2br w:val="nil"/>
              <w:tr2bl w:val="nil"/>
            </w:tcBorders>
            <w:textDirection w:val="tbRlV"/>
            <w:vAlign w:val="center"/>
          </w:tcPr>
          <w:p>
            <w:pPr>
              <w:pStyle w:val="22"/>
              <w:bidi w:val="0"/>
              <w:jc w:val="center"/>
              <w:rPr>
                <w:color w:val="auto"/>
              </w:rPr>
            </w:pPr>
          </w:p>
        </w:tc>
        <w:tc>
          <w:tcPr>
            <w:tcW w:w="1523" w:type="dxa"/>
            <w:vMerge w:val="continue"/>
            <w:tcBorders>
              <w:tl2br w:val="nil"/>
              <w:tr2bl w:val="nil"/>
            </w:tcBorders>
            <w:vAlign w:val="center"/>
          </w:tcPr>
          <w:p>
            <w:pPr>
              <w:pStyle w:val="22"/>
              <w:bidi w:val="0"/>
              <w:jc w:val="center"/>
              <w:rPr>
                <w:color w:val="auto"/>
              </w:rPr>
            </w:pPr>
          </w:p>
        </w:tc>
        <w:tc>
          <w:tcPr>
            <w:tcW w:w="2257" w:type="dxa"/>
            <w:gridSpan w:val="4"/>
            <w:tcBorders>
              <w:tl2br w:val="nil"/>
              <w:tr2bl w:val="nil"/>
            </w:tcBorders>
            <w:vAlign w:val="center"/>
          </w:tcPr>
          <w:p>
            <w:pPr>
              <w:pStyle w:val="22"/>
              <w:bidi w:val="0"/>
              <w:jc w:val="center"/>
              <w:rPr>
                <w:color w:val="auto"/>
              </w:rPr>
            </w:pPr>
            <w:r>
              <w:rPr>
                <w:color w:val="auto"/>
              </w:rPr>
              <w:t>丰水期□；平水期□；枯水期□；冰封期□春季□；夏季□；秋季□；冬季□</w:t>
            </w:r>
          </w:p>
        </w:tc>
        <w:tc>
          <w:tcPr>
            <w:tcW w:w="2256" w:type="dxa"/>
            <w:gridSpan w:val="5"/>
            <w:tcBorders>
              <w:tl2br w:val="nil"/>
              <w:tr2bl w:val="nil"/>
            </w:tcBorders>
            <w:vAlign w:val="center"/>
          </w:tcPr>
          <w:p>
            <w:pPr>
              <w:pStyle w:val="22"/>
              <w:bidi w:val="0"/>
              <w:jc w:val="center"/>
              <w:rPr>
                <w:color w:val="auto"/>
              </w:rPr>
            </w:pPr>
            <w:r>
              <w:rPr>
                <w:color w:val="auto"/>
              </w:rPr>
              <w:t>（）</w:t>
            </w:r>
          </w:p>
        </w:tc>
        <w:tc>
          <w:tcPr>
            <w:tcW w:w="2263" w:type="dxa"/>
            <w:gridSpan w:val="4"/>
            <w:tcBorders>
              <w:tl2br w:val="nil"/>
              <w:tr2bl w:val="nil"/>
            </w:tcBorders>
            <w:vAlign w:val="center"/>
          </w:tcPr>
          <w:p>
            <w:pPr>
              <w:pStyle w:val="22"/>
              <w:bidi w:val="0"/>
              <w:jc w:val="center"/>
              <w:rPr>
                <w:color w:val="auto"/>
              </w:rPr>
            </w:pPr>
            <w:r>
              <w:rPr>
                <w:color w:val="auto"/>
              </w:rPr>
              <w:t>监测断面或点位个数（）个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restart"/>
            <w:tcBorders>
              <w:tl2br w:val="nil"/>
              <w:tr2bl w:val="nil"/>
            </w:tcBorders>
            <w:textDirection w:val="tbRlV"/>
            <w:vAlign w:val="center"/>
          </w:tcPr>
          <w:p>
            <w:pPr>
              <w:pStyle w:val="22"/>
              <w:bidi w:val="0"/>
              <w:jc w:val="center"/>
              <w:rPr>
                <w:color w:val="auto"/>
              </w:rPr>
            </w:pPr>
            <w:r>
              <w:rPr>
                <w:color w:val="auto"/>
              </w:rPr>
              <w:t>现状评价</w:t>
            </w:r>
          </w:p>
        </w:tc>
        <w:tc>
          <w:tcPr>
            <w:tcW w:w="1523" w:type="dxa"/>
            <w:tcBorders>
              <w:tl2br w:val="nil"/>
              <w:tr2bl w:val="nil"/>
            </w:tcBorders>
            <w:vAlign w:val="center"/>
          </w:tcPr>
          <w:p>
            <w:pPr>
              <w:pStyle w:val="22"/>
              <w:bidi w:val="0"/>
              <w:jc w:val="center"/>
              <w:rPr>
                <w:color w:val="auto"/>
              </w:rPr>
            </w:pPr>
            <w:r>
              <w:rPr>
                <w:color w:val="auto"/>
              </w:rPr>
              <w:t>评价范围</w:t>
            </w:r>
          </w:p>
        </w:tc>
        <w:tc>
          <w:tcPr>
            <w:tcW w:w="6776" w:type="dxa"/>
            <w:gridSpan w:val="13"/>
            <w:tcBorders>
              <w:tl2br w:val="nil"/>
              <w:tr2bl w:val="nil"/>
            </w:tcBorders>
            <w:vAlign w:val="center"/>
          </w:tcPr>
          <w:p>
            <w:pPr>
              <w:pStyle w:val="22"/>
              <w:bidi w:val="0"/>
              <w:jc w:val="center"/>
              <w:rPr>
                <w:color w:val="auto"/>
              </w:rPr>
            </w:pPr>
            <w:r>
              <w:rPr>
                <w:color w:val="auto"/>
              </w:rPr>
              <w:t>河流：长度（/）km；湖库、河口及近岸海域：面积（）km2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22"/>
              <w:bidi w:val="0"/>
              <w:jc w:val="center"/>
              <w:rPr>
                <w:color w:val="auto"/>
              </w:rPr>
            </w:pPr>
          </w:p>
        </w:tc>
        <w:tc>
          <w:tcPr>
            <w:tcW w:w="1523" w:type="dxa"/>
            <w:tcBorders>
              <w:tl2br w:val="nil"/>
              <w:tr2bl w:val="nil"/>
            </w:tcBorders>
            <w:vAlign w:val="center"/>
          </w:tcPr>
          <w:p>
            <w:pPr>
              <w:pStyle w:val="22"/>
              <w:bidi w:val="0"/>
              <w:jc w:val="center"/>
              <w:rPr>
                <w:color w:val="auto"/>
              </w:rPr>
            </w:pPr>
            <w:r>
              <w:rPr>
                <w:color w:val="auto"/>
              </w:rPr>
              <w:t>评价因子</w:t>
            </w:r>
          </w:p>
        </w:tc>
        <w:tc>
          <w:tcPr>
            <w:tcW w:w="6776" w:type="dxa"/>
            <w:gridSpan w:val="13"/>
            <w:tcBorders>
              <w:tl2br w:val="nil"/>
              <w:tr2bl w:val="nil"/>
            </w:tcBorders>
            <w:vAlign w:val="center"/>
          </w:tcPr>
          <w:p>
            <w:pPr>
              <w:pStyle w:val="22"/>
              <w:bidi w:val="0"/>
              <w:jc w:val="center"/>
              <w:rPr>
                <w:color w:val="auto"/>
              </w:rPr>
            </w:pPr>
            <w:r>
              <w:rPr>
                <w:color w:val="auto"/>
              </w:rPr>
              <w:t>（COD、BOD5、SS、氨氮、粪大肠菌群）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jc w:val="center"/>
        </w:trPr>
        <w:tc>
          <w:tcPr>
            <w:tcW w:w="949" w:type="dxa"/>
            <w:vMerge w:val="continue"/>
            <w:tcBorders>
              <w:tl2br w:val="nil"/>
              <w:tr2bl w:val="nil"/>
            </w:tcBorders>
            <w:textDirection w:val="tbRlV"/>
            <w:vAlign w:val="center"/>
          </w:tcPr>
          <w:p>
            <w:pPr>
              <w:pStyle w:val="22"/>
              <w:bidi w:val="0"/>
              <w:jc w:val="center"/>
              <w:rPr>
                <w:color w:val="auto"/>
              </w:rPr>
            </w:pPr>
          </w:p>
        </w:tc>
        <w:tc>
          <w:tcPr>
            <w:tcW w:w="1523" w:type="dxa"/>
            <w:tcBorders>
              <w:tl2br w:val="nil"/>
              <w:tr2bl w:val="nil"/>
            </w:tcBorders>
            <w:vAlign w:val="center"/>
          </w:tcPr>
          <w:p>
            <w:pPr>
              <w:pStyle w:val="22"/>
              <w:bidi w:val="0"/>
              <w:jc w:val="center"/>
              <w:rPr>
                <w:color w:val="auto"/>
              </w:rPr>
            </w:pPr>
            <w:r>
              <w:rPr>
                <w:color w:val="auto"/>
              </w:rPr>
              <w:t>评价标准</w:t>
            </w:r>
          </w:p>
        </w:tc>
        <w:tc>
          <w:tcPr>
            <w:tcW w:w="6776" w:type="dxa"/>
            <w:gridSpan w:val="13"/>
            <w:tcBorders>
              <w:tl2br w:val="nil"/>
              <w:tr2bl w:val="nil"/>
            </w:tcBorders>
            <w:vAlign w:val="center"/>
          </w:tcPr>
          <w:p>
            <w:pPr>
              <w:pStyle w:val="22"/>
              <w:bidi w:val="0"/>
              <w:jc w:val="center"/>
              <w:rPr>
                <w:color w:val="auto"/>
              </w:rPr>
            </w:pPr>
            <w:r>
              <w:rPr>
                <w:color w:val="auto"/>
              </w:rPr>
              <w:t>河流、湖库、河口：Ⅰ类</w:t>
            </w:r>
            <w:r>
              <w:rPr>
                <w:color w:val="auto"/>
              </w:rPr>
              <w:drawing>
                <wp:inline distT="0" distB="0" distL="0" distR="0">
                  <wp:extent cx="81280" cy="126365"/>
                  <wp:effectExtent l="0" t="0" r="13970" b="5715"/>
                  <wp:docPr id="150" name="IM 150"/>
                  <wp:cNvGraphicFramePr/>
                  <a:graphic xmlns:a="http://schemas.openxmlformats.org/drawingml/2006/main">
                    <a:graphicData uri="http://schemas.openxmlformats.org/drawingml/2006/picture">
                      <pic:pic xmlns:pic="http://schemas.openxmlformats.org/drawingml/2006/picture">
                        <pic:nvPicPr>
                          <pic:cNvPr id="150" name="IM 150"/>
                          <pic:cNvPicPr/>
                        </pic:nvPicPr>
                        <pic:blipFill>
                          <a:blip r:embed="rId16"/>
                          <a:stretch>
                            <a:fillRect/>
                          </a:stretch>
                        </pic:blipFill>
                        <pic:spPr>
                          <a:xfrm>
                            <a:off x="0" y="0"/>
                            <a:ext cx="81381" cy="126644"/>
                          </a:xfrm>
                          <a:prstGeom prst="rect">
                            <a:avLst/>
                          </a:prstGeom>
                        </pic:spPr>
                      </pic:pic>
                    </a:graphicData>
                  </a:graphic>
                </wp:inline>
              </w:drawing>
            </w:r>
            <w:r>
              <w:rPr>
                <w:color w:val="auto"/>
              </w:rPr>
              <w:t>；Ⅱ类□；Ⅲ类</w:t>
            </w:r>
            <w:r>
              <w:rPr>
                <w:rFonts w:hint="eastAsia"/>
                <w:color w:val="auto"/>
                <w:lang w:eastAsia="zh-CN"/>
              </w:rPr>
              <w:t>□</w:t>
            </w:r>
            <w:r>
              <w:rPr>
                <w:color w:val="auto"/>
              </w:rPr>
              <w:t>；Ⅳ类□；Ⅴ类□近岸海域：第一类□；第二类□；第三类□；第四类□</w:t>
            </w:r>
          </w:p>
          <w:p>
            <w:pPr>
              <w:pStyle w:val="22"/>
              <w:bidi w:val="0"/>
              <w:jc w:val="center"/>
              <w:rPr>
                <w:color w:val="auto"/>
              </w:rPr>
            </w:pPr>
            <w:r>
              <w:rPr>
                <w:color w:val="auto"/>
              </w:rPr>
              <w:t>规划年评价标准（）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949" w:type="dxa"/>
            <w:vMerge w:val="continue"/>
            <w:tcBorders>
              <w:tl2br w:val="nil"/>
              <w:tr2bl w:val="nil"/>
            </w:tcBorders>
            <w:textDirection w:val="tbRlV"/>
            <w:vAlign w:val="center"/>
          </w:tcPr>
          <w:p>
            <w:pPr>
              <w:pStyle w:val="22"/>
              <w:bidi w:val="0"/>
              <w:jc w:val="center"/>
              <w:rPr>
                <w:color w:val="auto"/>
              </w:rPr>
            </w:pPr>
          </w:p>
        </w:tc>
        <w:tc>
          <w:tcPr>
            <w:tcW w:w="1523" w:type="dxa"/>
            <w:tcBorders>
              <w:tl2br w:val="nil"/>
              <w:tr2bl w:val="nil"/>
            </w:tcBorders>
            <w:vAlign w:val="center"/>
          </w:tcPr>
          <w:p>
            <w:pPr>
              <w:pStyle w:val="22"/>
              <w:bidi w:val="0"/>
              <w:jc w:val="center"/>
              <w:rPr>
                <w:color w:val="auto"/>
              </w:rPr>
            </w:pPr>
            <w:r>
              <w:rPr>
                <w:color w:val="auto"/>
              </w:rPr>
              <w:t>评价时期</w:t>
            </w:r>
          </w:p>
        </w:tc>
        <w:tc>
          <w:tcPr>
            <w:tcW w:w="6776" w:type="dxa"/>
            <w:gridSpan w:val="13"/>
            <w:tcBorders>
              <w:tl2br w:val="nil"/>
              <w:tr2bl w:val="nil"/>
            </w:tcBorders>
            <w:vAlign w:val="center"/>
          </w:tcPr>
          <w:p>
            <w:pPr>
              <w:pStyle w:val="22"/>
              <w:bidi w:val="0"/>
              <w:jc w:val="center"/>
              <w:rPr>
                <w:color w:val="auto"/>
              </w:rPr>
            </w:pPr>
            <w:r>
              <w:rPr>
                <w:color w:val="auto"/>
              </w:rPr>
              <w:t>丰水期□；平水期□；枯水期□；冰封期□</w:t>
            </w:r>
          </w:p>
          <w:p>
            <w:pPr>
              <w:pStyle w:val="22"/>
              <w:bidi w:val="0"/>
              <w:jc w:val="center"/>
              <w:rPr>
                <w:color w:val="auto"/>
              </w:rPr>
            </w:pPr>
            <w:r>
              <w:rPr>
                <w:color w:val="auto"/>
              </w:rPr>
              <w:t>春季□；夏季□；秋季□；冬季□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7" w:hRule="atLeast"/>
          <w:jc w:val="center"/>
        </w:trPr>
        <w:tc>
          <w:tcPr>
            <w:tcW w:w="949" w:type="dxa"/>
            <w:vMerge w:val="continue"/>
            <w:tcBorders>
              <w:tl2br w:val="nil"/>
              <w:tr2bl w:val="nil"/>
            </w:tcBorders>
            <w:textDirection w:val="tbRlV"/>
            <w:vAlign w:val="center"/>
          </w:tcPr>
          <w:p>
            <w:pPr>
              <w:pStyle w:val="22"/>
              <w:bidi w:val="0"/>
              <w:jc w:val="center"/>
              <w:rPr>
                <w:color w:val="auto"/>
              </w:rPr>
            </w:pPr>
          </w:p>
        </w:tc>
        <w:tc>
          <w:tcPr>
            <w:tcW w:w="1523" w:type="dxa"/>
            <w:tcBorders>
              <w:tl2br w:val="nil"/>
              <w:tr2bl w:val="nil"/>
            </w:tcBorders>
            <w:vAlign w:val="center"/>
          </w:tcPr>
          <w:p>
            <w:pPr>
              <w:pStyle w:val="22"/>
              <w:bidi w:val="0"/>
              <w:jc w:val="center"/>
              <w:rPr>
                <w:color w:val="auto"/>
              </w:rPr>
            </w:pPr>
            <w:r>
              <w:rPr>
                <w:color w:val="auto"/>
              </w:rPr>
              <w:t>评价结论</w:t>
            </w:r>
          </w:p>
        </w:tc>
        <w:tc>
          <w:tcPr>
            <w:tcW w:w="5364" w:type="dxa"/>
            <w:gridSpan w:val="11"/>
            <w:tcBorders>
              <w:tl2br w:val="nil"/>
              <w:tr2bl w:val="nil"/>
            </w:tcBorders>
            <w:vAlign w:val="center"/>
          </w:tcPr>
          <w:p>
            <w:pPr>
              <w:pStyle w:val="22"/>
              <w:bidi w:val="0"/>
              <w:jc w:val="center"/>
              <w:rPr>
                <w:color w:val="auto"/>
              </w:rPr>
            </w:pPr>
            <w:r>
              <w:rPr>
                <w:color w:val="auto"/>
              </w:rPr>
              <w:t>水环境功能区或水功能区、近岸海域环境功能区水质达标状况□：达标□；不达标</w:t>
            </w:r>
            <w:r>
              <w:rPr>
                <w:color w:val="auto"/>
              </w:rPr>
              <w:drawing>
                <wp:inline distT="0" distB="0" distL="0" distR="0">
                  <wp:extent cx="81280" cy="126365"/>
                  <wp:effectExtent l="0" t="0" r="13970" b="5715"/>
                  <wp:docPr id="153" name="IM 153"/>
                  <wp:cNvGraphicFramePr/>
                  <a:graphic xmlns:a="http://schemas.openxmlformats.org/drawingml/2006/main">
                    <a:graphicData uri="http://schemas.openxmlformats.org/drawingml/2006/picture">
                      <pic:pic xmlns:pic="http://schemas.openxmlformats.org/drawingml/2006/picture">
                        <pic:nvPicPr>
                          <pic:cNvPr id="153" name="IM 153"/>
                          <pic:cNvPicPr/>
                        </pic:nvPicPr>
                        <pic:blipFill>
                          <a:blip r:embed="rId16"/>
                          <a:stretch>
                            <a:fillRect/>
                          </a:stretch>
                        </pic:blipFill>
                        <pic:spPr>
                          <a:xfrm>
                            <a:off x="0" y="0"/>
                            <a:ext cx="81381" cy="126644"/>
                          </a:xfrm>
                          <a:prstGeom prst="rect">
                            <a:avLst/>
                          </a:prstGeom>
                        </pic:spPr>
                      </pic:pic>
                    </a:graphicData>
                  </a:graphic>
                </wp:inline>
              </w:drawing>
            </w:r>
          </w:p>
          <w:p>
            <w:pPr>
              <w:pStyle w:val="22"/>
              <w:bidi w:val="0"/>
              <w:jc w:val="center"/>
              <w:rPr>
                <w:color w:val="auto"/>
              </w:rPr>
            </w:pPr>
            <w:r>
              <w:rPr>
                <w:color w:val="auto"/>
              </w:rPr>
              <w:t>水环境控制单元或断面水质达标状况□：达标□；不达标</w:t>
            </w:r>
            <w:r>
              <w:rPr>
                <w:color w:val="auto"/>
              </w:rPr>
              <w:drawing>
                <wp:inline distT="0" distB="0" distL="0" distR="0">
                  <wp:extent cx="81280" cy="126365"/>
                  <wp:effectExtent l="0" t="0" r="13970" b="5715"/>
                  <wp:docPr id="154" name="IM 154"/>
                  <wp:cNvGraphicFramePr/>
                  <a:graphic xmlns:a="http://schemas.openxmlformats.org/drawingml/2006/main">
                    <a:graphicData uri="http://schemas.openxmlformats.org/drawingml/2006/picture">
                      <pic:pic xmlns:pic="http://schemas.openxmlformats.org/drawingml/2006/picture">
                        <pic:nvPicPr>
                          <pic:cNvPr id="154" name="IM 154"/>
                          <pic:cNvPicPr/>
                        </pic:nvPicPr>
                        <pic:blipFill>
                          <a:blip r:embed="rId16"/>
                          <a:stretch>
                            <a:fillRect/>
                          </a:stretch>
                        </pic:blipFill>
                        <pic:spPr>
                          <a:xfrm>
                            <a:off x="0" y="0"/>
                            <a:ext cx="81381" cy="126644"/>
                          </a:xfrm>
                          <a:prstGeom prst="rect">
                            <a:avLst/>
                          </a:prstGeom>
                        </pic:spPr>
                      </pic:pic>
                    </a:graphicData>
                  </a:graphic>
                </wp:inline>
              </w:drawing>
            </w:r>
            <w:r>
              <w:rPr>
                <w:color w:val="auto"/>
              </w:rPr>
              <w:t>水环境保护目标质量状况□：达标□；不达标□</w:t>
            </w:r>
          </w:p>
          <w:p>
            <w:pPr>
              <w:pStyle w:val="22"/>
              <w:bidi w:val="0"/>
              <w:jc w:val="center"/>
              <w:rPr>
                <w:color w:val="auto"/>
              </w:rPr>
            </w:pPr>
            <w:r>
              <w:rPr>
                <w:color w:val="auto"/>
              </w:rPr>
              <w:t>对照断面、控制断面等代表性断面的水质状况□：达标□；不达标</w:t>
            </w:r>
            <w:r>
              <w:rPr>
                <w:color w:val="auto"/>
              </w:rPr>
              <w:drawing>
                <wp:inline distT="0" distB="0" distL="0" distR="0">
                  <wp:extent cx="81280" cy="126365"/>
                  <wp:effectExtent l="0" t="0" r="13970" b="5715"/>
                  <wp:docPr id="155" name="IM 155"/>
                  <wp:cNvGraphicFramePr/>
                  <a:graphic xmlns:a="http://schemas.openxmlformats.org/drawingml/2006/main">
                    <a:graphicData uri="http://schemas.openxmlformats.org/drawingml/2006/picture">
                      <pic:pic xmlns:pic="http://schemas.openxmlformats.org/drawingml/2006/picture">
                        <pic:nvPicPr>
                          <pic:cNvPr id="155" name="IM 155"/>
                          <pic:cNvPicPr/>
                        </pic:nvPicPr>
                        <pic:blipFill>
                          <a:blip r:embed="rId16"/>
                          <a:stretch>
                            <a:fillRect/>
                          </a:stretch>
                        </pic:blipFill>
                        <pic:spPr>
                          <a:xfrm>
                            <a:off x="0" y="0"/>
                            <a:ext cx="81381" cy="126644"/>
                          </a:xfrm>
                          <a:prstGeom prst="rect">
                            <a:avLst/>
                          </a:prstGeom>
                        </pic:spPr>
                      </pic:pic>
                    </a:graphicData>
                  </a:graphic>
                </wp:inline>
              </w:drawing>
            </w:r>
          </w:p>
          <w:p>
            <w:pPr>
              <w:pStyle w:val="22"/>
              <w:bidi w:val="0"/>
              <w:jc w:val="center"/>
              <w:rPr>
                <w:color w:val="auto"/>
              </w:rPr>
            </w:pPr>
            <w:r>
              <w:rPr>
                <w:color w:val="auto"/>
              </w:rPr>
              <w:t>底泥污染评价□</w:t>
            </w:r>
          </w:p>
          <w:p>
            <w:pPr>
              <w:pStyle w:val="22"/>
              <w:bidi w:val="0"/>
              <w:jc w:val="center"/>
              <w:rPr>
                <w:color w:val="auto"/>
              </w:rPr>
            </w:pPr>
            <w:r>
              <w:rPr>
                <w:color w:val="auto"/>
              </w:rPr>
              <w:t>水资源与开发利用程度及其水文情势评价□</w:t>
            </w:r>
          </w:p>
          <w:p>
            <w:pPr>
              <w:pStyle w:val="22"/>
              <w:bidi w:val="0"/>
              <w:jc w:val="center"/>
              <w:rPr>
                <w:color w:val="auto"/>
              </w:rPr>
            </w:pPr>
            <w:r>
              <w:rPr>
                <w:color w:val="auto"/>
              </w:rPr>
              <w:t>水环境质量回顾评价□</w:t>
            </w:r>
          </w:p>
          <w:p>
            <w:pPr>
              <w:pStyle w:val="22"/>
              <w:bidi w:val="0"/>
              <w:jc w:val="center"/>
              <w:rPr>
                <w:color w:val="auto"/>
              </w:rPr>
            </w:pPr>
            <w:r>
              <w:rPr>
                <w:color w:val="auto"/>
              </w:rPr>
              <w:t>流域（区域）水资源（包括水能资源）与开发利用总体状况、生态流量管理要求与现状满足程度、建设项目占用水域空间的水流状况与河湖演变状况□</w:t>
            </w:r>
          </w:p>
        </w:tc>
        <w:tc>
          <w:tcPr>
            <w:tcW w:w="1412" w:type="dxa"/>
            <w:gridSpan w:val="2"/>
            <w:tcBorders>
              <w:tl2br w:val="nil"/>
              <w:tr2bl w:val="nil"/>
            </w:tcBorders>
            <w:vAlign w:val="center"/>
          </w:tcPr>
          <w:p>
            <w:pPr>
              <w:pStyle w:val="22"/>
              <w:bidi w:val="0"/>
              <w:jc w:val="center"/>
              <w:rPr>
                <w:color w:val="auto"/>
              </w:rPr>
            </w:pPr>
            <w:r>
              <w:rPr>
                <w:color w:val="auto"/>
              </w:rPr>
              <w:t>达标区□不达标区</w:t>
            </w:r>
            <w:r>
              <w:rPr>
                <w:color w:val="auto"/>
              </w:rPr>
              <w:drawing>
                <wp:inline distT="0" distB="0" distL="0" distR="0">
                  <wp:extent cx="81280" cy="126365"/>
                  <wp:effectExtent l="0" t="0" r="13970" b="5715"/>
                  <wp:docPr id="156" name="IM 156"/>
                  <wp:cNvGraphicFramePr/>
                  <a:graphic xmlns:a="http://schemas.openxmlformats.org/drawingml/2006/main">
                    <a:graphicData uri="http://schemas.openxmlformats.org/drawingml/2006/picture">
                      <pic:pic xmlns:pic="http://schemas.openxmlformats.org/drawingml/2006/picture">
                        <pic:nvPicPr>
                          <pic:cNvPr id="156" name="IM 156"/>
                          <pic:cNvPicPr/>
                        </pic:nvPicPr>
                        <pic:blipFill>
                          <a:blip r:embed="rId16"/>
                          <a:stretch>
                            <a:fillRect/>
                          </a:stretch>
                        </pic:blipFill>
                        <pic:spPr>
                          <a:xfrm>
                            <a:off x="0" y="0"/>
                            <a:ext cx="81381" cy="126644"/>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restart"/>
            <w:tcBorders>
              <w:tl2br w:val="nil"/>
              <w:tr2bl w:val="nil"/>
            </w:tcBorders>
            <w:textDirection w:val="tbRlV"/>
            <w:vAlign w:val="center"/>
          </w:tcPr>
          <w:p>
            <w:pPr>
              <w:pStyle w:val="22"/>
              <w:bidi w:val="0"/>
              <w:jc w:val="center"/>
              <w:rPr>
                <w:color w:val="auto"/>
              </w:rPr>
            </w:pPr>
            <w:r>
              <w:rPr>
                <w:color w:val="auto"/>
              </w:rPr>
              <w:t>影响预测</w:t>
            </w:r>
          </w:p>
        </w:tc>
        <w:tc>
          <w:tcPr>
            <w:tcW w:w="1523" w:type="dxa"/>
            <w:tcBorders>
              <w:tl2br w:val="nil"/>
              <w:tr2bl w:val="nil"/>
            </w:tcBorders>
            <w:vAlign w:val="center"/>
          </w:tcPr>
          <w:p>
            <w:pPr>
              <w:pStyle w:val="22"/>
              <w:bidi w:val="0"/>
              <w:jc w:val="center"/>
              <w:rPr>
                <w:color w:val="auto"/>
              </w:rPr>
            </w:pPr>
            <w:r>
              <w:rPr>
                <w:color w:val="auto"/>
              </w:rPr>
              <w:t>预测范围</w:t>
            </w:r>
          </w:p>
        </w:tc>
        <w:tc>
          <w:tcPr>
            <w:tcW w:w="6776" w:type="dxa"/>
            <w:gridSpan w:val="13"/>
            <w:tcBorders>
              <w:tl2br w:val="nil"/>
              <w:tr2bl w:val="nil"/>
            </w:tcBorders>
            <w:vAlign w:val="center"/>
          </w:tcPr>
          <w:p>
            <w:pPr>
              <w:pStyle w:val="22"/>
              <w:bidi w:val="0"/>
              <w:jc w:val="center"/>
              <w:rPr>
                <w:color w:val="auto"/>
              </w:rPr>
            </w:pPr>
            <w:r>
              <w:rPr>
                <w:color w:val="auto"/>
              </w:rPr>
              <w:t>河流：长度（）km；湖库、河口及近岸海域：面积（）km2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22"/>
              <w:bidi w:val="0"/>
              <w:jc w:val="center"/>
              <w:rPr>
                <w:color w:val="auto"/>
              </w:rPr>
            </w:pPr>
          </w:p>
        </w:tc>
        <w:tc>
          <w:tcPr>
            <w:tcW w:w="1523" w:type="dxa"/>
            <w:tcBorders>
              <w:tl2br w:val="nil"/>
              <w:tr2bl w:val="nil"/>
            </w:tcBorders>
            <w:vAlign w:val="center"/>
          </w:tcPr>
          <w:p>
            <w:pPr>
              <w:pStyle w:val="22"/>
              <w:bidi w:val="0"/>
              <w:jc w:val="center"/>
              <w:rPr>
                <w:color w:val="auto"/>
              </w:rPr>
            </w:pPr>
            <w:r>
              <w:rPr>
                <w:color w:val="auto"/>
              </w:rPr>
              <w:t>预测因子</w:t>
            </w:r>
          </w:p>
        </w:tc>
        <w:tc>
          <w:tcPr>
            <w:tcW w:w="6776" w:type="dxa"/>
            <w:gridSpan w:val="13"/>
            <w:tcBorders>
              <w:tl2br w:val="nil"/>
              <w:tr2bl w:val="nil"/>
            </w:tcBorders>
            <w:vAlign w:val="center"/>
          </w:tcPr>
          <w:p>
            <w:pPr>
              <w:pStyle w:val="22"/>
              <w:bidi w:val="0"/>
              <w:jc w:val="center"/>
              <w:rPr>
                <w:color w:val="auto"/>
              </w:rPr>
            </w:pPr>
            <w:r>
              <w:rPr>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jc w:val="center"/>
        </w:trPr>
        <w:tc>
          <w:tcPr>
            <w:tcW w:w="949" w:type="dxa"/>
            <w:vMerge w:val="continue"/>
            <w:tcBorders>
              <w:tl2br w:val="nil"/>
              <w:tr2bl w:val="nil"/>
            </w:tcBorders>
            <w:textDirection w:val="tbRlV"/>
            <w:vAlign w:val="center"/>
          </w:tcPr>
          <w:p>
            <w:pPr>
              <w:pStyle w:val="22"/>
              <w:bidi w:val="0"/>
              <w:jc w:val="center"/>
              <w:rPr>
                <w:color w:val="auto"/>
              </w:rPr>
            </w:pPr>
          </w:p>
        </w:tc>
        <w:tc>
          <w:tcPr>
            <w:tcW w:w="1523" w:type="dxa"/>
            <w:tcBorders>
              <w:tl2br w:val="nil"/>
              <w:tr2bl w:val="nil"/>
            </w:tcBorders>
            <w:vAlign w:val="center"/>
          </w:tcPr>
          <w:p>
            <w:pPr>
              <w:pStyle w:val="22"/>
              <w:bidi w:val="0"/>
              <w:jc w:val="center"/>
              <w:rPr>
                <w:color w:val="auto"/>
              </w:rPr>
            </w:pPr>
            <w:r>
              <w:rPr>
                <w:color w:val="auto"/>
              </w:rPr>
              <w:t>预测时期</w:t>
            </w:r>
          </w:p>
        </w:tc>
        <w:tc>
          <w:tcPr>
            <w:tcW w:w="6776" w:type="dxa"/>
            <w:gridSpan w:val="13"/>
            <w:tcBorders>
              <w:tl2br w:val="nil"/>
              <w:tr2bl w:val="nil"/>
            </w:tcBorders>
            <w:vAlign w:val="center"/>
          </w:tcPr>
          <w:p>
            <w:pPr>
              <w:pStyle w:val="22"/>
              <w:bidi w:val="0"/>
              <w:jc w:val="center"/>
              <w:rPr>
                <w:color w:val="auto"/>
              </w:rPr>
            </w:pPr>
            <w:r>
              <w:rPr>
                <w:color w:val="auto"/>
              </w:rPr>
              <w:t>丰水期□；平水期□；枯水期□；冰封期□</w:t>
            </w:r>
          </w:p>
          <w:p>
            <w:pPr>
              <w:pStyle w:val="22"/>
              <w:bidi w:val="0"/>
              <w:jc w:val="center"/>
              <w:rPr>
                <w:color w:val="auto"/>
              </w:rPr>
            </w:pPr>
            <w:r>
              <w:rPr>
                <w:color w:val="auto"/>
              </w:rPr>
              <w:t>春季□；夏季□；秋季□；冬季□</w:t>
            </w:r>
          </w:p>
          <w:p>
            <w:pPr>
              <w:pStyle w:val="22"/>
              <w:bidi w:val="0"/>
              <w:jc w:val="center"/>
              <w:rPr>
                <w:color w:val="auto"/>
              </w:rPr>
            </w:pPr>
            <w:r>
              <w:rPr>
                <w:color w:val="auto"/>
              </w:rPr>
              <w:t>设计水文条件□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5" w:hRule="atLeast"/>
          <w:jc w:val="center"/>
        </w:trPr>
        <w:tc>
          <w:tcPr>
            <w:tcW w:w="949" w:type="dxa"/>
            <w:vMerge w:val="continue"/>
            <w:tcBorders>
              <w:tl2br w:val="nil"/>
              <w:tr2bl w:val="nil"/>
            </w:tcBorders>
            <w:textDirection w:val="tbRlV"/>
            <w:vAlign w:val="center"/>
          </w:tcPr>
          <w:p>
            <w:pPr>
              <w:pStyle w:val="22"/>
              <w:bidi w:val="0"/>
              <w:jc w:val="center"/>
              <w:rPr>
                <w:color w:val="auto"/>
              </w:rPr>
            </w:pPr>
          </w:p>
        </w:tc>
        <w:tc>
          <w:tcPr>
            <w:tcW w:w="1523" w:type="dxa"/>
            <w:tcBorders>
              <w:tl2br w:val="nil"/>
              <w:tr2bl w:val="nil"/>
            </w:tcBorders>
            <w:vAlign w:val="center"/>
          </w:tcPr>
          <w:p>
            <w:pPr>
              <w:pStyle w:val="22"/>
              <w:bidi w:val="0"/>
              <w:jc w:val="center"/>
              <w:rPr>
                <w:color w:val="auto"/>
              </w:rPr>
            </w:pPr>
            <w:r>
              <w:rPr>
                <w:color w:val="auto"/>
              </w:rPr>
              <w:t>预测情景</w:t>
            </w:r>
          </w:p>
        </w:tc>
        <w:tc>
          <w:tcPr>
            <w:tcW w:w="6776" w:type="dxa"/>
            <w:gridSpan w:val="13"/>
            <w:tcBorders>
              <w:tl2br w:val="nil"/>
              <w:tr2bl w:val="nil"/>
            </w:tcBorders>
            <w:vAlign w:val="center"/>
          </w:tcPr>
          <w:p>
            <w:pPr>
              <w:pStyle w:val="22"/>
              <w:bidi w:val="0"/>
              <w:jc w:val="center"/>
              <w:rPr>
                <w:color w:val="auto"/>
              </w:rPr>
            </w:pPr>
            <w:r>
              <w:rPr>
                <w:color w:val="auto"/>
              </w:rPr>
              <w:t>建设期□；生产运行期□；服务期满后□</w:t>
            </w:r>
          </w:p>
          <w:p>
            <w:pPr>
              <w:pStyle w:val="22"/>
              <w:bidi w:val="0"/>
              <w:jc w:val="center"/>
              <w:rPr>
                <w:color w:val="auto"/>
              </w:rPr>
            </w:pPr>
            <w:r>
              <w:rPr>
                <w:color w:val="auto"/>
              </w:rPr>
              <w:t>正常工况□；非正常工况□</w:t>
            </w:r>
          </w:p>
          <w:p>
            <w:pPr>
              <w:pStyle w:val="22"/>
              <w:bidi w:val="0"/>
              <w:jc w:val="center"/>
              <w:rPr>
                <w:color w:val="auto"/>
              </w:rPr>
            </w:pPr>
            <w:r>
              <w:rPr>
                <w:color w:val="auto"/>
              </w:rPr>
              <w:t>污染控制和减缓措施方案□</w:t>
            </w:r>
          </w:p>
          <w:p>
            <w:pPr>
              <w:pStyle w:val="22"/>
              <w:bidi w:val="0"/>
              <w:jc w:val="center"/>
              <w:rPr>
                <w:color w:val="auto"/>
              </w:rPr>
            </w:pPr>
            <w:r>
              <w:rPr>
                <w:color w:val="auto"/>
              </w:rPr>
              <w:t>区（流）域环境质量改善目标要求情景□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jc w:val="center"/>
        </w:trPr>
        <w:tc>
          <w:tcPr>
            <w:tcW w:w="949" w:type="dxa"/>
            <w:vMerge w:val="continue"/>
            <w:tcBorders>
              <w:tl2br w:val="nil"/>
              <w:tr2bl w:val="nil"/>
            </w:tcBorders>
            <w:vAlign w:val="center"/>
          </w:tcPr>
          <w:p>
            <w:pPr>
              <w:pStyle w:val="22"/>
              <w:bidi w:val="0"/>
              <w:jc w:val="center"/>
              <w:rPr>
                <w:color w:val="auto"/>
              </w:rPr>
            </w:pPr>
          </w:p>
        </w:tc>
        <w:tc>
          <w:tcPr>
            <w:tcW w:w="1523" w:type="dxa"/>
            <w:tcBorders>
              <w:tl2br w:val="nil"/>
              <w:tr2bl w:val="nil"/>
            </w:tcBorders>
            <w:vAlign w:val="center"/>
          </w:tcPr>
          <w:p>
            <w:pPr>
              <w:pStyle w:val="22"/>
              <w:bidi w:val="0"/>
              <w:jc w:val="center"/>
              <w:rPr>
                <w:color w:val="auto"/>
              </w:rPr>
            </w:pPr>
            <w:r>
              <w:rPr>
                <w:color w:val="auto"/>
              </w:rPr>
              <w:t>预测方法</w:t>
            </w:r>
          </w:p>
        </w:tc>
        <w:tc>
          <w:tcPr>
            <w:tcW w:w="6776" w:type="dxa"/>
            <w:gridSpan w:val="13"/>
            <w:tcBorders>
              <w:tl2br w:val="nil"/>
              <w:tr2bl w:val="nil"/>
            </w:tcBorders>
            <w:vAlign w:val="center"/>
          </w:tcPr>
          <w:p>
            <w:pPr>
              <w:pStyle w:val="22"/>
              <w:bidi w:val="0"/>
              <w:jc w:val="center"/>
              <w:rPr>
                <w:color w:val="auto"/>
              </w:rPr>
            </w:pPr>
            <w:r>
              <w:rPr>
                <w:color w:val="auto"/>
              </w:rPr>
              <w:t>数值解□：解析解□；其他□</w:t>
            </w:r>
          </w:p>
          <w:p>
            <w:pPr>
              <w:pStyle w:val="22"/>
              <w:bidi w:val="0"/>
              <w:jc w:val="center"/>
              <w:rPr>
                <w:color w:val="auto"/>
              </w:rPr>
            </w:pPr>
            <w:r>
              <w:rPr>
                <w:color w:val="auto"/>
              </w:rPr>
              <w:t>导则推荐模式□：其他□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jc w:val="center"/>
        </w:trPr>
        <w:tc>
          <w:tcPr>
            <w:tcW w:w="949" w:type="dxa"/>
            <w:vMerge w:val="restart"/>
            <w:tcBorders>
              <w:tl2br w:val="nil"/>
              <w:tr2bl w:val="nil"/>
            </w:tcBorders>
            <w:textDirection w:val="tbRlV"/>
            <w:vAlign w:val="center"/>
          </w:tcPr>
          <w:p>
            <w:pPr>
              <w:pStyle w:val="22"/>
              <w:bidi w:val="0"/>
              <w:jc w:val="center"/>
              <w:rPr>
                <w:color w:val="auto"/>
              </w:rPr>
            </w:pPr>
            <w:r>
              <w:rPr>
                <w:color w:val="auto"/>
              </w:rPr>
              <w:t>影响评价</w:t>
            </w:r>
          </w:p>
        </w:tc>
        <w:tc>
          <w:tcPr>
            <w:tcW w:w="1523" w:type="dxa"/>
            <w:tcBorders>
              <w:tl2br w:val="nil"/>
              <w:tr2bl w:val="nil"/>
            </w:tcBorders>
            <w:vAlign w:val="center"/>
          </w:tcPr>
          <w:p>
            <w:pPr>
              <w:pStyle w:val="22"/>
              <w:bidi w:val="0"/>
              <w:jc w:val="center"/>
              <w:rPr>
                <w:color w:val="auto"/>
              </w:rPr>
            </w:pPr>
            <w:r>
              <w:rPr>
                <w:color w:val="auto"/>
              </w:rPr>
              <w:t>水污染控制和水</w:t>
            </w:r>
          </w:p>
          <w:p>
            <w:pPr>
              <w:pStyle w:val="22"/>
              <w:bidi w:val="0"/>
              <w:jc w:val="center"/>
              <w:rPr>
                <w:color w:val="auto"/>
              </w:rPr>
            </w:pPr>
            <w:r>
              <w:rPr>
                <w:color w:val="auto"/>
              </w:rPr>
              <w:t>环境影响减缓措</w:t>
            </w:r>
          </w:p>
          <w:p>
            <w:pPr>
              <w:pStyle w:val="22"/>
              <w:bidi w:val="0"/>
              <w:jc w:val="center"/>
              <w:rPr>
                <w:color w:val="auto"/>
              </w:rPr>
            </w:pPr>
            <w:r>
              <w:rPr>
                <w:color w:val="auto"/>
              </w:rPr>
              <w:t>施有效性评价</w:t>
            </w:r>
          </w:p>
        </w:tc>
        <w:tc>
          <w:tcPr>
            <w:tcW w:w="6776" w:type="dxa"/>
            <w:gridSpan w:val="13"/>
            <w:tcBorders>
              <w:tl2br w:val="nil"/>
              <w:tr2bl w:val="nil"/>
            </w:tcBorders>
            <w:vAlign w:val="center"/>
          </w:tcPr>
          <w:p>
            <w:pPr>
              <w:pStyle w:val="22"/>
              <w:bidi w:val="0"/>
              <w:jc w:val="center"/>
              <w:rPr>
                <w:color w:val="auto"/>
              </w:rPr>
            </w:pPr>
            <w:r>
              <w:rPr>
                <w:color w:val="auto"/>
              </w:rPr>
              <w:t>区（流）域水环境质量改善目标□；替代削减源□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47" w:hRule="atLeast"/>
          <w:jc w:val="center"/>
        </w:trPr>
        <w:tc>
          <w:tcPr>
            <w:tcW w:w="949" w:type="dxa"/>
            <w:vMerge w:val="continue"/>
            <w:tcBorders>
              <w:tl2br w:val="nil"/>
              <w:tr2bl w:val="nil"/>
            </w:tcBorders>
            <w:textDirection w:val="tbRlV"/>
            <w:vAlign w:val="center"/>
          </w:tcPr>
          <w:p>
            <w:pPr>
              <w:pStyle w:val="22"/>
              <w:bidi w:val="0"/>
              <w:jc w:val="center"/>
              <w:rPr>
                <w:color w:val="auto"/>
              </w:rPr>
            </w:pPr>
          </w:p>
        </w:tc>
        <w:tc>
          <w:tcPr>
            <w:tcW w:w="1523" w:type="dxa"/>
            <w:tcBorders>
              <w:tl2br w:val="nil"/>
              <w:tr2bl w:val="nil"/>
            </w:tcBorders>
            <w:vAlign w:val="center"/>
          </w:tcPr>
          <w:p>
            <w:pPr>
              <w:pStyle w:val="22"/>
              <w:bidi w:val="0"/>
              <w:jc w:val="center"/>
              <w:rPr>
                <w:color w:val="auto"/>
              </w:rPr>
            </w:pPr>
            <w:r>
              <w:rPr>
                <w:color w:val="auto"/>
              </w:rPr>
              <w:t>水环境影响评价</w:t>
            </w:r>
          </w:p>
        </w:tc>
        <w:tc>
          <w:tcPr>
            <w:tcW w:w="6776" w:type="dxa"/>
            <w:gridSpan w:val="13"/>
            <w:tcBorders>
              <w:tl2br w:val="nil"/>
              <w:tr2bl w:val="nil"/>
            </w:tcBorders>
            <w:vAlign w:val="center"/>
          </w:tcPr>
          <w:p>
            <w:pPr>
              <w:pStyle w:val="22"/>
              <w:bidi w:val="0"/>
              <w:jc w:val="center"/>
              <w:rPr>
                <w:color w:val="auto"/>
              </w:rPr>
            </w:pPr>
            <w:r>
              <w:rPr>
                <w:color w:val="auto"/>
              </w:rPr>
              <w:t>排放口混合区外满足水环境管理要求□</w:t>
            </w:r>
          </w:p>
          <w:p>
            <w:pPr>
              <w:pStyle w:val="22"/>
              <w:bidi w:val="0"/>
              <w:jc w:val="center"/>
              <w:rPr>
                <w:color w:val="auto"/>
              </w:rPr>
            </w:pPr>
            <w:r>
              <w:rPr>
                <w:color w:val="auto"/>
              </w:rPr>
              <w:t>水环境功能区或水功能区、近岸海域环境功能区水质达标□</w:t>
            </w:r>
          </w:p>
          <w:p>
            <w:pPr>
              <w:pStyle w:val="22"/>
              <w:bidi w:val="0"/>
              <w:jc w:val="center"/>
              <w:rPr>
                <w:color w:val="auto"/>
              </w:rPr>
            </w:pPr>
            <w:r>
              <w:rPr>
                <w:color w:val="auto"/>
              </w:rPr>
              <w:t>满足水环境保护目标水域水环境质量要求□</w:t>
            </w:r>
          </w:p>
          <w:p>
            <w:pPr>
              <w:pStyle w:val="22"/>
              <w:bidi w:val="0"/>
              <w:jc w:val="center"/>
              <w:rPr>
                <w:color w:val="auto"/>
              </w:rPr>
            </w:pPr>
            <w:r>
              <w:rPr>
                <w:color w:val="auto"/>
              </w:rPr>
              <w:t>水环境控制单元或断面水质达标□</w:t>
            </w:r>
          </w:p>
          <w:p>
            <w:pPr>
              <w:pStyle w:val="22"/>
              <w:bidi w:val="0"/>
              <w:jc w:val="center"/>
              <w:rPr>
                <w:color w:val="auto"/>
              </w:rPr>
            </w:pPr>
            <w:r>
              <w:rPr>
                <w:color w:val="auto"/>
              </w:rPr>
              <w:t>满足重点水污染物排放总量控制指标要求，重点行业建设项目，主要污染物排放满足等量或减量替代要求□</w:t>
            </w:r>
          </w:p>
          <w:p>
            <w:pPr>
              <w:pStyle w:val="22"/>
              <w:bidi w:val="0"/>
              <w:jc w:val="center"/>
              <w:rPr>
                <w:color w:val="auto"/>
              </w:rPr>
            </w:pPr>
            <w:r>
              <w:rPr>
                <w:color w:val="auto"/>
              </w:rPr>
              <w:t>满足区（流）域水环境质量改善目标要求□</w:t>
            </w:r>
          </w:p>
          <w:p>
            <w:pPr>
              <w:pStyle w:val="22"/>
              <w:bidi w:val="0"/>
              <w:jc w:val="center"/>
              <w:rPr>
                <w:color w:val="auto"/>
              </w:rPr>
            </w:pPr>
            <w:r>
              <w:rPr>
                <w:color w:val="auto"/>
              </w:rPr>
              <w:t>水文要素影响型建设项目同时应包括水文情势变化评价、主要水文特征值影响评价、生态流量符合性评价□</w:t>
            </w:r>
          </w:p>
          <w:p>
            <w:pPr>
              <w:pStyle w:val="22"/>
              <w:bidi w:val="0"/>
              <w:jc w:val="center"/>
              <w:rPr>
                <w:color w:val="auto"/>
              </w:rPr>
            </w:pPr>
            <w:r>
              <w:rPr>
                <w:color w:val="auto"/>
              </w:rPr>
              <w:t>对于新设或调整入河（湖库、近岸海域）排放口的建设项目，应包括排放口设置的环境合理性评价□</w:t>
            </w:r>
          </w:p>
          <w:p>
            <w:pPr>
              <w:pStyle w:val="22"/>
              <w:bidi w:val="0"/>
              <w:jc w:val="center"/>
              <w:rPr>
                <w:color w:val="auto"/>
              </w:rPr>
            </w:pPr>
            <w:r>
              <w:rPr>
                <w:color w:val="auto"/>
              </w:rPr>
              <w:t>满足生态保护红线、水环境质量底线、资源利用上线和环境准入清单管理要求□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22"/>
              <w:bidi w:val="0"/>
              <w:jc w:val="center"/>
              <w:rPr>
                <w:color w:val="auto"/>
              </w:rPr>
            </w:pPr>
          </w:p>
        </w:tc>
        <w:tc>
          <w:tcPr>
            <w:tcW w:w="1523" w:type="dxa"/>
            <w:vMerge w:val="restart"/>
            <w:tcBorders>
              <w:tl2br w:val="nil"/>
              <w:tr2bl w:val="nil"/>
            </w:tcBorders>
            <w:vAlign w:val="center"/>
          </w:tcPr>
          <w:p>
            <w:pPr>
              <w:pStyle w:val="22"/>
              <w:bidi w:val="0"/>
              <w:jc w:val="center"/>
              <w:rPr>
                <w:color w:val="auto"/>
              </w:rPr>
            </w:pPr>
            <w:r>
              <w:rPr>
                <w:color w:val="auto"/>
              </w:rPr>
              <w:t>污染源排放量核算</w:t>
            </w:r>
          </w:p>
        </w:tc>
        <w:tc>
          <w:tcPr>
            <w:tcW w:w="2257" w:type="dxa"/>
            <w:gridSpan w:val="4"/>
            <w:tcBorders>
              <w:tl2br w:val="nil"/>
              <w:tr2bl w:val="nil"/>
            </w:tcBorders>
            <w:vAlign w:val="center"/>
          </w:tcPr>
          <w:p>
            <w:pPr>
              <w:pStyle w:val="22"/>
              <w:bidi w:val="0"/>
              <w:jc w:val="center"/>
              <w:rPr>
                <w:color w:val="auto"/>
              </w:rPr>
            </w:pPr>
            <w:r>
              <w:rPr>
                <w:color w:val="auto"/>
              </w:rPr>
              <w:t>污染物名称</w:t>
            </w:r>
          </w:p>
        </w:tc>
        <w:tc>
          <w:tcPr>
            <w:tcW w:w="2257" w:type="dxa"/>
            <w:gridSpan w:val="6"/>
            <w:tcBorders>
              <w:tl2br w:val="nil"/>
              <w:tr2bl w:val="nil"/>
            </w:tcBorders>
            <w:vAlign w:val="center"/>
          </w:tcPr>
          <w:p>
            <w:pPr>
              <w:pStyle w:val="22"/>
              <w:bidi w:val="0"/>
              <w:jc w:val="center"/>
              <w:rPr>
                <w:color w:val="auto"/>
              </w:rPr>
            </w:pPr>
            <w:r>
              <w:rPr>
                <w:color w:val="auto"/>
              </w:rPr>
              <w:t>排放量/（t/a）</w:t>
            </w:r>
          </w:p>
        </w:tc>
        <w:tc>
          <w:tcPr>
            <w:tcW w:w="2262" w:type="dxa"/>
            <w:gridSpan w:val="3"/>
            <w:tcBorders>
              <w:tl2br w:val="nil"/>
              <w:tr2bl w:val="nil"/>
            </w:tcBorders>
            <w:vAlign w:val="center"/>
          </w:tcPr>
          <w:p>
            <w:pPr>
              <w:pStyle w:val="22"/>
              <w:bidi w:val="0"/>
              <w:jc w:val="center"/>
              <w:rPr>
                <w:color w:val="auto"/>
              </w:rPr>
            </w:pPr>
            <w:r>
              <w:rPr>
                <w:color w:val="auto"/>
              </w:rPr>
              <w:t>排放浓度/（mg/L）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22"/>
              <w:bidi w:val="0"/>
              <w:jc w:val="center"/>
              <w:rPr>
                <w:color w:val="auto"/>
              </w:rPr>
            </w:pPr>
          </w:p>
        </w:tc>
        <w:tc>
          <w:tcPr>
            <w:tcW w:w="1523" w:type="dxa"/>
            <w:vMerge w:val="continue"/>
            <w:tcBorders>
              <w:tl2br w:val="nil"/>
              <w:tr2bl w:val="nil"/>
            </w:tcBorders>
            <w:vAlign w:val="center"/>
          </w:tcPr>
          <w:p>
            <w:pPr>
              <w:pStyle w:val="22"/>
              <w:bidi w:val="0"/>
              <w:jc w:val="center"/>
              <w:rPr>
                <w:color w:val="auto"/>
              </w:rPr>
            </w:pPr>
          </w:p>
        </w:tc>
        <w:tc>
          <w:tcPr>
            <w:tcW w:w="2257" w:type="dxa"/>
            <w:gridSpan w:val="4"/>
            <w:tcBorders>
              <w:tl2br w:val="nil"/>
              <w:tr2bl w:val="nil"/>
            </w:tcBorders>
            <w:vAlign w:val="center"/>
          </w:tcPr>
          <w:p>
            <w:pPr>
              <w:pStyle w:val="22"/>
              <w:bidi w:val="0"/>
              <w:jc w:val="center"/>
              <w:rPr>
                <w:color w:val="auto"/>
                <w:highlight w:val="none"/>
              </w:rPr>
            </w:pPr>
            <w:r>
              <w:rPr>
                <w:color w:val="auto"/>
                <w:highlight w:val="none"/>
              </w:rPr>
              <w:t>COD</w:t>
            </w:r>
          </w:p>
        </w:tc>
        <w:tc>
          <w:tcPr>
            <w:tcW w:w="2257" w:type="dxa"/>
            <w:gridSpan w:val="6"/>
            <w:tcBorders>
              <w:tl2br w:val="nil"/>
              <w:tr2bl w:val="nil"/>
            </w:tcBorders>
            <w:vAlign w:val="center"/>
          </w:tcPr>
          <w:p>
            <w:pPr>
              <w:pStyle w:val="22"/>
              <w:bidi w:val="0"/>
              <w:jc w:val="center"/>
              <w:rPr>
                <w:color w:val="auto"/>
                <w:highlight w:val="none"/>
              </w:rPr>
            </w:pPr>
            <w:r>
              <w:rPr>
                <w:color w:val="auto"/>
                <w:highlight w:val="none"/>
              </w:rPr>
              <w:t>0.0878</w:t>
            </w:r>
          </w:p>
        </w:tc>
        <w:tc>
          <w:tcPr>
            <w:tcW w:w="2262" w:type="dxa"/>
            <w:gridSpan w:val="3"/>
            <w:tcBorders>
              <w:tl2br w:val="nil"/>
              <w:tr2bl w:val="nil"/>
            </w:tcBorders>
            <w:vAlign w:val="center"/>
          </w:tcPr>
          <w:p>
            <w:pPr>
              <w:pStyle w:val="22"/>
              <w:bidi w:val="0"/>
              <w:jc w:val="center"/>
              <w:rPr>
                <w:color w:val="auto"/>
                <w:highlight w:val="none"/>
              </w:rPr>
            </w:pPr>
            <w:r>
              <w:rPr>
                <w:color w:val="auto"/>
                <w:highlight w:val="none"/>
              </w:rPr>
              <w:t>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22"/>
              <w:bidi w:val="0"/>
              <w:jc w:val="center"/>
              <w:rPr>
                <w:color w:val="auto"/>
              </w:rPr>
            </w:pPr>
          </w:p>
        </w:tc>
        <w:tc>
          <w:tcPr>
            <w:tcW w:w="1523" w:type="dxa"/>
            <w:vMerge w:val="continue"/>
            <w:tcBorders>
              <w:tl2br w:val="nil"/>
              <w:tr2bl w:val="nil"/>
            </w:tcBorders>
            <w:vAlign w:val="center"/>
          </w:tcPr>
          <w:p>
            <w:pPr>
              <w:pStyle w:val="22"/>
              <w:bidi w:val="0"/>
              <w:jc w:val="center"/>
              <w:rPr>
                <w:color w:val="auto"/>
              </w:rPr>
            </w:pPr>
          </w:p>
        </w:tc>
        <w:tc>
          <w:tcPr>
            <w:tcW w:w="2257" w:type="dxa"/>
            <w:gridSpan w:val="4"/>
            <w:tcBorders>
              <w:tl2br w:val="nil"/>
              <w:tr2bl w:val="nil"/>
            </w:tcBorders>
            <w:vAlign w:val="center"/>
          </w:tcPr>
          <w:p>
            <w:pPr>
              <w:pStyle w:val="22"/>
              <w:bidi w:val="0"/>
              <w:jc w:val="center"/>
              <w:rPr>
                <w:color w:val="auto"/>
                <w:highlight w:val="none"/>
              </w:rPr>
            </w:pPr>
            <w:r>
              <w:rPr>
                <w:color w:val="auto"/>
                <w:highlight w:val="none"/>
              </w:rPr>
              <w:t>NH</w:t>
            </w:r>
            <w:r>
              <w:rPr>
                <w:color w:val="auto"/>
                <w:highlight w:val="none"/>
                <w:vertAlign w:val="subscript"/>
              </w:rPr>
              <w:t>3</w:t>
            </w:r>
            <w:r>
              <w:rPr>
                <w:color w:val="auto"/>
                <w:highlight w:val="none"/>
              </w:rPr>
              <w:t>-N</w:t>
            </w:r>
          </w:p>
        </w:tc>
        <w:tc>
          <w:tcPr>
            <w:tcW w:w="2257" w:type="dxa"/>
            <w:gridSpan w:val="6"/>
            <w:tcBorders>
              <w:tl2br w:val="nil"/>
              <w:tr2bl w:val="nil"/>
            </w:tcBorders>
            <w:vAlign w:val="center"/>
          </w:tcPr>
          <w:p>
            <w:pPr>
              <w:pStyle w:val="22"/>
              <w:bidi w:val="0"/>
              <w:jc w:val="center"/>
              <w:rPr>
                <w:color w:val="auto"/>
                <w:highlight w:val="none"/>
              </w:rPr>
            </w:pPr>
            <w:r>
              <w:rPr>
                <w:color w:val="auto"/>
                <w:highlight w:val="none"/>
              </w:rPr>
              <w:t>0.012</w:t>
            </w:r>
          </w:p>
        </w:tc>
        <w:tc>
          <w:tcPr>
            <w:tcW w:w="2262" w:type="dxa"/>
            <w:gridSpan w:val="3"/>
            <w:tcBorders>
              <w:tl2br w:val="nil"/>
              <w:tr2bl w:val="nil"/>
            </w:tcBorders>
            <w:vAlign w:val="center"/>
          </w:tcPr>
          <w:p>
            <w:pPr>
              <w:pStyle w:val="22"/>
              <w:bidi w:val="0"/>
              <w:jc w:val="center"/>
              <w:rPr>
                <w:color w:val="auto"/>
                <w:highlight w:val="none"/>
              </w:rPr>
            </w:pPr>
            <w:r>
              <w:rPr>
                <w:color w:val="auto"/>
                <w:highlight w:val="none"/>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949" w:type="dxa"/>
            <w:vMerge w:val="continue"/>
            <w:tcBorders>
              <w:tl2br w:val="nil"/>
              <w:tr2bl w:val="nil"/>
            </w:tcBorders>
            <w:textDirection w:val="tbRlV"/>
            <w:vAlign w:val="center"/>
          </w:tcPr>
          <w:p>
            <w:pPr>
              <w:pStyle w:val="22"/>
              <w:bidi w:val="0"/>
              <w:jc w:val="center"/>
              <w:rPr>
                <w:color w:val="auto"/>
              </w:rPr>
            </w:pPr>
          </w:p>
        </w:tc>
        <w:tc>
          <w:tcPr>
            <w:tcW w:w="1523" w:type="dxa"/>
            <w:vMerge w:val="restart"/>
            <w:tcBorders>
              <w:tl2br w:val="nil"/>
              <w:tr2bl w:val="nil"/>
            </w:tcBorders>
            <w:vAlign w:val="center"/>
          </w:tcPr>
          <w:p>
            <w:pPr>
              <w:pStyle w:val="22"/>
              <w:bidi w:val="0"/>
              <w:jc w:val="center"/>
              <w:rPr>
                <w:color w:val="auto"/>
              </w:rPr>
            </w:pPr>
            <w:r>
              <w:rPr>
                <w:color w:val="auto"/>
              </w:rPr>
              <w:t>替代源排放情况</w:t>
            </w:r>
          </w:p>
        </w:tc>
        <w:tc>
          <w:tcPr>
            <w:tcW w:w="1354" w:type="dxa"/>
            <w:tcBorders>
              <w:tl2br w:val="nil"/>
              <w:tr2bl w:val="nil"/>
            </w:tcBorders>
            <w:vAlign w:val="center"/>
          </w:tcPr>
          <w:p>
            <w:pPr>
              <w:pStyle w:val="22"/>
              <w:bidi w:val="0"/>
              <w:jc w:val="center"/>
              <w:rPr>
                <w:color w:val="auto"/>
              </w:rPr>
            </w:pPr>
            <w:r>
              <w:rPr>
                <w:color w:val="auto"/>
              </w:rPr>
              <w:t>污染源名称</w:t>
            </w:r>
          </w:p>
        </w:tc>
        <w:tc>
          <w:tcPr>
            <w:tcW w:w="1355" w:type="dxa"/>
            <w:gridSpan w:val="4"/>
            <w:tcBorders>
              <w:tl2br w:val="nil"/>
              <w:tr2bl w:val="nil"/>
            </w:tcBorders>
            <w:vAlign w:val="center"/>
          </w:tcPr>
          <w:p>
            <w:pPr>
              <w:pStyle w:val="22"/>
              <w:bidi w:val="0"/>
              <w:jc w:val="center"/>
              <w:rPr>
                <w:color w:val="auto"/>
              </w:rPr>
            </w:pPr>
            <w:r>
              <w:rPr>
                <w:color w:val="auto"/>
              </w:rPr>
              <w:t>排污许可证编号</w:t>
            </w:r>
          </w:p>
        </w:tc>
        <w:tc>
          <w:tcPr>
            <w:tcW w:w="1354" w:type="dxa"/>
            <w:gridSpan w:val="2"/>
            <w:tcBorders>
              <w:tl2br w:val="nil"/>
              <w:tr2bl w:val="nil"/>
            </w:tcBorders>
            <w:vAlign w:val="center"/>
          </w:tcPr>
          <w:p>
            <w:pPr>
              <w:pStyle w:val="22"/>
              <w:bidi w:val="0"/>
              <w:jc w:val="center"/>
              <w:rPr>
                <w:color w:val="auto"/>
              </w:rPr>
            </w:pPr>
            <w:r>
              <w:rPr>
                <w:color w:val="auto"/>
              </w:rPr>
              <w:t>污染物名称</w:t>
            </w:r>
          </w:p>
        </w:tc>
        <w:tc>
          <w:tcPr>
            <w:tcW w:w="1354" w:type="dxa"/>
            <w:gridSpan w:val="5"/>
            <w:tcBorders>
              <w:tl2br w:val="nil"/>
              <w:tr2bl w:val="nil"/>
            </w:tcBorders>
            <w:vAlign w:val="center"/>
          </w:tcPr>
          <w:p>
            <w:pPr>
              <w:pStyle w:val="22"/>
              <w:bidi w:val="0"/>
              <w:jc w:val="center"/>
              <w:rPr>
                <w:color w:val="auto"/>
              </w:rPr>
            </w:pPr>
            <w:r>
              <w:rPr>
                <w:color w:val="auto"/>
              </w:rPr>
              <w:t>排放量/（t/a）</w:t>
            </w:r>
          </w:p>
        </w:tc>
        <w:tc>
          <w:tcPr>
            <w:tcW w:w="1359" w:type="dxa"/>
            <w:tcBorders>
              <w:tl2br w:val="nil"/>
              <w:tr2bl w:val="nil"/>
            </w:tcBorders>
            <w:vAlign w:val="center"/>
          </w:tcPr>
          <w:p>
            <w:pPr>
              <w:pStyle w:val="22"/>
              <w:bidi w:val="0"/>
              <w:jc w:val="center"/>
              <w:rPr>
                <w:color w:val="auto"/>
              </w:rPr>
            </w:pPr>
            <w:r>
              <w:rPr>
                <w:color w:val="auto"/>
              </w:rPr>
              <w:t>排放浓度/</w:t>
            </w:r>
          </w:p>
          <w:p>
            <w:pPr>
              <w:pStyle w:val="22"/>
              <w:bidi w:val="0"/>
              <w:jc w:val="center"/>
              <w:rPr>
                <w:color w:val="auto"/>
              </w:rPr>
            </w:pPr>
            <w:r>
              <w:rPr>
                <w:color w:val="auto"/>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22"/>
              <w:bidi w:val="0"/>
              <w:jc w:val="center"/>
              <w:rPr>
                <w:color w:val="auto"/>
              </w:rPr>
            </w:pPr>
          </w:p>
        </w:tc>
        <w:tc>
          <w:tcPr>
            <w:tcW w:w="1523" w:type="dxa"/>
            <w:vMerge w:val="continue"/>
            <w:tcBorders>
              <w:tl2br w:val="nil"/>
              <w:tr2bl w:val="nil"/>
            </w:tcBorders>
            <w:vAlign w:val="center"/>
          </w:tcPr>
          <w:p>
            <w:pPr>
              <w:pStyle w:val="22"/>
              <w:bidi w:val="0"/>
              <w:jc w:val="center"/>
              <w:rPr>
                <w:color w:val="auto"/>
              </w:rPr>
            </w:pPr>
          </w:p>
        </w:tc>
        <w:tc>
          <w:tcPr>
            <w:tcW w:w="1354" w:type="dxa"/>
            <w:tcBorders>
              <w:tl2br w:val="nil"/>
              <w:tr2bl w:val="nil"/>
            </w:tcBorders>
            <w:vAlign w:val="center"/>
          </w:tcPr>
          <w:p>
            <w:pPr>
              <w:pStyle w:val="22"/>
              <w:bidi w:val="0"/>
              <w:jc w:val="center"/>
              <w:rPr>
                <w:color w:val="auto"/>
              </w:rPr>
            </w:pPr>
            <w:r>
              <w:rPr>
                <w:color w:val="auto"/>
              </w:rPr>
              <w:t>（/）</w:t>
            </w:r>
          </w:p>
        </w:tc>
        <w:tc>
          <w:tcPr>
            <w:tcW w:w="1355" w:type="dxa"/>
            <w:gridSpan w:val="4"/>
            <w:tcBorders>
              <w:tl2br w:val="nil"/>
              <w:tr2bl w:val="nil"/>
            </w:tcBorders>
            <w:vAlign w:val="center"/>
          </w:tcPr>
          <w:p>
            <w:pPr>
              <w:pStyle w:val="22"/>
              <w:bidi w:val="0"/>
              <w:jc w:val="center"/>
              <w:rPr>
                <w:color w:val="auto"/>
              </w:rPr>
            </w:pPr>
            <w:r>
              <w:rPr>
                <w:color w:val="auto"/>
              </w:rPr>
              <w:t>（/）</w:t>
            </w:r>
          </w:p>
        </w:tc>
        <w:tc>
          <w:tcPr>
            <w:tcW w:w="1354" w:type="dxa"/>
            <w:gridSpan w:val="2"/>
            <w:tcBorders>
              <w:tl2br w:val="nil"/>
              <w:tr2bl w:val="nil"/>
            </w:tcBorders>
            <w:vAlign w:val="center"/>
          </w:tcPr>
          <w:p>
            <w:pPr>
              <w:pStyle w:val="22"/>
              <w:bidi w:val="0"/>
              <w:jc w:val="center"/>
              <w:rPr>
                <w:color w:val="auto"/>
              </w:rPr>
            </w:pPr>
            <w:r>
              <w:rPr>
                <w:color w:val="auto"/>
              </w:rPr>
              <w:t>（/）</w:t>
            </w:r>
          </w:p>
        </w:tc>
        <w:tc>
          <w:tcPr>
            <w:tcW w:w="1354" w:type="dxa"/>
            <w:gridSpan w:val="5"/>
            <w:tcBorders>
              <w:tl2br w:val="nil"/>
              <w:tr2bl w:val="nil"/>
            </w:tcBorders>
            <w:vAlign w:val="center"/>
          </w:tcPr>
          <w:p>
            <w:pPr>
              <w:pStyle w:val="22"/>
              <w:bidi w:val="0"/>
              <w:jc w:val="center"/>
              <w:rPr>
                <w:color w:val="auto"/>
              </w:rPr>
            </w:pPr>
            <w:r>
              <w:rPr>
                <w:color w:val="auto"/>
              </w:rPr>
              <w:t>（/）</w:t>
            </w:r>
          </w:p>
        </w:tc>
        <w:tc>
          <w:tcPr>
            <w:tcW w:w="1359" w:type="dxa"/>
            <w:tcBorders>
              <w:tl2br w:val="nil"/>
              <w:tr2bl w:val="nil"/>
            </w:tcBorders>
            <w:vAlign w:val="center"/>
          </w:tcPr>
          <w:p>
            <w:pPr>
              <w:pStyle w:val="22"/>
              <w:bidi w:val="0"/>
              <w:jc w:val="center"/>
              <w:rPr>
                <w:color w:val="auto"/>
              </w:rPr>
            </w:pPr>
            <w:r>
              <w:rPr>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949" w:type="dxa"/>
            <w:vMerge w:val="continue"/>
            <w:tcBorders>
              <w:tl2br w:val="nil"/>
              <w:tr2bl w:val="nil"/>
            </w:tcBorders>
            <w:textDirection w:val="tbRlV"/>
            <w:vAlign w:val="center"/>
          </w:tcPr>
          <w:p>
            <w:pPr>
              <w:pStyle w:val="22"/>
              <w:bidi w:val="0"/>
              <w:jc w:val="center"/>
              <w:rPr>
                <w:color w:val="auto"/>
              </w:rPr>
            </w:pPr>
          </w:p>
        </w:tc>
        <w:tc>
          <w:tcPr>
            <w:tcW w:w="1523" w:type="dxa"/>
            <w:tcBorders>
              <w:tl2br w:val="nil"/>
              <w:tr2bl w:val="nil"/>
            </w:tcBorders>
            <w:vAlign w:val="center"/>
          </w:tcPr>
          <w:p>
            <w:pPr>
              <w:pStyle w:val="22"/>
              <w:bidi w:val="0"/>
              <w:jc w:val="center"/>
              <w:rPr>
                <w:color w:val="auto"/>
              </w:rPr>
            </w:pPr>
            <w:r>
              <w:rPr>
                <w:color w:val="auto"/>
              </w:rPr>
              <w:t>生态流量确定</w:t>
            </w:r>
          </w:p>
        </w:tc>
        <w:tc>
          <w:tcPr>
            <w:tcW w:w="6776" w:type="dxa"/>
            <w:gridSpan w:val="13"/>
            <w:tcBorders>
              <w:tl2br w:val="nil"/>
              <w:tr2bl w:val="nil"/>
            </w:tcBorders>
            <w:vAlign w:val="center"/>
          </w:tcPr>
          <w:p>
            <w:pPr>
              <w:pStyle w:val="22"/>
              <w:bidi w:val="0"/>
              <w:jc w:val="center"/>
              <w:rPr>
                <w:color w:val="auto"/>
              </w:rPr>
            </w:pPr>
            <w:r>
              <w:rPr>
                <w:color w:val="auto"/>
              </w:rPr>
              <w:t>生态流量：一般水期（）m3/s；鱼类繁殖期（）m3/s；其他（）m3/s生态水位：一般水期（）m；鱼类繁殖期（）m；其他（）m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949" w:type="dxa"/>
            <w:vMerge w:val="restart"/>
            <w:tcBorders>
              <w:tl2br w:val="nil"/>
              <w:tr2bl w:val="nil"/>
            </w:tcBorders>
            <w:textDirection w:val="tbRlV"/>
            <w:vAlign w:val="center"/>
          </w:tcPr>
          <w:p>
            <w:pPr>
              <w:pStyle w:val="22"/>
              <w:bidi w:val="0"/>
              <w:jc w:val="center"/>
              <w:rPr>
                <w:color w:val="auto"/>
              </w:rPr>
            </w:pPr>
            <w:r>
              <w:rPr>
                <w:color w:val="auto"/>
              </w:rPr>
              <w:t>防治措施</w:t>
            </w:r>
          </w:p>
        </w:tc>
        <w:tc>
          <w:tcPr>
            <w:tcW w:w="1523" w:type="dxa"/>
            <w:tcBorders>
              <w:tl2br w:val="nil"/>
              <w:tr2bl w:val="nil"/>
            </w:tcBorders>
            <w:vAlign w:val="center"/>
          </w:tcPr>
          <w:p>
            <w:pPr>
              <w:pStyle w:val="22"/>
              <w:bidi w:val="0"/>
              <w:jc w:val="center"/>
              <w:rPr>
                <w:color w:val="auto"/>
              </w:rPr>
            </w:pPr>
            <w:r>
              <w:rPr>
                <w:color w:val="auto"/>
              </w:rPr>
              <w:t>环保措施</w:t>
            </w:r>
          </w:p>
        </w:tc>
        <w:tc>
          <w:tcPr>
            <w:tcW w:w="6776" w:type="dxa"/>
            <w:gridSpan w:val="13"/>
            <w:tcBorders>
              <w:tl2br w:val="nil"/>
              <w:tr2bl w:val="nil"/>
            </w:tcBorders>
            <w:vAlign w:val="center"/>
          </w:tcPr>
          <w:p>
            <w:pPr>
              <w:pStyle w:val="22"/>
              <w:bidi w:val="0"/>
              <w:jc w:val="center"/>
              <w:rPr>
                <w:color w:val="auto"/>
              </w:rPr>
            </w:pPr>
            <w:r>
              <w:rPr>
                <w:color w:val="auto"/>
              </w:rPr>
              <w:t>污水处理设施□；水文减缓设施□；生态流量保障设施□；区域削减□；依托其他工程措施□；其他□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22"/>
              <w:bidi w:val="0"/>
              <w:jc w:val="center"/>
              <w:rPr>
                <w:color w:val="auto"/>
              </w:rPr>
            </w:pPr>
          </w:p>
        </w:tc>
        <w:tc>
          <w:tcPr>
            <w:tcW w:w="1523" w:type="dxa"/>
            <w:vMerge w:val="restart"/>
            <w:tcBorders>
              <w:tl2br w:val="nil"/>
              <w:tr2bl w:val="nil"/>
            </w:tcBorders>
            <w:vAlign w:val="center"/>
          </w:tcPr>
          <w:p>
            <w:pPr>
              <w:pStyle w:val="22"/>
              <w:bidi w:val="0"/>
              <w:jc w:val="center"/>
              <w:rPr>
                <w:color w:val="auto"/>
              </w:rPr>
            </w:pPr>
            <w:r>
              <w:rPr>
                <w:color w:val="auto"/>
              </w:rPr>
              <w:t>监测计划</w:t>
            </w:r>
          </w:p>
        </w:tc>
        <w:tc>
          <w:tcPr>
            <w:tcW w:w="1749" w:type="dxa"/>
            <w:gridSpan w:val="3"/>
            <w:tcBorders>
              <w:tl2br w:val="nil"/>
              <w:tr2bl w:val="nil"/>
            </w:tcBorders>
            <w:vAlign w:val="center"/>
          </w:tcPr>
          <w:p>
            <w:pPr>
              <w:pStyle w:val="22"/>
              <w:bidi w:val="0"/>
              <w:jc w:val="center"/>
              <w:rPr>
                <w:color w:val="auto"/>
              </w:rPr>
            </w:pPr>
          </w:p>
        </w:tc>
        <w:tc>
          <w:tcPr>
            <w:tcW w:w="2511" w:type="dxa"/>
            <w:gridSpan w:val="5"/>
            <w:tcBorders>
              <w:tl2br w:val="nil"/>
              <w:tr2bl w:val="nil"/>
            </w:tcBorders>
            <w:vAlign w:val="center"/>
          </w:tcPr>
          <w:p>
            <w:pPr>
              <w:pStyle w:val="22"/>
              <w:bidi w:val="0"/>
              <w:jc w:val="center"/>
              <w:rPr>
                <w:color w:val="auto"/>
              </w:rPr>
            </w:pPr>
            <w:r>
              <w:rPr>
                <w:color w:val="auto"/>
              </w:rPr>
              <w:t>环境质量</w:t>
            </w:r>
          </w:p>
        </w:tc>
        <w:tc>
          <w:tcPr>
            <w:tcW w:w="2516" w:type="dxa"/>
            <w:gridSpan w:val="5"/>
            <w:tcBorders>
              <w:tl2br w:val="nil"/>
              <w:tr2bl w:val="nil"/>
            </w:tcBorders>
            <w:vAlign w:val="center"/>
          </w:tcPr>
          <w:p>
            <w:pPr>
              <w:pStyle w:val="22"/>
              <w:bidi w:val="0"/>
              <w:jc w:val="center"/>
              <w:rPr>
                <w:color w:val="auto"/>
              </w:rPr>
            </w:pPr>
            <w:r>
              <w:rPr>
                <w:color w:val="auto"/>
              </w:rPr>
              <w:t>污染源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22"/>
              <w:bidi w:val="0"/>
              <w:jc w:val="center"/>
              <w:rPr>
                <w:color w:val="auto"/>
              </w:rPr>
            </w:pPr>
          </w:p>
        </w:tc>
        <w:tc>
          <w:tcPr>
            <w:tcW w:w="1523" w:type="dxa"/>
            <w:vMerge w:val="continue"/>
            <w:tcBorders>
              <w:tl2br w:val="nil"/>
              <w:tr2bl w:val="nil"/>
            </w:tcBorders>
            <w:vAlign w:val="center"/>
          </w:tcPr>
          <w:p>
            <w:pPr>
              <w:pStyle w:val="22"/>
              <w:bidi w:val="0"/>
              <w:jc w:val="center"/>
              <w:rPr>
                <w:color w:val="auto"/>
              </w:rPr>
            </w:pPr>
          </w:p>
        </w:tc>
        <w:tc>
          <w:tcPr>
            <w:tcW w:w="1749" w:type="dxa"/>
            <w:gridSpan w:val="3"/>
            <w:tcBorders>
              <w:tl2br w:val="nil"/>
              <w:tr2bl w:val="nil"/>
            </w:tcBorders>
            <w:vAlign w:val="center"/>
          </w:tcPr>
          <w:p>
            <w:pPr>
              <w:pStyle w:val="22"/>
              <w:bidi w:val="0"/>
              <w:jc w:val="center"/>
              <w:rPr>
                <w:color w:val="auto"/>
              </w:rPr>
            </w:pPr>
            <w:r>
              <w:rPr>
                <w:color w:val="auto"/>
              </w:rPr>
              <w:t>监测方式</w:t>
            </w:r>
          </w:p>
        </w:tc>
        <w:tc>
          <w:tcPr>
            <w:tcW w:w="2511" w:type="dxa"/>
            <w:gridSpan w:val="5"/>
            <w:tcBorders>
              <w:tl2br w:val="nil"/>
              <w:tr2bl w:val="nil"/>
            </w:tcBorders>
            <w:vAlign w:val="center"/>
          </w:tcPr>
          <w:p>
            <w:pPr>
              <w:pStyle w:val="22"/>
              <w:bidi w:val="0"/>
              <w:jc w:val="center"/>
              <w:rPr>
                <w:color w:val="auto"/>
              </w:rPr>
            </w:pPr>
            <w:r>
              <w:rPr>
                <w:color w:val="auto"/>
              </w:rPr>
              <w:t>手动</w:t>
            </w:r>
            <w:r>
              <w:rPr>
                <w:rFonts w:hint="eastAsia"/>
                <w:color w:val="auto"/>
                <w:lang w:eastAsia="zh-CN"/>
              </w:rPr>
              <w:t>□</w:t>
            </w:r>
            <w:r>
              <w:rPr>
                <w:color w:val="auto"/>
              </w:rPr>
              <w:t>；自动</w:t>
            </w:r>
            <w:r>
              <w:rPr>
                <w:rFonts w:hint="eastAsia"/>
                <w:color w:val="auto"/>
                <w:lang w:eastAsia="zh-CN"/>
              </w:rPr>
              <w:t>□</w:t>
            </w:r>
            <w:r>
              <w:rPr>
                <w:color w:val="auto"/>
              </w:rPr>
              <w:t>；无监测</w:t>
            </w:r>
            <w:r>
              <w:rPr>
                <w:color w:val="auto"/>
              </w:rPr>
              <w:drawing>
                <wp:inline distT="0" distB="0" distL="0" distR="0">
                  <wp:extent cx="81280" cy="126365"/>
                  <wp:effectExtent l="0" t="0" r="13970" b="5715"/>
                  <wp:docPr id="158" name="IM 158"/>
                  <wp:cNvGraphicFramePr/>
                  <a:graphic xmlns:a="http://schemas.openxmlformats.org/drawingml/2006/main">
                    <a:graphicData uri="http://schemas.openxmlformats.org/drawingml/2006/picture">
                      <pic:pic xmlns:pic="http://schemas.openxmlformats.org/drawingml/2006/picture">
                        <pic:nvPicPr>
                          <pic:cNvPr id="158" name="IM 158"/>
                          <pic:cNvPicPr/>
                        </pic:nvPicPr>
                        <pic:blipFill>
                          <a:blip r:embed="rId17"/>
                          <a:stretch>
                            <a:fillRect/>
                          </a:stretch>
                        </pic:blipFill>
                        <pic:spPr>
                          <a:xfrm>
                            <a:off x="0" y="0"/>
                            <a:ext cx="81381" cy="126644"/>
                          </a:xfrm>
                          <a:prstGeom prst="rect">
                            <a:avLst/>
                          </a:prstGeom>
                        </pic:spPr>
                      </pic:pic>
                    </a:graphicData>
                  </a:graphic>
                </wp:inline>
              </w:drawing>
            </w:r>
          </w:p>
        </w:tc>
        <w:tc>
          <w:tcPr>
            <w:tcW w:w="2516" w:type="dxa"/>
            <w:gridSpan w:val="5"/>
            <w:tcBorders>
              <w:tl2br w:val="nil"/>
              <w:tr2bl w:val="nil"/>
            </w:tcBorders>
            <w:vAlign w:val="center"/>
          </w:tcPr>
          <w:p>
            <w:pPr>
              <w:pStyle w:val="22"/>
              <w:bidi w:val="0"/>
              <w:jc w:val="center"/>
              <w:rPr>
                <w:rFonts w:hint="eastAsia" w:eastAsia="宋体"/>
                <w:color w:val="auto"/>
                <w:lang w:eastAsia="zh-CN"/>
              </w:rPr>
            </w:pPr>
            <w:r>
              <w:rPr>
                <w:color w:val="auto"/>
              </w:rPr>
              <w:t>手动</w:t>
            </w:r>
            <w:r>
              <w:rPr>
                <w:color w:val="auto"/>
              </w:rPr>
              <w:drawing>
                <wp:inline distT="0" distB="0" distL="0" distR="0">
                  <wp:extent cx="81280" cy="126365"/>
                  <wp:effectExtent l="0" t="0" r="13970" b="5715"/>
                  <wp:docPr id="159" name="IM 159"/>
                  <wp:cNvGraphicFramePr/>
                  <a:graphic xmlns:a="http://schemas.openxmlformats.org/drawingml/2006/main">
                    <a:graphicData uri="http://schemas.openxmlformats.org/drawingml/2006/picture">
                      <pic:pic xmlns:pic="http://schemas.openxmlformats.org/drawingml/2006/picture">
                        <pic:nvPicPr>
                          <pic:cNvPr id="159" name="IM 159"/>
                          <pic:cNvPicPr/>
                        </pic:nvPicPr>
                        <pic:blipFill>
                          <a:blip r:embed="rId17"/>
                          <a:stretch>
                            <a:fillRect/>
                          </a:stretch>
                        </pic:blipFill>
                        <pic:spPr>
                          <a:xfrm>
                            <a:off x="0" y="0"/>
                            <a:ext cx="81381" cy="126644"/>
                          </a:xfrm>
                          <a:prstGeom prst="rect">
                            <a:avLst/>
                          </a:prstGeom>
                        </pic:spPr>
                      </pic:pic>
                    </a:graphicData>
                  </a:graphic>
                </wp:inline>
              </w:drawing>
            </w:r>
            <w:r>
              <w:rPr>
                <w:color w:val="auto"/>
              </w:rPr>
              <w:t>；自动</w:t>
            </w:r>
            <w:r>
              <w:rPr>
                <w:rFonts w:hint="eastAsia"/>
                <w:color w:val="auto"/>
                <w:lang w:eastAsia="zh-CN"/>
              </w:rPr>
              <w:t>□</w:t>
            </w:r>
            <w:r>
              <w:rPr>
                <w:color w:val="auto"/>
              </w:rPr>
              <w:t>；无监测</w:t>
            </w:r>
            <w:r>
              <w:rPr>
                <w:rFonts w:hint="eastAsia"/>
                <w:color w:val="auto"/>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22"/>
              <w:bidi w:val="0"/>
              <w:jc w:val="center"/>
              <w:rPr>
                <w:color w:val="auto"/>
              </w:rPr>
            </w:pPr>
          </w:p>
        </w:tc>
        <w:tc>
          <w:tcPr>
            <w:tcW w:w="1523" w:type="dxa"/>
            <w:vMerge w:val="continue"/>
            <w:tcBorders>
              <w:tl2br w:val="nil"/>
              <w:tr2bl w:val="nil"/>
            </w:tcBorders>
            <w:vAlign w:val="center"/>
          </w:tcPr>
          <w:p>
            <w:pPr>
              <w:pStyle w:val="22"/>
              <w:bidi w:val="0"/>
              <w:jc w:val="center"/>
              <w:rPr>
                <w:color w:val="auto"/>
              </w:rPr>
            </w:pPr>
          </w:p>
        </w:tc>
        <w:tc>
          <w:tcPr>
            <w:tcW w:w="1749" w:type="dxa"/>
            <w:gridSpan w:val="3"/>
            <w:tcBorders>
              <w:tl2br w:val="nil"/>
              <w:tr2bl w:val="nil"/>
            </w:tcBorders>
            <w:vAlign w:val="center"/>
          </w:tcPr>
          <w:p>
            <w:pPr>
              <w:pStyle w:val="22"/>
              <w:bidi w:val="0"/>
              <w:jc w:val="center"/>
              <w:rPr>
                <w:color w:val="auto"/>
              </w:rPr>
            </w:pPr>
            <w:r>
              <w:rPr>
                <w:color w:val="auto"/>
              </w:rPr>
              <w:t>监测点位</w:t>
            </w:r>
          </w:p>
        </w:tc>
        <w:tc>
          <w:tcPr>
            <w:tcW w:w="2511" w:type="dxa"/>
            <w:gridSpan w:val="5"/>
            <w:tcBorders>
              <w:tl2br w:val="nil"/>
              <w:tr2bl w:val="nil"/>
            </w:tcBorders>
            <w:vAlign w:val="center"/>
          </w:tcPr>
          <w:p>
            <w:pPr>
              <w:pStyle w:val="22"/>
              <w:bidi w:val="0"/>
              <w:jc w:val="center"/>
              <w:rPr>
                <w:color w:val="auto"/>
              </w:rPr>
            </w:pPr>
            <w:r>
              <w:rPr>
                <w:color w:val="auto"/>
              </w:rPr>
              <w:t>（/）</w:t>
            </w:r>
          </w:p>
        </w:tc>
        <w:tc>
          <w:tcPr>
            <w:tcW w:w="2516" w:type="dxa"/>
            <w:gridSpan w:val="5"/>
            <w:tcBorders>
              <w:tl2br w:val="nil"/>
              <w:tr2bl w:val="nil"/>
            </w:tcBorders>
            <w:vAlign w:val="center"/>
          </w:tcPr>
          <w:p>
            <w:pPr>
              <w:pStyle w:val="22"/>
              <w:bidi w:val="0"/>
              <w:jc w:val="center"/>
              <w:rPr>
                <w:color w:val="auto"/>
              </w:rPr>
            </w:pPr>
            <w:r>
              <w:rPr>
                <w:color w:val="auto"/>
              </w:rPr>
              <w:t>（厂区总排口）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jc w:val="center"/>
        </w:trPr>
        <w:tc>
          <w:tcPr>
            <w:tcW w:w="949" w:type="dxa"/>
            <w:vMerge w:val="continue"/>
            <w:tcBorders>
              <w:tl2br w:val="nil"/>
              <w:tr2bl w:val="nil"/>
            </w:tcBorders>
            <w:textDirection w:val="tbRlV"/>
            <w:vAlign w:val="center"/>
          </w:tcPr>
          <w:p>
            <w:pPr>
              <w:pStyle w:val="22"/>
              <w:bidi w:val="0"/>
              <w:jc w:val="center"/>
              <w:rPr>
                <w:color w:val="auto"/>
              </w:rPr>
            </w:pPr>
          </w:p>
        </w:tc>
        <w:tc>
          <w:tcPr>
            <w:tcW w:w="1523" w:type="dxa"/>
            <w:vMerge w:val="continue"/>
            <w:tcBorders>
              <w:tl2br w:val="nil"/>
              <w:tr2bl w:val="nil"/>
            </w:tcBorders>
            <w:vAlign w:val="center"/>
          </w:tcPr>
          <w:p>
            <w:pPr>
              <w:pStyle w:val="22"/>
              <w:bidi w:val="0"/>
              <w:jc w:val="center"/>
              <w:rPr>
                <w:color w:val="auto"/>
              </w:rPr>
            </w:pPr>
          </w:p>
        </w:tc>
        <w:tc>
          <w:tcPr>
            <w:tcW w:w="1749" w:type="dxa"/>
            <w:gridSpan w:val="3"/>
            <w:tcBorders>
              <w:tl2br w:val="nil"/>
              <w:tr2bl w:val="nil"/>
            </w:tcBorders>
            <w:vAlign w:val="center"/>
          </w:tcPr>
          <w:p>
            <w:pPr>
              <w:pStyle w:val="22"/>
              <w:bidi w:val="0"/>
              <w:jc w:val="center"/>
              <w:rPr>
                <w:color w:val="auto"/>
              </w:rPr>
            </w:pPr>
            <w:r>
              <w:rPr>
                <w:color w:val="auto"/>
              </w:rPr>
              <w:t>监测因子</w:t>
            </w:r>
          </w:p>
        </w:tc>
        <w:tc>
          <w:tcPr>
            <w:tcW w:w="2511" w:type="dxa"/>
            <w:gridSpan w:val="5"/>
            <w:tcBorders>
              <w:tl2br w:val="nil"/>
              <w:tr2bl w:val="nil"/>
            </w:tcBorders>
            <w:vAlign w:val="center"/>
          </w:tcPr>
          <w:p>
            <w:pPr>
              <w:pStyle w:val="22"/>
              <w:bidi w:val="0"/>
              <w:jc w:val="center"/>
              <w:rPr>
                <w:color w:val="auto"/>
              </w:rPr>
            </w:pPr>
            <w:r>
              <w:rPr>
                <w:color w:val="auto"/>
              </w:rPr>
              <w:t>（/）</w:t>
            </w:r>
          </w:p>
        </w:tc>
        <w:tc>
          <w:tcPr>
            <w:tcW w:w="2516" w:type="dxa"/>
            <w:gridSpan w:val="5"/>
            <w:tcBorders>
              <w:tl2br w:val="nil"/>
              <w:tr2bl w:val="nil"/>
            </w:tcBorders>
            <w:vAlign w:val="center"/>
          </w:tcPr>
          <w:p>
            <w:pPr>
              <w:pStyle w:val="22"/>
              <w:bidi w:val="0"/>
              <w:jc w:val="center"/>
              <w:rPr>
                <w:color w:val="auto"/>
              </w:rPr>
            </w:pPr>
            <w:r>
              <w:rPr>
                <w:color w:val="auto"/>
              </w:rPr>
              <w:t>（COD、BOD</w:t>
            </w:r>
            <w:r>
              <w:rPr>
                <w:color w:val="auto"/>
                <w:vertAlign w:val="subscript"/>
              </w:rPr>
              <w:t>5</w:t>
            </w:r>
            <w:r>
              <w:rPr>
                <w:color w:val="auto"/>
              </w:rPr>
              <w:t>、SS、氨氮、粪大肠菌群）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949" w:type="dxa"/>
            <w:vMerge w:val="continue"/>
            <w:tcBorders>
              <w:tl2br w:val="nil"/>
              <w:tr2bl w:val="nil"/>
            </w:tcBorders>
            <w:textDirection w:val="tbRlV"/>
            <w:vAlign w:val="center"/>
          </w:tcPr>
          <w:p>
            <w:pPr>
              <w:pStyle w:val="22"/>
              <w:bidi w:val="0"/>
              <w:jc w:val="center"/>
              <w:rPr>
                <w:color w:val="auto"/>
              </w:rPr>
            </w:pPr>
          </w:p>
        </w:tc>
        <w:tc>
          <w:tcPr>
            <w:tcW w:w="1523" w:type="dxa"/>
            <w:tcBorders>
              <w:tl2br w:val="nil"/>
              <w:tr2bl w:val="nil"/>
            </w:tcBorders>
            <w:vAlign w:val="center"/>
          </w:tcPr>
          <w:p>
            <w:pPr>
              <w:pStyle w:val="22"/>
              <w:bidi w:val="0"/>
              <w:jc w:val="center"/>
              <w:rPr>
                <w:color w:val="auto"/>
              </w:rPr>
            </w:pPr>
            <w:r>
              <w:rPr>
                <w:color w:val="auto"/>
              </w:rPr>
              <w:t>污染物排放清单</w:t>
            </w:r>
          </w:p>
        </w:tc>
        <w:tc>
          <w:tcPr>
            <w:tcW w:w="6776" w:type="dxa"/>
            <w:gridSpan w:val="13"/>
            <w:tcBorders>
              <w:tl2br w:val="nil"/>
              <w:tr2bl w:val="nil"/>
            </w:tcBorders>
            <w:vAlign w:val="center"/>
          </w:tcPr>
          <w:p>
            <w:pPr>
              <w:pStyle w:val="22"/>
              <w:bidi w:val="0"/>
              <w:jc w:val="center"/>
              <w:rPr>
                <w:color w:val="auto"/>
              </w:rPr>
            </w:pPr>
            <w:r>
              <w:rPr>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jc w:val="center"/>
        </w:trPr>
        <w:tc>
          <w:tcPr>
            <w:tcW w:w="2472" w:type="dxa"/>
            <w:gridSpan w:val="2"/>
            <w:tcBorders>
              <w:tl2br w:val="nil"/>
              <w:tr2bl w:val="nil"/>
            </w:tcBorders>
            <w:vAlign w:val="center"/>
          </w:tcPr>
          <w:p>
            <w:pPr>
              <w:pStyle w:val="22"/>
              <w:bidi w:val="0"/>
              <w:jc w:val="center"/>
              <w:rPr>
                <w:color w:val="auto"/>
              </w:rPr>
            </w:pPr>
            <w:r>
              <w:rPr>
                <w:color w:val="auto"/>
              </w:rPr>
              <w:t>评价结论</w:t>
            </w:r>
          </w:p>
        </w:tc>
        <w:tc>
          <w:tcPr>
            <w:tcW w:w="6776" w:type="dxa"/>
            <w:gridSpan w:val="13"/>
            <w:tcBorders>
              <w:tl2br w:val="nil"/>
              <w:tr2bl w:val="nil"/>
            </w:tcBorders>
            <w:vAlign w:val="center"/>
          </w:tcPr>
          <w:p>
            <w:pPr>
              <w:pStyle w:val="22"/>
              <w:bidi w:val="0"/>
              <w:jc w:val="center"/>
              <w:rPr>
                <w:color w:val="auto"/>
              </w:rPr>
            </w:pPr>
            <w:r>
              <w:rPr>
                <w:color w:val="auto"/>
              </w:rPr>
              <w:t>可以接受</w:t>
            </w:r>
            <w:r>
              <w:rPr>
                <w:color w:val="auto"/>
              </w:rPr>
              <w:drawing>
                <wp:inline distT="0" distB="0" distL="0" distR="0">
                  <wp:extent cx="81280" cy="126365"/>
                  <wp:effectExtent l="0" t="0" r="13970" b="5715"/>
                  <wp:docPr id="161" name="IM 161"/>
                  <wp:cNvGraphicFramePr/>
                  <a:graphic xmlns:a="http://schemas.openxmlformats.org/drawingml/2006/main">
                    <a:graphicData uri="http://schemas.openxmlformats.org/drawingml/2006/picture">
                      <pic:pic xmlns:pic="http://schemas.openxmlformats.org/drawingml/2006/picture">
                        <pic:nvPicPr>
                          <pic:cNvPr id="161" name="IM 161"/>
                          <pic:cNvPicPr/>
                        </pic:nvPicPr>
                        <pic:blipFill>
                          <a:blip r:embed="rId16"/>
                          <a:stretch>
                            <a:fillRect/>
                          </a:stretch>
                        </pic:blipFill>
                        <pic:spPr>
                          <a:xfrm>
                            <a:off x="0" y="0"/>
                            <a:ext cx="81381" cy="126644"/>
                          </a:xfrm>
                          <a:prstGeom prst="rect">
                            <a:avLst/>
                          </a:prstGeom>
                        </pic:spPr>
                      </pic:pic>
                    </a:graphicData>
                  </a:graphic>
                </wp:inline>
              </w:drawing>
            </w:r>
            <w:r>
              <w:rPr>
                <w:color w:val="auto"/>
              </w:rPr>
              <w:t>；不可以接受□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jc w:val="center"/>
        </w:trPr>
        <w:tc>
          <w:tcPr>
            <w:tcW w:w="9248" w:type="dxa"/>
            <w:gridSpan w:val="15"/>
            <w:tcBorders>
              <w:tl2br w:val="nil"/>
              <w:tr2bl w:val="nil"/>
            </w:tcBorders>
            <w:vAlign w:val="center"/>
          </w:tcPr>
          <w:p>
            <w:pPr>
              <w:pStyle w:val="22"/>
              <w:bidi w:val="0"/>
              <w:jc w:val="center"/>
              <w:rPr>
                <w:color w:val="auto"/>
              </w:rPr>
            </w:pPr>
            <w:r>
              <w:rPr>
                <w:color w:val="auto"/>
              </w:rPr>
              <w:t>注：“□”为勾选项，可√；“（）”为内容填写项；“备注”为其他补充内容。</w:t>
            </w:r>
          </w:p>
        </w:tc>
      </w:tr>
    </w:tbl>
    <w:p>
      <w:pPr>
        <w:pStyle w:val="6"/>
        <w:bidi w:val="0"/>
        <w:rPr>
          <w:color w:val="auto"/>
        </w:rPr>
      </w:pPr>
      <w:bookmarkStart w:id="104" w:name="_Toc26928"/>
      <w:r>
        <w:rPr>
          <w:color w:val="auto"/>
        </w:rPr>
        <w:t>5.2</w:t>
      </w:r>
      <w:r>
        <w:rPr>
          <w:rFonts w:hint="eastAsia"/>
          <w:color w:val="auto"/>
          <w:lang w:val="en-US" w:eastAsia="zh-CN"/>
        </w:rPr>
        <w:t>.3</w:t>
      </w:r>
      <w:r>
        <w:rPr>
          <w:color w:val="auto"/>
        </w:rPr>
        <w:t>地下水环境影响分析</w:t>
      </w:r>
      <w:bookmarkEnd w:id="104"/>
    </w:p>
    <w:p>
      <w:pPr>
        <w:bidi w:val="0"/>
        <w:rPr>
          <w:color w:val="auto"/>
        </w:rPr>
      </w:pPr>
      <w:r>
        <w:rPr>
          <w:color w:val="auto"/>
        </w:rPr>
        <w:t>根据《环境影响评价技术导则地下水环境》（HJ610-2016）判定，该项目地下水环境影响评价项目类别属于IV类，不需要进行地下水评价。因此，本评价对建设项目场地所在区域内地下水环境影响进行简要分析。项目危废暂存间位于专门实验用房内，远离地面，对防渗要求不高，如若设置在一层或负一层，则要作为重点防渗区考虑。地下水质的影响主要为废水收集、处理以及排放过程中的下渗对地下水的影响，针对此提出防渗措施如下：</w:t>
      </w:r>
    </w:p>
    <w:p>
      <w:pPr>
        <w:bidi w:val="0"/>
        <w:rPr>
          <w:color w:val="auto"/>
        </w:rPr>
      </w:pPr>
      <w:bookmarkStart w:id="105" w:name="_bookmark32"/>
      <w:bookmarkEnd w:id="105"/>
      <w:r>
        <w:rPr>
          <w:color w:val="auto"/>
        </w:rPr>
        <w:t>项目污水处理设施、危废暂存间</w:t>
      </w:r>
      <w:r>
        <w:rPr>
          <w:rFonts w:hint="eastAsia" w:eastAsia="宋体"/>
          <w:color w:val="auto"/>
          <w:lang w:eastAsia="zh-CN"/>
        </w:rPr>
        <w:t>、</w:t>
      </w:r>
      <w:r>
        <w:rPr>
          <w:color w:val="auto"/>
        </w:rPr>
        <w:t>应急事故池为重点防渗区域，污水处理站所用水池、应急事故池均用水泥硬化，四周壁用水泥硬化防渗，全池涂环氧树脂防腐防渗，重点防渗区等效黏土防渗层Mb≥6.0m，渗透系数K≤1×10</w:t>
      </w:r>
      <w:r>
        <w:rPr>
          <w:color w:val="auto"/>
          <w:vertAlign w:val="superscript"/>
        </w:rPr>
        <w:t>-10</w:t>
      </w:r>
      <w:r>
        <w:rPr>
          <w:color w:val="auto"/>
        </w:rPr>
        <w:t>cm/s。</w:t>
      </w:r>
    </w:p>
    <w:p>
      <w:pPr>
        <w:bidi w:val="0"/>
        <w:rPr>
          <w:color w:val="auto"/>
        </w:rPr>
      </w:pPr>
      <w:r>
        <w:rPr>
          <w:color w:val="auto"/>
        </w:rPr>
        <w:t>综上，本项目采取将生活垃圾和医疗废物分开收集、存放的原则，对各种固体废物进行分类堆放处理。只要建设单位加强管理，严格按照相关法规对产生的固体废物进行分类、收集、消毒、无害化处理，并对处理单位进行必要的监督，则本项目产生的固废不会对周围环境造成太大影响。</w:t>
      </w:r>
    </w:p>
    <w:p>
      <w:pPr>
        <w:pStyle w:val="6"/>
        <w:bidi w:val="0"/>
        <w:rPr>
          <w:color w:val="auto"/>
        </w:rPr>
      </w:pPr>
      <w:bookmarkStart w:id="106" w:name="_Toc13235"/>
      <w:r>
        <w:rPr>
          <w:color w:val="auto"/>
        </w:rPr>
        <w:t>5.</w:t>
      </w:r>
      <w:r>
        <w:rPr>
          <w:rFonts w:hint="eastAsia"/>
          <w:color w:val="auto"/>
          <w:lang w:val="en-US" w:eastAsia="zh-CN"/>
        </w:rPr>
        <w:t>2.4</w:t>
      </w:r>
      <w:r>
        <w:rPr>
          <w:color w:val="auto"/>
        </w:rPr>
        <w:t>声环境影响分析</w:t>
      </w:r>
      <w:bookmarkEnd w:id="106"/>
    </w:p>
    <w:p>
      <w:pPr>
        <w:bidi w:val="0"/>
        <w:rPr>
          <w:color w:val="auto"/>
        </w:rPr>
      </w:pPr>
      <w:r>
        <w:rPr>
          <w:color w:val="auto"/>
        </w:rPr>
        <w:t>本项目属于未批先建，噪声源主要是污水处理站、空调外机以及社会活动噪声等，污水处理站设备置于地下单独设备间内，噪声源强一般在70～75dB左右，经地面和围护结构隔声后，噪声排放强度在20-25dB左右；空调外机噪声源强一般在50～60dB左右；医院人群噪声在60-65dB左右。</w:t>
      </w:r>
    </w:p>
    <w:p>
      <w:pPr>
        <w:bidi w:val="0"/>
        <w:rPr>
          <w:color w:val="auto"/>
          <w:highlight w:val="none"/>
        </w:rPr>
      </w:pPr>
      <w:r>
        <w:rPr>
          <w:color w:val="auto"/>
          <w:highlight w:val="none"/>
        </w:rPr>
        <w:t>边界四周噪声现状监测期间，疾控中心正常进行，监测值即为项目噪声源对边界声环境的影响，从表4</w:t>
      </w:r>
      <w:r>
        <w:rPr>
          <w:rFonts w:hint="eastAsia"/>
          <w:color w:val="auto"/>
          <w:highlight w:val="none"/>
          <w:lang w:val="en-US" w:eastAsia="zh-CN"/>
        </w:rPr>
        <w:t>.2-6</w:t>
      </w:r>
      <w:r>
        <w:rPr>
          <w:color w:val="auto"/>
          <w:highlight w:val="none"/>
        </w:rPr>
        <w:t>可看出，各边界噪声监测值昼间达到《声环境质量标准》（GB3096-2008）1类区标准要求，项目运行对声环境影响较小。</w:t>
      </w:r>
    </w:p>
    <w:p>
      <w:pPr>
        <w:pStyle w:val="6"/>
        <w:bidi w:val="0"/>
        <w:rPr>
          <w:color w:val="auto"/>
        </w:rPr>
      </w:pPr>
      <w:bookmarkStart w:id="107" w:name="_Toc5813"/>
      <w:r>
        <w:rPr>
          <w:color w:val="auto"/>
        </w:rPr>
        <w:t>5.2.</w:t>
      </w:r>
      <w:r>
        <w:rPr>
          <w:rFonts w:hint="eastAsia"/>
          <w:color w:val="auto"/>
          <w:lang w:val="en-US" w:eastAsia="zh-CN"/>
        </w:rPr>
        <w:t>5</w:t>
      </w:r>
      <w:r>
        <w:rPr>
          <w:color w:val="auto"/>
        </w:rPr>
        <w:t>固废环境影响分析</w:t>
      </w:r>
      <w:bookmarkEnd w:id="107"/>
    </w:p>
    <w:p>
      <w:pPr>
        <w:pStyle w:val="7"/>
        <w:bidi w:val="0"/>
        <w:rPr>
          <w:color w:val="auto"/>
        </w:rPr>
      </w:pPr>
      <w:r>
        <w:rPr>
          <w:color w:val="auto"/>
        </w:rPr>
        <w:t>5.2.</w:t>
      </w:r>
      <w:r>
        <w:rPr>
          <w:rFonts w:hint="eastAsia"/>
          <w:color w:val="auto"/>
          <w:lang w:val="en-US" w:eastAsia="zh-CN"/>
        </w:rPr>
        <w:t>5</w:t>
      </w:r>
      <w:r>
        <w:rPr>
          <w:color w:val="auto"/>
        </w:rPr>
        <w:t>.1</w:t>
      </w:r>
      <w:r>
        <w:rPr>
          <w:rFonts w:ascii="Times New Roman" w:hAnsi="Times New Roman" w:eastAsia="宋体" w:cstheme="minorBidi"/>
          <w:b/>
          <w:color w:val="auto"/>
          <w:kern w:val="2"/>
          <w:sz w:val="24"/>
          <w:szCs w:val="24"/>
          <w:lang w:val="en-US" w:eastAsia="zh-CN" w:bidi="ar-SA"/>
        </w:rPr>
        <w:t>运营期固体废物产生及处置措施</w:t>
      </w:r>
    </w:p>
    <w:p>
      <w:pPr>
        <w:bidi w:val="0"/>
        <w:rPr>
          <w:color w:val="auto"/>
        </w:rPr>
      </w:pPr>
      <w:r>
        <w:rPr>
          <w:color w:val="auto"/>
        </w:rPr>
        <w:t>本项目固体废物主要有医疗废物、实验室废液、污水处理站栅渣和污泥、废活性炭、微生物实验室废过滤材料、废离子树脂及生活垃圾。</w:t>
      </w:r>
    </w:p>
    <w:p>
      <w:pPr>
        <w:bidi w:val="0"/>
        <w:rPr>
          <w:color w:val="auto"/>
        </w:rPr>
      </w:pPr>
      <w:r>
        <w:rPr>
          <w:color w:val="auto"/>
        </w:rPr>
        <w:t>本项目固体废物产生及处置情况见表5</w:t>
      </w:r>
      <w:r>
        <w:rPr>
          <w:rFonts w:hint="eastAsia" w:ascii="Times New Roman" w:eastAsia="宋体"/>
          <w:color w:val="auto"/>
          <w:lang w:val="en-US" w:eastAsia="zh-CN"/>
        </w:rPr>
        <w:t>.2-</w:t>
      </w:r>
      <w:r>
        <w:rPr>
          <w:rFonts w:hint="eastAsia"/>
          <w:color w:val="auto"/>
          <w:lang w:val="en-US" w:eastAsia="zh-CN"/>
        </w:rPr>
        <w:t>6</w:t>
      </w:r>
      <w:r>
        <w:rPr>
          <w:color w:val="auto"/>
        </w:rPr>
        <w:t>。</w:t>
      </w:r>
    </w:p>
    <w:p>
      <w:pPr>
        <w:pStyle w:val="22"/>
        <w:bidi w:val="0"/>
        <w:rPr>
          <w:b/>
          <w:bCs/>
          <w:color w:val="auto"/>
        </w:rPr>
      </w:pPr>
      <w:r>
        <w:rPr>
          <w:b/>
          <w:bCs/>
          <w:color w:val="auto"/>
        </w:rPr>
        <w:t>表5</w:t>
      </w:r>
      <w:r>
        <w:rPr>
          <w:rFonts w:hint="eastAsia"/>
          <w:b/>
          <w:bCs/>
          <w:color w:val="auto"/>
          <w:lang w:val="en-US" w:eastAsia="zh-CN"/>
        </w:rPr>
        <w:t>.2--6</w:t>
      </w:r>
      <w:r>
        <w:rPr>
          <w:b/>
          <w:bCs/>
          <w:color w:val="auto"/>
        </w:rPr>
        <w:t>本项目固体废物产生及处置情况一览表</w:t>
      </w:r>
    </w:p>
    <w:tbl>
      <w:tblPr>
        <w:tblStyle w:val="23"/>
        <w:tblW w:w="852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513"/>
        <w:gridCol w:w="2"/>
        <w:gridCol w:w="774"/>
        <w:gridCol w:w="1204"/>
        <w:gridCol w:w="1189"/>
        <w:gridCol w:w="2"/>
        <w:gridCol w:w="3325"/>
        <w:gridCol w:w="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571" w:hRule="atLeast"/>
          <w:jc w:val="center"/>
        </w:trPr>
        <w:tc>
          <w:tcPr>
            <w:tcW w:w="510" w:type="dxa"/>
            <w:tcBorders>
              <w:tl2br w:val="nil"/>
              <w:tr2bl w:val="nil"/>
            </w:tcBorders>
            <w:textDirection w:val="tbRlV"/>
            <w:vAlign w:val="center"/>
          </w:tcPr>
          <w:p>
            <w:pPr>
              <w:pStyle w:val="22"/>
              <w:bidi w:val="0"/>
              <w:jc w:val="center"/>
              <w:rPr>
                <w:b/>
                <w:bCs/>
                <w:color w:val="auto"/>
                <w:highlight w:val="none"/>
              </w:rPr>
            </w:pPr>
            <w:r>
              <w:rPr>
                <w:b/>
                <w:bCs/>
                <w:color w:val="auto"/>
                <w:highlight w:val="none"/>
              </w:rPr>
              <w:t>序号</w:t>
            </w:r>
          </w:p>
        </w:tc>
        <w:tc>
          <w:tcPr>
            <w:tcW w:w="1513" w:type="dxa"/>
            <w:tcBorders>
              <w:tl2br w:val="nil"/>
              <w:tr2bl w:val="nil"/>
            </w:tcBorders>
            <w:vAlign w:val="center"/>
          </w:tcPr>
          <w:p>
            <w:pPr>
              <w:pStyle w:val="22"/>
              <w:bidi w:val="0"/>
              <w:jc w:val="center"/>
              <w:rPr>
                <w:b/>
                <w:bCs/>
                <w:color w:val="auto"/>
                <w:highlight w:val="none"/>
              </w:rPr>
            </w:pPr>
            <w:r>
              <w:rPr>
                <w:b/>
                <w:bCs/>
                <w:color w:val="auto"/>
                <w:highlight w:val="none"/>
              </w:rPr>
              <w:t>名称</w:t>
            </w:r>
          </w:p>
        </w:tc>
        <w:tc>
          <w:tcPr>
            <w:tcW w:w="776" w:type="dxa"/>
            <w:gridSpan w:val="2"/>
            <w:tcBorders>
              <w:tl2br w:val="nil"/>
              <w:tr2bl w:val="nil"/>
            </w:tcBorders>
            <w:vAlign w:val="center"/>
          </w:tcPr>
          <w:p>
            <w:pPr>
              <w:pStyle w:val="22"/>
              <w:bidi w:val="0"/>
              <w:jc w:val="center"/>
              <w:rPr>
                <w:b/>
                <w:bCs/>
                <w:color w:val="auto"/>
                <w:highlight w:val="none"/>
              </w:rPr>
            </w:pPr>
            <w:r>
              <w:rPr>
                <w:b/>
                <w:bCs/>
                <w:color w:val="auto"/>
                <w:highlight w:val="none"/>
              </w:rPr>
              <w:t>排放量</w:t>
            </w:r>
          </w:p>
          <w:p>
            <w:pPr>
              <w:pStyle w:val="22"/>
              <w:bidi w:val="0"/>
              <w:jc w:val="center"/>
              <w:rPr>
                <w:b/>
                <w:bCs/>
                <w:color w:val="auto"/>
                <w:highlight w:val="none"/>
              </w:rPr>
            </w:pPr>
            <w:r>
              <w:rPr>
                <w:b/>
                <w:bCs/>
                <w:color w:val="auto"/>
                <w:highlight w:val="none"/>
              </w:rPr>
              <w:t>（t/a）</w:t>
            </w:r>
          </w:p>
        </w:tc>
        <w:tc>
          <w:tcPr>
            <w:tcW w:w="1204" w:type="dxa"/>
            <w:tcBorders>
              <w:tl2br w:val="nil"/>
              <w:tr2bl w:val="nil"/>
            </w:tcBorders>
            <w:vAlign w:val="center"/>
          </w:tcPr>
          <w:p>
            <w:pPr>
              <w:pStyle w:val="22"/>
              <w:bidi w:val="0"/>
              <w:jc w:val="center"/>
              <w:rPr>
                <w:b/>
                <w:bCs/>
                <w:color w:val="auto"/>
                <w:highlight w:val="none"/>
              </w:rPr>
            </w:pPr>
            <w:r>
              <w:rPr>
                <w:b/>
                <w:bCs/>
                <w:color w:val="auto"/>
                <w:highlight w:val="none"/>
              </w:rPr>
              <w:t>固废性质</w:t>
            </w:r>
          </w:p>
        </w:tc>
        <w:tc>
          <w:tcPr>
            <w:tcW w:w="1189" w:type="dxa"/>
            <w:tcBorders>
              <w:tl2br w:val="nil"/>
              <w:tr2bl w:val="nil"/>
            </w:tcBorders>
            <w:vAlign w:val="center"/>
          </w:tcPr>
          <w:p>
            <w:pPr>
              <w:pStyle w:val="22"/>
              <w:bidi w:val="0"/>
              <w:jc w:val="center"/>
              <w:rPr>
                <w:b/>
                <w:bCs/>
                <w:color w:val="auto"/>
                <w:highlight w:val="none"/>
              </w:rPr>
            </w:pPr>
            <w:r>
              <w:rPr>
                <w:b/>
                <w:bCs/>
                <w:color w:val="auto"/>
                <w:highlight w:val="none"/>
              </w:rPr>
              <w:t>废物代码</w:t>
            </w:r>
          </w:p>
        </w:tc>
        <w:tc>
          <w:tcPr>
            <w:tcW w:w="3327" w:type="dxa"/>
            <w:gridSpan w:val="2"/>
            <w:tcBorders>
              <w:tl2br w:val="nil"/>
              <w:tr2bl w:val="nil"/>
            </w:tcBorders>
            <w:vAlign w:val="center"/>
          </w:tcPr>
          <w:p>
            <w:pPr>
              <w:pStyle w:val="22"/>
              <w:bidi w:val="0"/>
              <w:jc w:val="center"/>
              <w:rPr>
                <w:b/>
                <w:bCs/>
                <w:color w:val="auto"/>
                <w:highlight w:val="none"/>
              </w:rPr>
            </w:pPr>
            <w:r>
              <w:rPr>
                <w:b/>
                <w:bCs/>
                <w:color w:val="auto"/>
                <w:highlight w:val="none"/>
              </w:rPr>
              <w:t>采取的处置措施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jc w:val="center"/>
        </w:trPr>
        <w:tc>
          <w:tcPr>
            <w:tcW w:w="510" w:type="dxa"/>
            <w:tcBorders>
              <w:tl2br w:val="nil"/>
              <w:tr2bl w:val="nil"/>
            </w:tcBorders>
            <w:vAlign w:val="center"/>
          </w:tcPr>
          <w:p>
            <w:pPr>
              <w:pStyle w:val="22"/>
              <w:bidi w:val="0"/>
              <w:jc w:val="center"/>
              <w:rPr>
                <w:rFonts w:hint="eastAsia"/>
                <w:color w:val="auto"/>
                <w:highlight w:val="none"/>
                <w:lang w:eastAsia="zh-CN"/>
              </w:rPr>
            </w:pPr>
            <w:r>
              <w:rPr>
                <w:rFonts w:hint="eastAsia"/>
                <w:color w:val="auto"/>
                <w:highlight w:val="none"/>
                <w:lang w:val="en-US" w:eastAsia="zh-CN"/>
              </w:rPr>
              <w:t>1</w:t>
            </w:r>
          </w:p>
        </w:tc>
        <w:tc>
          <w:tcPr>
            <w:tcW w:w="1515" w:type="dxa"/>
            <w:gridSpan w:val="2"/>
            <w:tcBorders>
              <w:tl2br w:val="nil"/>
              <w:tr2bl w:val="nil"/>
            </w:tcBorders>
            <w:vAlign w:val="center"/>
          </w:tcPr>
          <w:p>
            <w:pPr>
              <w:pStyle w:val="22"/>
              <w:bidi w:val="0"/>
              <w:jc w:val="center"/>
              <w:rPr>
                <w:color w:val="auto"/>
                <w:highlight w:val="none"/>
              </w:rPr>
            </w:pPr>
            <w:r>
              <w:rPr>
                <w:color w:val="auto"/>
                <w:highlight w:val="none"/>
              </w:rPr>
              <w:t>生活办公垃圾</w:t>
            </w:r>
          </w:p>
        </w:tc>
        <w:tc>
          <w:tcPr>
            <w:tcW w:w="774"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7.5</w:t>
            </w:r>
          </w:p>
        </w:tc>
        <w:tc>
          <w:tcPr>
            <w:tcW w:w="1204" w:type="dxa"/>
            <w:tcBorders>
              <w:tl2br w:val="nil"/>
              <w:tr2bl w:val="nil"/>
            </w:tcBorders>
            <w:vAlign w:val="center"/>
          </w:tcPr>
          <w:p>
            <w:pPr>
              <w:pStyle w:val="22"/>
              <w:bidi w:val="0"/>
              <w:jc w:val="center"/>
              <w:rPr>
                <w:color w:val="auto"/>
                <w:highlight w:val="none"/>
              </w:rPr>
            </w:pPr>
            <w:r>
              <w:rPr>
                <w:color w:val="auto"/>
                <w:highlight w:val="none"/>
              </w:rPr>
              <w:t>一般固废</w:t>
            </w:r>
          </w:p>
        </w:tc>
        <w:tc>
          <w:tcPr>
            <w:tcW w:w="1191" w:type="dxa"/>
            <w:gridSpan w:val="2"/>
            <w:tcBorders>
              <w:tl2br w:val="nil"/>
              <w:tr2bl w:val="nil"/>
            </w:tcBorders>
            <w:vAlign w:val="center"/>
          </w:tcPr>
          <w:p>
            <w:pPr>
              <w:pStyle w:val="22"/>
              <w:bidi w:val="0"/>
              <w:jc w:val="center"/>
              <w:rPr>
                <w:color w:val="auto"/>
                <w:highlight w:val="none"/>
              </w:rPr>
            </w:pPr>
            <w:r>
              <w:rPr>
                <w:color w:val="auto"/>
                <w:highlight w:val="none"/>
              </w:rPr>
              <w:t>——</w:t>
            </w:r>
          </w:p>
        </w:tc>
        <w:tc>
          <w:tcPr>
            <w:tcW w:w="3327" w:type="dxa"/>
            <w:gridSpan w:val="2"/>
            <w:tcBorders>
              <w:tl2br w:val="nil"/>
              <w:tr2bl w:val="nil"/>
            </w:tcBorders>
            <w:vAlign w:val="center"/>
          </w:tcPr>
          <w:p>
            <w:pPr>
              <w:pStyle w:val="22"/>
              <w:bidi w:val="0"/>
              <w:jc w:val="center"/>
              <w:rPr>
                <w:color w:val="auto"/>
                <w:highlight w:val="none"/>
              </w:rPr>
            </w:pPr>
            <w:r>
              <w:rPr>
                <w:color w:val="auto"/>
                <w:highlight w:val="none"/>
              </w:rPr>
              <w:t>在项目区设置垃圾箱集中收集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jc w:val="center"/>
        </w:trPr>
        <w:tc>
          <w:tcPr>
            <w:tcW w:w="510"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2</w:t>
            </w:r>
          </w:p>
        </w:tc>
        <w:tc>
          <w:tcPr>
            <w:tcW w:w="1515" w:type="dxa"/>
            <w:gridSpan w:val="2"/>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医疗废物（包括</w:t>
            </w:r>
            <w:r>
              <w:rPr>
                <w:color w:val="auto"/>
              </w:rPr>
              <w:t>废过滤材料</w:t>
            </w:r>
            <w:r>
              <w:rPr>
                <w:rFonts w:hint="eastAsia"/>
                <w:color w:val="auto"/>
                <w:highlight w:val="none"/>
                <w:lang w:val="en-US" w:eastAsia="zh-CN"/>
              </w:rPr>
              <w:t>）</w:t>
            </w:r>
          </w:p>
        </w:tc>
        <w:tc>
          <w:tcPr>
            <w:tcW w:w="774"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0.75</w:t>
            </w:r>
          </w:p>
        </w:tc>
        <w:tc>
          <w:tcPr>
            <w:tcW w:w="1204" w:type="dxa"/>
            <w:tcBorders>
              <w:tl2br w:val="nil"/>
              <w:tr2bl w:val="nil"/>
            </w:tcBorders>
            <w:vAlign w:val="center"/>
          </w:tcPr>
          <w:p>
            <w:pPr>
              <w:pStyle w:val="22"/>
              <w:bidi w:val="0"/>
              <w:jc w:val="center"/>
              <w:rPr>
                <w:color w:val="auto"/>
                <w:highlight w:val="none"/>
              </w:rPr>
            </w:pPr>
            <w:r>
              <w:rPr>
                <w:color w:val="auto"/>
                <w:highlight w:val="none"/>
              </w:rPr>
              <w:t>危险废物</w:t>
            </w:r>
          </w:p>
        </w:tc>
        <w:tc>
          <w:tcPr>
            <w:tcW w:w="1191" w:type="dxa"/>
            <w:gridSpan w:val="2"/>
            <w:tcBorders>
              <w:tl2br w:val="nil"/>
              <w:tr2bl w:val="nil"/>
            </w:tcBorders>
            <w:vAlign w:val="center"/>
          </w:tcPr>
          <w:p>
            <w:pPr>
              <w:pStyle w:val="22"/>
              <w:bidi w:val="0"/>
              <w:jc w:val="center"/>
              <w:rPr>
                <w:color w:val="auto"/>
                <w:highlight w:val="none"/>
              </w:rPr>
            </w:pPr>
            <w:r>
              <w:rPr>
                <w:color w:val="auto"/>
                <w:highlight w:val="none"/>
              </w:rPr>
              <w:t>8</w:t>
            </w:r>
            <w:r>
              <w:rPr>
                <w:rFonts w:hint="eastAsia"/>
                <w:color w:val="auto"/>
                <w:highlight w:val="none"/>
                <w:lang w:val="en-US" w:eastAsia="zh-CN"/>
              </w:rPr>
              <w:t>4</w:t>
            </w:r>
            <w:r>
              <w:rPr>
                <w:color w:val="auto"/>
                <w:highlight w:val="none"/>
              </w:rPr>
              <w:t>1-001-01</w:t>
            </w:r>
          </w:p>
          <w:p>
            <w:pPr>
              <w:pStyle w:val="22"/>
              <w:bidi w:val="0"/>
              <w:jc w:val="center"/>
              <w:rPr>
                <w:color w:val="auto"/>
                <w:highlight w:val="none"/>
              </w:rPr>
            </w:pPr>
            <w:r>
              <w:rPr>
                <w:color w:val="auto"/>
                <w:highlight w:val="none"/>
              </w:rPr>
              <w:t>8</w:t>
            </w:r>
            <w:r>
              <w:rPr>
                <w:rFonts w:hint="eastAsia"/>
                <w:color w:val="auto"/>
                <w:highlight w:val="none"/>
                <w:lang w:val="en-US" w:eastAsia="zh-CN"/>
              </w:rPr>
              <w:t>4</w:t>
            </w:r>
            <w:r>
              <w:rPr>
                <w:color w:val="auto"/>
                <w:highlight w:val="none"/>
              </w:rPr>
              <w:t>1-002-01</w:t>
            </w:r>
          </w:p>
          <w:p>
            <w:pPr>
              <w:pStyle w:val="22"/>
              <w:bidi w:val="0"/>
              <w:jc w:val="center"/>
              <w:rPr>
                <w:color w:val="auto"/>
                <w:highlight w:val="none"/>
              </w:rPr>
            </w:pPr>
            <w:r>
              <w:rPr>
                <w:color w:val="auto"/>
                <w:highlight w:val="none"/>
              </w:rPr>
              <w:t>8</w:t>
            </w:r>
            <w:r>
              <w:rPr>
                <w:rFonts w:hint="eastAsia"/>
                <w:color w:val="auto"/>
                <w:highlight w:val="none"/>
                <w:lang w:val="en-US" w:eastAsia="zh-CN"/>
              </w:rPr>
              <w:t>4</w:t>
            </w:r>
            <w:r>
              <w:rPr>
                <w:color w:val="auto"/>
                <w:highlight w:val="none"/>
              </w:rPr>
              <w:t>1-004-01</w:t>
            </w:r>
          </w:p>
          <w:p>
            <w:pPr>
              <w:pStyle w:val="22"/>
              <w:bidi w:val="0"/>
              <w:jc w:val="center"/>
              <w:rPr>
                <w:color w:val="auto"/>
                <w:highlight w:val="none"/>
              </w:rPr>
            </w:pPr>
            <w:r>
              <w:rPr>
                <w:color w:val="auto"/>
                <w:highlight w:val="none"/>
              </w:rPr>
              <w:t>8</w:t>
            </w:r>
            <w:r>
              <w:rPr>
                <w:rFonts w:hint="eastAsia"/>
                <w:color w:val="auto"/>
                <w:highlight w:val="none"/>
                <w:lang w:val="en-US" w:eastAsia="zh-CN"/>
              </w:rPr>
              <w:t>4</w:t>
            </w:r>
            <w:r>
              <w:rPr>
                <w:color w:val="auto"/>
                <w:highlight w:val="none"/>
              </w:rPr>
              <w:t>1-005-01</w:t>
            </w:r>
          </w:p>
        </w:tc>
        <w:tc>
          <w:tcPr>
            <w:tcW w:w="3327" w:type="dxa"/>
            <w:gridSpan w:val="2"/>
            <w:tcBorders>
              <w:tl2br w:val="nil"/>
              <w:tr2bl w:val="nil"/>
            </w:tcBorders>
            <w:vAlign w:val="center"/>
          </w:tcPr>
          <w:p>
            <w:pPr>
              <w:pStyle w:val="22"/>
              <w:bidi w:val="0"/>
              <w:jc w:val="center"/>
              <w:rPr>
                <w:color w:val="auto"/>
                <w:highlight w:val="none"/>
              </w:rPr>
            </w:pPr>
            <w:r>
              <w:rPr>
                <w:color w:val="auto"/>
                <w:highlight w:val="none"/>
              </w:rPr>
              <w:t>灭活后，暂存于危废暂存间，委托有危废资质单位处理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1" w:hRule="atLeast"/>
          <w:jc w:val="center"/>
        </w:trPr>
        <w:tc>
          <w:tcPr>
            <w:tcW w:w="510" w:type="dxa"/>
            <w:tcBorders>
              <w:tl2br w:val="nil"/>
              <w:tr2bl w:val="nil"/>
            </w:tcBorders>
            <w:vAlign w:val="center"/>
          </w:tcPr>
          <w:p>
            <w:pPr>
              <w:pStyle w:val="22"/>
              <w:bidi w:val="0"/>
              <w:jc w:val="center"/>
              <w:rPr>
                <w:rFonts w:hint="eastAsia"/>
                <w:color w:val="auto"/>
                <w:highlight w:val="none"/>
                <w:lang w:eastAsia="zh-CN"/>
              </w:rPr>
            </w:pPr>
            <w:r>
              <w:rPr>
                <w:rFonts w:hint="eastAsia"/>
                <w:color w:val="auto"/>
                <w:highlight w:val="none"/>
                <w:lang w:val="en-US" w:eastAsia="zh-CN"/>
              </w:rPr>
              <w:t>3</w:t>
            </w:r>
          </w:p>
        </w:tc>
        <w:tc>
          <w:tcPr>
            <w:tcW w:w="1515" w:type="dxa"/>
            <w:gridSpan w:val="2"/>
            <w:tcBorders>
              <w:tl2br w:val="nil"/>
              <w:tr2bl w:val="nil"/>
            </w:tcBorders>
            <w:vAlign w:val="center"/>
          </w:tcPr>
          <w:p>
            <w:pPr>
              <w:pStyle w:val="22"/>
              <w:bidi w:val="0"/>
              <w:jc w:val="center"/>
              <w:rPr>
                <w:color w:val="auto"/>
                <w:highlight w:val="none"/>
              </w:rPr>
            </w:pPr>
            <w:r>
              <w:rPr>
                <w:color w:val="auto"/>
                <w:highlight w:val="none"/>
              </w:rPr>
              <w:t>废活性炭</w:t>
            </w:r>
          </w:p>
        </w:tc>
        <w:tc>
          <w:tcPr>
            <w:tcW w:w="774" w:type="dxa"/>
            <w:tcBorders>
              <w:tl2br w:val="nil"/>
              <w:tr2bl w:val="nil"/>
            </w:tcBorders>
            <w:vAlign w:val="center"/>
          </w:tcPr>
          <w:p>
            <w:pPr>
              <w:pStyle w:val="22"/>
              <w:bidi w:val="0"/>
              <w:jc w:val="center"/>
              <w:rPr>
                <w:rFonts w:hint="default" w:eastAsia="宋体"/>
                <w:color w:val="auto"/>
                <w:highlight w:val="none"/>
                <w:lang w:val="en-US" w:eastAsia="zh-CN"/>
              </w:rPr>
            </w:pPr>
            <w:r>
              <w:rPr>
                <w:rFonts w:hint="eastAsia"/>
                <w:color w:val="auto"/>
                <w:highlight w:val="none"/>
                <w:lang w:val="en-US" w:eastAsia="zh-CN"/>
              </w:rPr>
              <w:t>0.15</w:t>
            </w:r>
          </w:p>
        </w:tc>
        <w:tc>
          <w:tcPr>
            <w:tcW w:w="1204" w:type="dxa"/>
            <w:tcBorders>
              <w:tl2br w:val="nil"/>
              <w:tr2bl w:val="nil"/>
            </w:tcBorders>
            <w:vAlign w:val="center"/>
          </w:tcPr>
          <w:p>
            <w:pPr>
              <w:pStyle w:val="22"/>
              <w:bidi w:val="0"/>
              <w:jc w:val="center"/>
              <w:rPr>
                <w:rFonts w:hint="default" w:eastAsia="宋体"/>
                <w:color w:val="auto"/>
                <w:highlight w:val="none"/>
                <w:lang w:val="en-US" w:eastAsia="zh-CN"/>
              </w:rPr>
            </w:pPr>
            <w:r>
              <w:rPr>
                <w:color w:val="auto"/>
                <w:highlight w:val="none"/>
              </w:rPr>
              <w:t>HW</w:t>
            </w:r>
            <w:r>
              <w:rPr>
                <w:rFonts w:hint="eastAsia"/>
                <w:color w:val="auto"/>
                <w:highlight w:val="none"/>
                <w:lang w:val="en-US" w:eastAsia="zh-CN"/>
              </w:rPr>
              <w:t>49非特定行业</w:t>
            </w:r>
          </w:p>
        </w:tc>
        <w:tc>
          <w:tcPr>
            <w:tcW w:w="1191" w:type="dxa"/>
            <w:gridSpan w:val="2"/>
            <w:tcBorders>
              <w:tl2br w:val="nil"/>
              <w:tr2bl w:val="nil"/>
            </w:tcBorders>
            <w:vAlign w:val="center"/>
          </w:tcPr>
          <w:p>
            <w:pPr>
              <w:pStyle w:val="22"/>
              <w:bidi w:val="0"/>
              <w:jc w:val="center"/>
              <w:rPr>
                <w:color w:val="auto"/>
                <w:highlight w:val="none"/>
              </w:rPr>
            </w:pPr>
            <w:r>
              <w:rPr>
                <w:rFonts w:hint="default"/>
                <w:color w:val="auto"/>
                <w:highlight w:val="none"/>
                <w:lang w:val="en-US" w:eastAsia="zh-CN"/>
              </w:rPr>
              <w:t>900-041-49</w:t>
            </w:r>
          </w:p>
        </w:tc>
        <w:tc>
          <w:tcPr>
            <w:tcW w:w="3327" w:type="dxa"/>
            <w:gridSpan w:val="2"/>
            <w:tcBorders>
              <w:tl2br w:val="nil"/>
              <w:tr2bl w:val="nil"/>
            </w:tcBorders>
            <w:vAlign w:val="center"/>
          </w:tcPr>
          <w:p>
            <w:pPr>
              <w:pStyle w:val="22"/>
              <w:bidi w:val="0"/>
              <w:jc w:val="center"/>
              <w:rPr>
                <w:color w:val="auto"/>
                <w:highlight w:val="none"/>
              </w:rPr>
            </w:pPr>
            <w:r>
              <w:rPr>
                <w:color w:val="auto"/>
                <w:highlight w:val="none"/>
              </w:rPr>
              <w:t>暂存于危废暂存间，委托有危废资</w:t>
            </w:r>
          </w:p>
          <w:p>
            <w:pPr>
              <w:pStyle w:val="22"/>
              <w:bidi w:val="0"/>
              <w:jc w:val="center"/>
              <w:rPr>
                <w:color w:val="auto"/>
                <w:highlight w:val="none"/>
              </w:rPr>
            </w:pPr>
            <w:r>
              <w:rPr>
                <w:color w:val="auto"/>
                <w:highlight w:val="none"/>
              </w:rPr>
              <w:t>质单位处理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jc w:val="center"/>
        </w:trPr>
        <w:tc>
          <w:tcPr>
            <w:tcW w:w="510" w:type="dxa"/>
            <w:tcBorders>
              <w:tl2br w:val="nil"/>
              <w:tr2bl w:val="nil"/>
            </w:tcBorders>
            <w:vAlign w:val="center"/>
          </w:tcPr>
          <w:p>
            <w:pPr>
              <w:pStyle w:val="22"/>
              <w:bidi w:val="0"/>
              <w:jc w:val="center"/>
              <w:rPr>
                <w:rFonts w:hint="eastAsia"/>
                <w:color w:val="auto"/>
                <w:highlight w:val="none"/>
                <w:lang w:eastAsia="zh-CN"/>
              </w:rPr>
            </w:pPr>
            <w:r>
              <w:rPr>
                <w:rFonts w:hint="eastAsia"/>
                <w:color w:val="auto"/>
                <w:highlight w:val="none"/>
                <w:lang w:val="en-US" w:eastAsia="zh-CN"/>
              </w:rPr>
              <w:t>4</w:t>
            </w:r>
          </w:p>
        </w:tc>
        <w:tc>
          <w:tcPr>
            <w:tcW w:w="1515" w:type="dxa"/>
            <w:gridSpan w:val="2"/>
            <w:tcBorders>
              <w:tl2br w:val="nil"/>
              <w:tr2bl w:val="nil"/>
            </w:tcBorders>
            <w:vAlign w:val="center"/>
          </w:tcPr>
          <w:p>
            <w:pPr>
              <w:pStyle w:val="22"/>
              <w:bidi w:val="0"/>
              <w:jc w:val="center"/>
              <w:rPr>
                <w:color w:val="auto"/>
                <w:highlight w:val="none"/>
              </w:rPr>
            </w:pPr>
            <w:r>
              <w:rPr>
                <w:color w:val="auto"/>
                <w:highlight w:val="none"/>
              </w:rPr>
              <w:t>废离子交换树脂</w:t>
            </w:r>
          </w:p>
        </w:tc>
        <w:tc>
          <w:tcPr>
            <w:tcW w:w="774" w:type="dxa"/>
            <w:tcBorders>
              <w:tl2br w:val="nil"/>
              <w:tr2bl w:val="nil"/>
            </w:tcBorders>
            <w:vAlign w:val="center"/>
          </w:tcPr>
          <w:p>
            <w:pPr>
              <w:pStyle w:val="22"/>
              <w:bidi w:val="0"/>
              <w:jc w:val="center"/>
              <w:rPr>
                <w:color w:val="auto"/>
                <w:highlight w:val="none"/>
              </w:rPr>
            </w:pPr>
            <w:r>
              <w:rPr>
                <w:color w:val="auto"/>
                <w:highlight w:val="none"/>
              </w:rPr>
              <w:t>0.003</w:t>
            </w:r>
          </w:p>
        </w:tc>
        <w:tc>
          <w:tcPr>
            <w:tcW w:w="1204" w:type="dxa"/>
            <w:tcBorders>
              <w:tl2br w:val="nil"/>
              <w:tr2bl w:val="nil"/>
            </w:tcBorders>
            <w:vAlign w:val="center"/>
          </w:tcPr>
          <w:p>
            <w:pPr>
              <w:pStyle w:val="22"/>
              <w:bidi w:val="0"/>
              <w:jc w:val="center"/>
              <w:rPr>
                <w:color w:val="auto"/>
                <w:highlight w:val="none"/>
              </w:rPr>
            </w:pPr>
            <w:r>
              <w:rPr>
                <w:color w:val="auto"/>
                <w:highlight w:val="none"/>
              </w:rPr>
              <w:t>一般固废</w:t>
            </w:r>
          </w:p>
        </w:tc>
        <w:tc>
          <w:tcPr>
            <w:tcW w:w="1191" w:type="dxa"/>
            <w:gridSpan w:val="2"/>
            <w:tcBorders>
              <w:tl2br w:val="nil"/>
              <w:tr2bl w:val="nil"/>
            </w:tcBorders>
            <w:vAlign w:val="center"/>
          </w:tcPr>
          <w:p>
            <w:pPr>
              <w:pStyle w:val="22"/>
              <w:bidi w:val="0"/>
              <w:jc w:val="center"/>
              <w:rPr>
                <w:color w:val="auto"/>
                <w:highlight w:val="none"/>
              </w:rPr>
            </w:pPr>
            <w:r>
              <w:rPr>
                <w:color w:val="auto"/>
                <w:highlight w:val="none"/>
              </w:rPr>
              <w:t>——</w:t>
            </w:r>
          </w:p>
        </w:tc>
        <w:tc>
          <w:tcPr>
            <w:tcW w:w="3327" w:type="dxa"/>
            <w:gridSpan w:val="2"/>
            <w:tcBorders>
              <w:tl2br w:val="nil"/>
              <w:tr2bl w:val="nil"/>
            </w:tcBorders>
            <w:vAlign w:val="center"/>
          </w:tcPr>
          <w:p>
            <w:pPr>
              <w:pStyle w:val="22"/>
              <w:bidi w:val="0"/>
              <w:jc w:val="center"/>
              <w:rPr>
                <w:color w:val="auto"/>
                <w:highlight w:val="none"/>
              </w:rPr>
            </w:pPr>
            <w:r>
              <w:rPr>
                <w:color w:val="auto"/>
                <w:highlight w:val="none"/>
              </w:rPr>
              <w:t>经收集后由专门厂家回收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3" w:hRule="atLeast"/>
          <w:jc w:val="center"/>
        </w:trPr>
        <w:tc>
          <w:tcPr>
            <w:tcW w:w="510" w:type="dxa"/>
            <w:tcBorders>
              <w:tl2br w:val="nil"/>
              <w:tr2bl w:val="nil"/>
            </w:tcBorders>
            <w:vAlign w:val="center"/>
          </w:tcPr>
          <w:p>
            <w:pPr>
              <w:pStyle w:val="22"/>
              <w:bidi w:val="0"/>
              <w:jc w:val="center"/>
              <w:rPr>
                <w:rFonts w:hint="eastAsia"/>
                <w:color w:val="auto"/>
                <w:highlight w:val="none"/>
                <w:lang w:eastAsia="zh-CN"/>
              </w:rPr>
            </w:pPr>
            <w:r>
              <w:rPr>
                <w:rFonts w:hint="eastAsia"/>
                <w:color w:val="auto"/>
                <w:highlight w:val="none"/>
                <w:lang w:val="en-US" w:eastAsia="zh-CN"/>
              </w:rPr>
              <w:t>5</w:t>
            </w:r>
          </w:p>
        </w:tc>
        <w:tc>
          <w:tcPr>
            <w:tcW w:w="1515" w:type="dxa"/>
            <w:gridSpan w:val="2"/>
            <w:tcBorders>
              <w:tl2br w:val="nil"/>
              <w:tr2bl w:val="nil"/>
            </w:tcBorders>
            <w:vAlign w:val="center"/>
          </w:tcPr>
          <w:p>
            <w:pPr>
              <w:pStyle w:val="22"/>
              <w:bidi w:val="0"/>
              <w:jc w:val="center"/>
              <w:rPr>
                <w:color w:val="auto"/>
                <w:highlight w:val="none"/>
              </w:rPr>
            </w:pPr>
            <w:r>
              <w:rPr>
                <w:rFonts w:hint="eastAsia"/>
                <w:color w:val="auto"/>
                <w:highlight w:val="none"/>
                <w:lang w:val="en-US" w:eastAsia="zh-CN"/>
              </w:rPr>
              <w:t>水处理栅渣及污泥</w:t>
            </w:r>
          </w:p>
        </w:tc>
        <w:tc>
          <w:tcPr>
            <w:tcW w:w="774" w:type="dxa"/>
            <w:tcBorders>
              <w:tl2br w:val="nil"/>
              <w:tr2bl w:val="nil"/>
            </w:tcBorders>
            <w:vAlign w:val="center"/>
          </w:tcPr>
          <w:p>
            <w:pPr>
              <w:pStyle w:val="22"/>
              <w:bidi w:val="0"/>
              <w:jc w:val="center"/>
              <w:rPr>
                <w:color w:val="auto"/>
                <w:highlight w:val="none"/>
              </w:rPr>
            </w:pPr>
            <w:r>
              <w:rPr>
                <w:color w:val="auto"/>
                <w:highlight w:val="none"/>
              </w:rPr>
              <w:t>0.</w:t>
            </w:r>
            <w:r>
              <w:rPr>
                <w:rFonts w:hint="eastAsia"/>
                <w:color w:val="auto"/>
                <w:highlight w:val="none"/>
                <w:lang w:val="en-US" w:eastAsia="zh-CN"/>
              </w:rPr>
              <w:t>3</w:t>
            </w:r>
            <w:r>
              <w:rPr>
                <w:color w:val="auto"/>
                <w:highlight w:val="none"/>
              </w:rPr>
              <w:t>t/a</w:t>
            </w:r>
          </w:p>
        </w:tc>
        <w:tc>
          <w:tcPr>
            <w:tcW w:w="1204" w:type="dxa"/>
            <w:tcBorders>
              <w:tl2br w:val="nil"/>
              <w:tr2bl w:val="nil"/>
            </w:tcBorders>
            <w:vAlign w:val="center"/>
          </w:tcPr>
          <w:p>
            <w:pPr>
              <w:pStyle w:val="22"/>
              <w:bidi w:val="0"/>
              <w:jc w:val="center"/>
              <w:rPr>
                <w:color w:val="auto"/>
                <w:highlight w:val="none"/>
              </w:rPr>
            </w:pPr>
            <w:r>
              <w:rPr>
                <w:color w:val="auto"/>
                <w:highlight w:val="none"/>
              </w:rPr>
              <w:t>HW</w:t>
            </w:r>
            <w:r>
              <w:rPr>
                <w:rFonts w:hint="eastAsia"/>
                <w:color w:val="auto"/>
                <w:highlight w:val="none"/>
                <w:lang w:val="en-US" w:eastAsia="zh-CN"/>
              </w:rPr>
              <w:t>01医疗废物</w:t>
            </w:r>
          </w:p>
        </w:tc>
        <w:tc>
          <w:tcPr>
            <w:tcW w:w="1191" w:type="dxa"/>
            <w:gridSpan w:val="2"/>
            <w:tcBorders>
              <w:tl2br w:val="nil"/>
              <w:tr2bl w:val="nil"/>
            </w:tcBorders>
            <w:vAlign w:val="center"/>
          </w:tcPr>
          <w:p>
            <w:pPr>
              <w:pStyle w:val="22"/>
              <w:bidi w:val="0"/>
              <w:jc w:val="center"/>
              <w:rPr>
                <w:color w:val="auto"/>
                <w:highlight w:val="none"/>
              </w:rPr>
            </w:pPr>
            <w:r>
              <w:rPr>
                <w:rFonts w:hint="default"/>
                <w:color w:val="auto"/>
                <w:highlight w:val="none"/>
                <w:lang w:val="en-US" w:eastAsia="zh-CN"/>
              </w:rPr>
              <w:t>841-001- 01</w:t>
            </w:r>
          </w:p>
        </w:tc>
        <w:tc>
          <w:tcPr>
            <w:tcW w:w="3327" w:type="dxa"/>
            <w:gridSpan w:val="2"/>
            <w:tcBorders>
              <w:tl2br w:val="nil"/>
              <w:tr2bl w:val="nil"/>
            </w:tcBorders>
            <w:vAlign w:val="center"/>
          </w:tcPr>
          <w:p>
            <w:pPr>
              <w:pStyle w:val="22"/>
              <w:bidi w:val="0"/>
              <w:jc w:val="center"/>
              <w:rPr>
                <w:color w:val="auto"/>
                <w:highlight w:val="none"/>
              </w:rPr>
            </w:pPr>
            <w:r>
              <w:rPr>
                <w:color w:val="auto"/>
                <w:highlight w:val="none"/>
              </w:rPr>
              <w:t>消毒后，暂存于危废暂存间，委托有</w:t>
            </w:r>
          </w:p>
          <w:p>
            <w:pPr>
              <w:pStyle w:val="22"/>
              <w:bidi w:val="0"/>
              <w:jc w:val="center"/>
              <w:rPr>
                <w:color w:val="auto"/>
                <w:highlight w:val="none"/>
              </w:rPr>
            </w:pPr>
            <w:r>
              <w:rPr>
                <w:color w:val="auto"/>
                <w:highlight w:val="none"/>
              </w:rPr>
              <w:t>危废资质单位处理</w:t>
            </w:r>
          </w:p>
        </w:tc>
      </w:tr>
    </w:tbl>
    <w:p>
      <w:pPr>
        <w:bidi w:val="0"/>
        <w:rPr>
          <w:color w:val="auto"/>
        </w:rPr>
      </w:pPr>
      <w:r>
        <w:rPr>
          <w:color w:val="auto"/>
        </w:rPr>
        <w:t>本项目在综合实验楼西侧设置1间约20m</w:t>
      </w:r>
      <w:r>
        <w:rPr>
          <w:color w:val="auto"/>
          <w:vertAlign w:val="superscript"/>
        </w:rPr>
        <w:t>2</w:t>
      </w:r>
      <w:r>
        <w:rPr>
          <w:color w:val="auto"/>
        </w:rPr>
        <w:t>的医疗废物暂存间。</w:t>
      </w:r>
    </w:p>
    <w:p>
      <w:pPr>
        <w:pStyle w:val="6"/>
        <w:bidi w:val="0"/>
        <w:rPr>
          <w:color w:val="auto"/>
        </w:rPr>
      </w:pPr>
      <w:bookmarkStart w:id="108" w:name="_Toc19970"/>
      <w:r>
        <w:rPr>
          <w:color w:val="auto"/>
        </w:rPr>
        <w:t>5.</w:t>
      </w:r>
      <w:r>
        <w:rPr>
          <w:rFonts w:hint="eastAsia"/>
          <w:color w:val="auto"/>
          <w:lang w:val="en-US" w:eastAsia="zh-CN"/>
        </w:rPr>
        <w:t>2.6</w:t>
      </w:r>
      <w:r>
        <w:rPr>
          <w:color w:val="auto"/>
        </w:rPr>
        <w:t>土壤环境影响预测与评价</w:t>
      </w:r>
      <w:bookmarkEnd w:id="108"/>
    </w:p>
    <w:p>
      <w:pPr>
        <w:bidi w:val="0"/>
        <w:rPr>
          <w:color w:val="auto"/>
        </w:rPr>
      </w:pPr>
      <w:r>
        <w:rPr>
          <w:color w:val="auto"/>
        </w:rPr>
        <w:t>根据《环境影响评价技术导则土壤环境（试行）》（HJ964-2018）附录A，本项目行业类别为其他行业，土壤环境影响评价项目类别为Ⅳ类，可不开展土壤环境影响评价，故本次评价不进行土壤环境影响评价。</w:t>
      </w:r>
    </w:p>
    <w:p>
      <w:pPr>
        <w:pStyle w:val="6"/>
        <w:bidi w:val="0"/>
        <w:rPr>
          <w:color w:val="auto"/>
        </w:rPr>
      </w:pPr>
      <w:bookmarkStart w:id="109" w:name="_Toc20303"/>
      <w:r>
        <w:rPr>
          <w:color w:val="auto"/>
        </w:rPr>
        <w:t>5.2.</w:t>
      </w:r>
      <w:r>
        <w:rPr>
          <w:rFonts w:hint="eastAsia"/>
          <w:color w:val="auto"/>
          <w:lang w:val="en-US" w:eastAsia="zh-CN"/>
        </w:rPr>
        <w:t>7</w:t>
      </w:r>
      <w:r>
        <w:rPr>
          <w:color w:val="auto"/>
        </w:rPr>
        <w:t>环境风险分析</w:t>
      </w:r>
      <w:bookmarkEnd w:id="109"/>
    </w:p>
    <w:p>
      <w:pPr>
        <w:bidi w:val="0"/>
        <w:rPr>
          <w:color w:val="auto"/>
        </w:rPr>
      </w:pPr>
      <w:r>
        <w:rPr>
          <w:color w:val="auto"/>
        </w:rPr>
        <w:t>风险评价的目的是分析和预测建设项目存在的潜在危险，建设项目建设和运行期间发生的突发性事件，有毒有害和易燃易爆等物质的泄漏，所造成的人身安全与环境影响，提出合理可行的防范措施，以使事故率、损失达到最低可接受的水平。</w:t>
      </w:r>
    </w:p>
    <w:p>
      <w:pPr>
        <w:bidi w:val="0"/>
        <w:rPr>
          <w:color w:val="auto"/>
        </w:rPr>
      </w:pPr>
      <w:r>
        <w:rPr>
          <w:color w:val="auto"/>
        </w:rPr>
        <w:t>环境风险评价应把事故引起场界外人群的伤害、环境质量的恶化及对生态系统影响的预测和防护作为评价工作重点。本章节主要通过对主要风险源识别，分析可能造成的影响程度，提出应急与缓解措施，使项目的风险事故影响达到可接受水平。</w:t>
      </w:r>
    </w:p>
    <w:p>
      <w:pPr>
        <w:pStyle w:val="7"/>
        <w:bidi w:val="0"/>
        <w:rPr>
          <w:color w:val="auto"/>
        </w:rPr>
      </w:pPr>
      <w:r>
        <w:rPr>
          <w:rFonts w:hint="eastAsia"/>
          <w:color w:val="auto"/>
          <w:lang w:val="en-US" w:eastAsia="zh-CN"/>
        </w:rPr>
        <w:t>5.2.7.1</w:t>
      </w:r>
      <w:r>
        <w:rPr>
          <w:color w:val="auto"/>
        </w:rPr>
        <w:t>评价等级及范围</w:t>
      </w:r>
    </w:p>
    <w:p>
      <w:pPr>
        <w:bidi w:val="0"/>
        <w:rPr>
          <w:color w:val="auto"/>
        </w:rPr>
      </w:pPr>
      <w:r>
        <w:rPr>
          <w:color w:val="auto"/>
        </w:rPr>
        <w:t>（1）风险调查</w:t>
      </w:r>
    </w:p>
    <w:p>
      <w:pPr>
        <w:bidi w:val="0"/>
        <w:rPr>
          <w:color w:val="auto"/>
        </w:rPr>
      </w:pPr>
      <w:r>
        <w:rPr>
          <w:color w:val="auto"/>
        </w:rPr>
        <w:t>疾控中心中实验室需要使用一些危险化学品，用于存储疾控中心的管制品药剂，主要存有硫酸、硝酸等，其主要危险物特性及判定见表5.2-</w:t>
      </w:r>
      <w:r>
        <w:rPr>
          <w:rFonts w:hint="eastAsia"/>
          <w:color w:val="auto"/>
          <w:lang w:val="en-US" w:eastAsia="zh-CN"/>
        </w:rPr>
        <w:t>7</w:t>
      </w:r>
      <w:r>
        <w:rPr>
          <w:color w:val="auto"/>
        </w:rPr>
        <w:t>，涉及国家《危险化学品目录》中的危险化学品见表5.2-</w:t>
      </w:r>
      <w:r>
        <w:rPr>
          <w:rFonts w:hint="eastAsia"/>
          <w:color w:val="auto"/>
          <w:lang w:val="en-US" w:eastAsia="zh-CN"/>
        </w:rPr>
        <w:t>8</w:t>
      </w:r>
      <w:r>
        <w:rPr>
          <w:color w:val="auto"/>
        </w:rPr>
        <w:t>。</w:t>
      </w:r>
    </w:p>
    <w:p>
      <w:pPr>
        <w:pStyle w:val="22"/>
        <w:bidi w:val="0"/>
        <w:rPr>
          <w:b/>
          <w:bCs/>
          <w:color w:val="auto"/>
        </w:rPr>
      </w:pPr>
      <w:r>
        <w:rPr>
          <w:b/>
          <w:bCs/>
          <w:color w:val="auto"/>
        </w:rPr>
        <w:t>表5.2-</w:t>
      </w:r>
      <w:r>
        <w:rPr>
          <w:rFonts w:hint="eastAsia"/>
          <w:b/>
          <w:bCs/>
          <w:color w:val="auto"/>
          <w:lang w:val="en-US" w:eastAsia="zh-CN"/>
        </w:rPr>
        <w:t>7</w:t>
      </w:r>
      <w:r>
        <w:rPr>
          <w:b/>
          <w:bCs/>
          <w:color w:val="auto"/>
        </w:rPr>
        <w:t>项目主要危险物料特性一览表</w:t>
      </w:r>
    </w:p>
    <w:tbl>
      <w:tblPr>
        <w:tblStyle w:val="23"/>
        <w:tblW w:w="852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0"/>
        <w:gridCol w:w="804"/>
        <w:gridCol w:w="2"/>
        <w:gridCol w:w="2927"/>
        <w:gridCol w:w="1691"/>
        <w:gridCol w:w="2463"/>
        <w:gridCol w:w="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5" w:type="dxa"/>
          <w:trHeight w:val="1103" w:hRule="atLeast"/>
          <w:jc w:val="center"/>
        </w:trPr>
        <w:tc>
          <w:tcPr>
            <w:tcW w:w="630" w:type="dxa"/>
            <w:tcBorders>
              <w:tl2br w:val="nil"/>
              <w:tr2bl w:val="nil"/>
            </w:tcBorders>
            <w:textDirection w:val="tbRlV"/>
            <w:vAlign w:val="center"/>
          </w:tcPr>
          <w:p>
            <w:pPr>
              <w:pStyle w:val="22"/>
              <w:bidi w:val="0"/>
              <w:jc w:val="center"/>
              <w:rPr>
                <w:b/>
                <w:bCs/>
                <w:color w:val="auto"/>
              </w:rPr>
            </w:pPr>
            <w:r>
              <w:rPr>
                <w:b/>
                <w:bCs/>
                <w:color w:val="auto"/>
              </w:rPr>
              <w:t>物料名称</w:t>
            </w:r>
          </w:p>
        </w:tc>
        <w:tc>
          <w:tcPr>
            <w:tcW w:w="804" w:type="dxa"/>
            <w:tcBorders>
              <w:tl2br w:val="nil"/>
              <w:tr2bl w:val="nil"/>
            </w:tcBorders>
            <w:vAlign w:val="center"/>
          </w:tcPr>
          <w:p>
            <w:pPr>
              <w:pStyle w:val="22"/>
              <w:bidi w:val="0"/>
              <w:jc w:val="center"/>
              <w:rPr>
                <w:b/>
                <w:bCs/>
                <w:color w:val="auto"/>
              </w:rPr>
            </w:pPr>
          </w:p>
          <w:p>
            <w:pPr>
              <w:pStyle w:val="22"/>
              <w:bidi w:val="0"/>
              <w:jc w:val="center"/>
              <w:rPr>
                <w:b/>
                <w:bCs/>
                <w:color w:val="auto"/>
              </w:rPr>
            </w:pPr>
            <w:r>
              <w:rPr>
                <w:b/>
                <w:bCs/>
                <w:color w:val="auto"/>
              </w:rPr>
              <w:t>用途</w:t>
            </w:r>
          </w:p>
        </w:tc>
        <w:tc>
          <w:tcPr>
            <w:tcW w:w="2929" w:type="dxa"/>
            <w:gridSpan w:val="2"/>
            <w:tcBorders>
              <w:tl2br w:val="nil"/>
              <w:tr2bl w:val="nil"/>
            </w:tcBorders>
            <w:vAlign w:val="center"/>
          </w:tcPr>
          <w:p>
            <w:pPr>
              <w:pStyle w:val="22"/>
              <w:bidi w:val="0"/>
              <w:jc w:val="center"/>
              <w:rPr>
                <w:b/>
                <w:bCs/>
                <w:color w:val="auto"/>
              </w:rPr>
            </w:pPr>
          </w:p>
          <w:p>
            <w:pPr>
              <w:pStyle w:val="22"/>
              <w:bidi w:val="0"/>
              <w:jc w:val="center"/>
              <w:rPr>
                <w:b/>
                <w:bCs/>
                <w:color w:val="auto"/>
              </w:rPr>
            </w:pPr>
            <w:r>
              <w:rPr>
                <w:b/>
                <w:bCs/>
                <w:color w:val="auto"/>
              </w:rPr>
              <w:t>健康危害</w:t>
            </w:r>
          </w:p>
        </w:tc>
        <w:tc>
          <w:tcPr>
            <w:tcW w:w="1691" w:type="dxa"/>
            <w:tcBorders>
              <w:tl2br w:val="nil"/>
              <w:tr2bl w:val="nil"/>
            </w:tcBorders>
            <w:vAlign w:val="center"/>
          </w:tcPr>
          <w:p>
            <w:pPr>
              <w:pStyle w:val="22"/>
              <w:bidi w:val="0"/>
              <w:jc w:val="center"/>
              <w:rPr>
                <w:b/>
                <w:bCs/>
                <w:color w:val="auto"/>
              </w:rPr>
            </w:pPr>
          </w:p>
          <w:p>
            <w:pPr>
              <w:pStyle w:val="22"/>
              <w:bidi w:val="0"/>
              <w:jc w:val="center"/>
              <w:rPr>
                <w:b/>
                <w:bCs/>
                <w:color w:val="auto"/>
              </w:rPr>
            </w:pPr>
            <w:r>
              <w:rPr>
                <w:b/>
                <w:bCs/>
                <w:color w:val="auto"/>
              </w:rPr>
              <w:t>危险特性</w:t>
            </w:r>
          </w:p>
        </w:tc>
        <w:tc>
          <w:tcPr>
            <w:tcW w:w="2463" w:type="dxa"/>
            <w:tcBorders>
              <w:tl2br w:val="nil"/>
              <w:tr2bl w:val="nil"/>
            </w:tcBorders>
            <w:vAlign w:val="center"/>
          </w:tcPr>
          <w:p>
            <w:pPr>
              <w:pStyle w:val="22"/>
              <w:bidi w:val="0"/>
              <w:jc w:val="center"/>
              <w:rPr>
                <w:b/>
                <w:bCs/>
                <w:color w:val="auto"/>
              </w:rPr>
            </w:pPr>
          </w:p>
          <w:p>
            <w:pPr>
              <w:pStyle w:val="22"/>
              <w:bidi w:val="0"/>
              <w:jc w:val="center"/>
              <w:rPr>
                <w:b/>
                <w:bCs/>
                <w:color w:val="auto"/>
              </w:rPr>
            </w:pPr>
            <w:r>
              <w:rPr>
                <w:b/>
                <w:bCs/>
                <w:color w:val="auto"/>
              </w:rPr>
              <w:t>毒物危害程度分段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8" w:hRule="atLeast"/>
          <w:jc w:val="center"/>
        </w:trPr>
        <w:tc>
          <w:tcPr>
            <w:tcW w:w="630" w:type="dxa"/>
            <w:tcBorders>
              <w:tl2br w:val="nil"/>
              <w:tr2bl w:val="nil"/>
            </w:tcBorders>
            <w:textDirection w:val="tbRlV"/>
            <w:vAlign w:val="center"/>
          </w:tcPr>
          <w:p>
            <w:pPr>
              <w:pStyle w:val="22"/>
              <w:bidi w:val="0"/>
              <w:jc w:val="center"/>
              <w:rPr>
                <w:color w:val="auto"/>
              </w:rPr>
            </w:pPr>
            <w:r>
              <w:rPr>
                <w:color w:val="auto"/>
              </w:rPr>
              <w:t>盐酸</w:t>
            </w:r>
          </w:p>
        </w:tc>
        <w:tc>
          <w:tcPr>
            <w:tcW w:w="806" w:type="dxa"/>
            <w:gridSpan w:val="2"/>
            <w:tcBorders>
              <w:tl2br w:val="nil"/>
              <w:tr2bl w:val="nil"/>
            </w:tcBorders>
            <w:vAlign w:val="center"/>
          </w:tcPr>
          <w:p>
            <w:pPr>
              <w:pStyle w:val="22"/>
              <w:bidi w:val="0"/>
              <w:jc w:val="center"/>
              <w:rPr>
                <w:color w:val="auto"/>
              </w:rPr>
            </w:pPr>
            <w:r>
              <w:rPr>
                <w:color w:val="auto"/>
              </w:rPr>
              <w:t>试验</w:t>
            </w:r>
          </w:p>
        </w:tc>
        <w:tc>
          <w:tcPr>
            <w:tcW w:w="2927" w:type="dxa"/>
            <w:tcBorders>
              <w:tl2br w:val="nil"/>
              <w:tr2bl w:val="nil"/>
            </w:tcBorders>
            <w:vAlign w:val="center"/>
          </w:tcPr>
          <w:p>
            <w:pPr>
              <w:pStyle w:val="22"/>
              <w:bidi w:val="0"/>
              <w:jc w:val="center"/>
              <w:rPr>
                <w:color w:val="auto"/>
              </w:rPr>
            </w:pPr>
            <w:r>
              <w:rPr>
                <w:color w:val="auto"/>
              </w:rPr>
              <w:t>接触其蒸气或烟雾，可引起急性中毒，出现眼结膜炎，鼻及口腔粘膜有烧灼感，鼻衄、齿龈出血，气管炎等。误服可引起消化道灼伤、溃疡形成，有可能引起胃穿孔、腹膜炎等。眼和皮肤接触可致灼伤。慢性影响：长期接触，引起慢性鼻炎、慢性支气管炎、牙齿酸蚀症及皮肤损害。</w:t>
            </w:r>
          </w:p>
        </w:tc>
        <w:tc>
          <w:tcPr>
            <w:tcW w:w="1691" w:type="dxa"/>
            <w:tcBorders>
              <w:tl2br w:val="nil"/>
              <w:tr2bl w:val="nil"/>
            </w:tcBorders>
            <w:vAlign w:val="center"/>
          </w:tcPr>
          <w:p>
            <w:pPr>
              <w:pStyle w:val="22"/>
              <w:bidi w:val="0"/>
              <w:jc w:val="center"/>
              <w:rPr>
                <w:color w:val="auto"/>
              </w:rPr>
            </w:pPr>
            <w:r>
              <w:rPr>
                <w:color w:val="auto"/>
              </w:rPr>
              <w:t>能与一些活性金属粉末发生反应，放出氢气。遇氰化物能产生剧毒的氰化氢气体。与碱发生中合反应，并放出大量的热。具有强腐蚀性。</w:t>
            </w:r>
          </w:p>
        </w:tc>
        <w:tc>
          <w:tcPr>
            <w:tcW w:w="2468" w:type="dxa"/>
            <w:gridSpan w:val="2"/>
            <w:tcBorders>
              <w:tl2br w:val="nil"/>
              <w:tr2bl w:val="nil"/>
            </w:tcBorders>
            <w:vAlign w:val="center"/>
          </w:tcPr>
          <w:p>
            <w:pPr>
              <w:pStyle w:val="22"/>
              <w:bidi w:val="0"/>
              <w:jc w:val="center"/>
              <w:rPr>
                <w:color w:val="auto"/>
              </w:rPr>
            </w:pPr>
            <w:r>
              <w:rPr>
                <w:color w:val="auto"/>
              </w:rPr>
              <w:t>LD50：900mg/kg</w:t>
            </w:r>
            <w:r>
              <w:rPr>
                <w:rFonts w:hint="eastAsia"/>
                <w:color w:val="auto"/>
                <w:lang w:eastAsia="zh-CN"/>
              </w:rPr>
              <w:t>（</w:t>
            </w:r>
            <w:r>
              <w:rPr>
                <w:color w:val="auto"/>
              </w:rPr>
              <w:t>兔经口</w:t>
            </w:r>
            <w:r>
              <w:rPr>
                <w:rFonts w:hint="eastAsia"/>
                <w:color w:val="auto"/>
                <w:lang w:eastAsia="zh-CN"/>
              </w:rPr>
              <w:t>）</w:t>
            </w:r>
            <w:r>
              <w:rPr>
                <w:color w:val="auto"/>
              </w:rPr>
              <w:t>；</w:t>
            </w:r>
          </w:p>
          <w:p>
            <w:pPr>
              <w:pStyle w:val="22"/>
              <w:bidi w:val="0"/>
              <w:jc w:val="center"/>
              <w:rPr>
                <w:color w:val="auto"/>
              </w:rPr>
            </w:pPr>
            <w:r>
              <w:rPr>
                <w:color w:val="auto"/>
              </w:rPr>
              <w:t>LC50：3124ppm，1小时</w:t>
            </w:r>
            <w:r>
              <w:rPr>
                <w:rFonts w:hint="eastAsia"/>
                <w:color w:val="auto"/>
                <w:lang w:eastAsia="zh-CN"/>
              </w:rPr>
              <w:t>（</w:t>
            </w:r>
            <w:r>
              <w:rPr>
                <w:color w:val="auto"/>
              </w:rPr>
              <w:t>大鼠吸入</w:t>
            </w:r>
            <w:r>
              <w:rPr>
                <w:rFonts w:hint="eastAsia"/>
                <w:color w:val="auto"/>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6" w:hRule="atLeast"/>
          <w:jc w:val="center"/>
        </w:trPr>
        <w:tc>
          <w:tcPr>
            <w:tcW w:w="630" w:type="dxa"/>
            <w:tcBorders>
              <w:tl2br w:val="nil"/>
              <w:tr2bl w:val="nil"/>
            </w:tcBorders>
            <w:textDirection w:val="tbRlV"/>
            <w:vAlign w:val="center"/>
          </w:tcPr>
          <w:p>
            <w:pPr>
              <w:pStyle w:val="22"/>
              <w:bidi w:val="0"/>
              <w:jc w:val="center"/>
              <w:rPr>
                <w:color w:val="auto"/>
              </w:rPr>
            </w:pPr>
            <w:r>
              <w:rPr>
                <w:color w:val="auto"/>
              </w:rPr>
              <w:t>硫酸</w:t>
            </w:r>
          </w:p>
        </w:tc>
        <w:tc>
          <w:tcPr>
            <w:tcW w:w="806" w:type="dxa"/>
            <w:gridSpan w:val="2"/>
            <w:tcBorders>
              <w:tl2br w:val="nil"/>
              <w:tr2bl w:val="nil"/>
            </w:tcBorders>
            <w:vAlign w:val="center"/>
          </w:tcPr>
          <w:p>
            <w:pPr>
              <w:pStyle w:val="22"/>
              <w:bidi w:val="0"/>
              <w:jc w:val="center"/>
              <w:rPr>
                <w:color w:val="auto"/>
              </w:rPr>
            </w:pPr>
            <w:r>
              <w:rPr>
                <w:color w:val="auto"/>
              </w:rPr>
              <w:t>试验</w:t>
            </w:r>
          </w:p>
        </w:tc>
        <w:tc>
          <w:tcPr>
            <w:tcW w:w="2927" w:type="dxa"/>
            <w:tcBorders>
              <w:tl2br w:val="nil"/>
              <w:tr2bl w:val="nil"/>
            </w:tcBorders>
            <w:vAlign w:val="center"/>
          </w:tcPr>
          <w:p>
            <w:pPr>
              <w:pStyle w:val="22"/>
              <w:bidi w:val="0"/>
              <w:jc w:val="center"/>
              <w:rPr>
                <w:color w:val="auto"/>
              </w:rPr>
            </w:pPr>
            <w:r>
              <w:rPr>
                <w:color w:val="auto"/>
              </w:rPr>
              <w:t>对皮肤、粘膜等组织有强烈的刺激和腐蚀作用。蒸气或雾可引起结膜炎、结膜水肿、角膜混浊，以致失明；引起呼吸道刺激，重者发生呼吸困难和肺水肿；高浓度引起痉挛或声门水肿而窒息死亡。口服后引起消化道烧伤以致溃疡形成；严重者可能有胃穿孔、腹膜炎、肾损害、休克等。皮肤灼伤轻者出现红斑，重者形成溃疡，愈后癍痕收缩影响功能。溅入眼内可造成灼伤，甚至角膜穿孔、全眼炎以致失明。慢性影响：牙齿酸蚀症、慢性支气管炎、肺气肿和肺硬化。</w:t>
            </w:r>
          </w:p>
        </w:tc>
        <w:tc>
          <w:tcPr>
            <w:tcW w:w="1691" w:type="dxa"/>
            <w:tcBorders>
              <w:tl2br w:val="nil"/>
              <w:tr2bl w:val="nil"/>
            </w:tcBorders>
            <w:vAlign w:val="center"/>
          </w:tcPr>
          <w:p>
            <w:pPr>
              <w:pStyle w:val="22"/>
              <w:bidi w:val="0"/>
              <w:jc w:val="center"/>
              <w:rPr>
                <w:color w:val="auto"/>
              </w:rPr>
            </w:pPr>
            <w:r>
              <w:rPr>
                <w:color w:val="auto"/>
              </w:rPr>
              <w:t>遇水大量放热，可发生沸溅。与易燃物（如苯）和可燃物（如糖、纤维素等）接触会发生剧烈反应，甚至引起燃烧。遇电石、高氯酸盐、雷酸盐、硝酸盐、苦味酸盐、金黄色属粉末等猛烈反应，发生爆炸或燃烧。有强烈的腐蚀性和吸水性。</w:t>
            </w:r>
          </w:p>
        </w:tc>
        <w:tc>
          <w:tcPr>
            <w:tcW w:w="2468" w:type="dxa"/>
            <w:gridSpan w:val="2"/>
            <w:tcBorders>
              <w:tl2br w:val="nil"/>
              <w:tr2bl w:val="nil"/>
            </w:tcBorders>
            <w:vAlign w:val="center"/>
          </w:tcPr>
          <w:p>
            <w:pPr>
              <w:pStyle w:val="22"/>
              <w:bidi w:val="0"/>
              <w:jc w:val="center"/>
              <w:rPr>
                <w:color w:val="auto"/>
              </w:rPr>
            </w:pPr>
            <w:r>
              <w:rPr>
                <w:color w:val="auto"/>
              </w:rPr>
              <w:t>LD502140mg/kg</w:t>
            </w:r>
            <w:r>
              <w:rPr>
                <w:rFonts w:hint="eastAsia"/>
                <w:color w:val="auto"/>
                <w:lang w:eastAsia="zh-CN"/>
              </w:rPr>
              <w:t>（</w:t>
            </w:r>
            <w:r>
              <w:rPr>
                <w:color w:val="auto"/>
              </w:rPr>
              <w:t>大鼠经口</w:t>
            </w:r>
            <w:r>
              <w:rPr>
                <w:rFonts w:hint="eastAsia"/>
                <w:color w:val="auto"/>
                <w:lang w:eastAsia="zh-CN"/>
              </w:rPr>
              <w:t>）</w:t>
            </w:r>
            <w:r>
              <w:rPr>
                <w:color w:val="auto"/>
              </w:rPr>
              <w:t>；LC50510mg/kg,2小时；</w:t>
            </w:r>
            <w:r>
              <w:rPr>
                <w:rFonts w:hint="eastAsia"/>
                <w:color w:val="auto"/>
                <w:lang w:eastAsia="zh-CN"/>
              </w:rPr>
              <w:t>（</w:t>
            </w:r>
            <w:r>
              <w:rPr>
                <w:color w:val="auto"/>
              </w:rPr>
              <w:t>小鼠吸入</w:t>
            </w:r>
            <w:r>
              <w:rPr>
                <w:rFonts w:hint="eastAsia"/>
                <w:color w:val="auto"/>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1" w:hRule="atLeast"/>
          <w:jc w:val="center"/>
        </w:trPr>
        <w:tc>
          <w:tcPr>
            <w:tcW w:w="630" w:type="dxa"/>
            <w:tcBorders>
              <w:tl2br w:val="nil"/>
              <w:tr2bl w:val="nil"/>
            </w:tcBorders>
            <w:textDirection w:val="tbRlV"/>
            <w:vAlign w:val="center"/>
          </w:tcPr>
          <w:p>
            <w:pPr>
              <w:pStyle w:val="22"/>
              <w:bidi w:val="0"/>
              <w:jc w:val="center"/>
              <w:rPr>
                <w:color w:val="auto"/>
              </w:rPr>
            </w:pPr>
            <w:r>
              <w:rPr>
                <w:color w:val="auto"/>
              </w:rPr>
              <w:t>硝酸</w:t>
            </w:r>
          </w:p>
        </w:tc>
        <w:tc>
          <w:tcPr>
            <w:tcW w:w="806" w:type="dxa"/>
            <w:gridSpan w:val="2"/>
            <w:tcBorders>
              <w:tl2br w:val="nil"/>
              <w:tr2bl w:val="nil"/>
            </w:tcBorders>
            <w:vAlign w:val="center"/>
          </w:tcPr>
          <w:p>
            <w:pPr>
              <w:pStyle w:val="22"/>
              <w:bidi w:val="0"/>
              <w:jc w:val="center"/>
              <w:rPr>
                <w:color w:val="auto"/>
              </w:rPr>
            </w:pPr>
          </w:p>
          <w:p>
            <w:pPr>
              <w:pStyle w:val="22"/>
              <w:bidi w:val="0"/>
              <w:jc w:val="center"/>
              <w:rPr>
                <w:color w:val="auto"/>
              </w:rPr>
            </w:pPr>
          </w:p>
          <w:p>
            <w:pPr>
              <w:pStyle w:val="22"/>
              <w:bidi w:val="0"/>
              <w:jc w:val="center"/>
              <w:rPr>
                <w:color w:val="auto"/>
              </w:rPr>
            </w:pPr>
          </w:p>
          <w:p>
            <w:pPr>
              <w:pStyle w:val="22"/>
              <w:bidi w:val="0"/>
              <w:jc w:val="center"/>
              <w:rPr>
                <w:color w:val="auto"/>
              </w:rPr>
            </w:pPr>
          </w:p>
          <w:p>
            <w:pPr>
              <w:pStyle w:val="22"/>
              <w:bidi w:val="0"/>
              <w:jc w:val="center"/>
              <w:rPr>
                <w:color w:val="auto"/>
              </w:rPr>
            </w:pPr>
          </w:p>
          <w:p>
            <w:pPr>
              <w:pStyle w:val="22"/>
              <w:bidi w:val="0"/>
              <w:jc w:val="center"/>
              <w:rPr>
                <w:color w:val="auto"/>
              </w:rPr>
            </w:pPr>
          </w:p>
          <w:p>
            <w:pPr>
              <w:pStyle w:val="22"/>
              <w:bidi w:val="0"/>
              <w:jc w:val="center"/>
              <w:rPr>
                <w:color w:val="auto"/>
              </w:rPr>
            </w:pPr>
          </w:p>
          <w:p>
            <w:pPr>
              <w:pStyle w:val="22"/>
              <w:bidi w:val="0"/>
              <w:jc w:val="center"/>
              <w:rPr>
                <w:color w:val="auto"/>
              </w:rPr>
            </w:pPr>
            <w:r>
              <w:rPr>
                <w:color w:val="auto"/>
              </w:rPr>
              <w:t>试验</w:t>
            </w:r>
          </w:p>
        </w:tc>
        <w:tc>
          <w:tcPr>
            <w:tcW w:w="2927" w:type="dxa"/>
            <w:tcBorders>
              <w:tl2br w:val="nil"/>
              <w:tr2bl w:val="nil"/>
            </w:tcBorders>
            <w:vAlign w:val="center"/>
          </w:tcPr>
          <w:p>
            <w:pPr>
              <w:pStyle w:val="22"/>
              <w:bidi w:val="0"/>
              <w:jc w:val="center"/>
              <w:rPr>
                <w:color w:val="auto"/>
              </w:rPr>
            </w:pPr>
            <w:r>
              <w:rPr>
                <w:color w:val="auto"/>
              </w:rPr>
              <w:t>其蒸气有刺激作用，引起粘膜和上呼吸道的刺激症状。如流泪、咽喉刺激感、呛咳、并伴有头痛、头晕、胸闷等。长期接触可引起牙齿酸蚀症，皮肤接触引起灼伤。口服硝酸，引起上消化道剧痛、烧灼伤以至形成溃疡；严重者可能有胃穿孔、腹膜炎、喉痉挛、肾损害、休克以至窒息等。</w:t>
            </w:r>
          </w:p>
        </w:tc>
        <w:tc>
          <w:tcPr>
            <w:tcW w:w="1691" w:type="dxa"/>
            <w:tcBorders>
              <w:tl2br w:val="nil"/>
              <w:tr2bl w:val="nil"/>
            </w:tcBorders>
            <w:vAlign w:val="center"/>
          </w:tcPr>
          <w:p>
            <w:pPr>
              <w:pStyle w:val="22"/>
              <w:bidi w:val="0"/>
              <w:jc w:val="center"/>
              <w:rPr>
                <w:color w:val="auto"/>
              </w:rPr>
            </w:pPr>
            <w:r>
              <w:rPr>
                <w:color w:val="auto"/>
              </w:rPr>
              <w:t>强氧化剂。能与多种物质如金属粉末、电石、硫化氢、松节油等猛烈反应，甚至发生爆炸。与还原剂、可燃物如糖、纤维素、木屑、棉花、稻草或废纱头等接触，引起燃烧并散发出剧毒的棕色烟雾。具有强腐蚀性。</w:t>
            </w:r>
          </w:p>
        </w:tc>
        <w:tc>
          <w:tcPr>
            <w:tcW w:w="2468" w:type="dxa"/>
            <w:gridSpan w:val="2"/>
            <w:tcBorders>
              <w:tl2br w:val="nil"/>
              <w:tr2bl w:val="nil"/>
            </w:tcBorders>
            <w:vAlign w:val="center"/>
          </w:tcPr>
          <w:p>
            <w:pPr>
              <w:pStyle w:val="22"/>
              <w:bidi w:val="0"/>
              <w:jc w:val="center"/>
              <w:rPr>
                <w:color w:val="auto"/>
              </w:rPr>
            </w:pPr>
            <w:r>
              <w:rPr>
                <w:color w:val="auto"/>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5" w:hRule="atLeast"/>
          <w:jc w:val="center"/>
        </w:trPr>
        <w:tc>
          <w:tcPr>
            <w:tcW w:w="630" w:type="dxa"/>
            <w:tcBorders>
              <w:tl2br w:val="nil"/>
              <w:tr2bl w:val="nil"/>
            </w:tcBorders>
            <w:textDirection w:val="tbRlV"/>
            <w:vAlign w:val="center"/>
          </w:tcPr>
          <w:p>
            <w:pPr>
              <w:pStyle w:val="22"/>
              <w:bidi w:val="0"/>
              <w:jc w:val="center"/>
              <w:rPr>
                <w:color w:val="auto"/>
              </w:rPr>
            </w:pPr>
            <w:r>
              <w:rPr>
                <w:color w:val="auto"/>
              </w:rPr>
              <w:t>丙醇</w:t>
            </w:r>
          </w:p>
        </w:tc>
        <w:tc>
          <w:tcPr>
            <w:tcW w:w="806" w:type="dxa"/>
            <w:gridSpan w:val="2"/>
            <w:tcBorders>
              <w:tl2br w:val="nil"/>
              <w:tr2bl w:val="nil"/>
            </w:tcBorders>
            <w:vAlign w:val="center"/>
          </w:tcPr>
          <w:p>
            <w:pPr>
              <w:pStyle w:val="22"/>
              <w:bidi w:val="0"/>
              <w:jc w:val="center"/>
              <w:rPr>
                <w:color w:val="auto"/>
              </w:rPr>
            </w:pPr>
            <w:r>
              <w:rPr>
                <w:color w:val="auto"/>
              </w:rPr>
              <w:t>试验</w:t>
            </w:r>
          </w:p>
        </w:tc>
        <w:tc>
          <w:tcPr>
            <w:tcW w:w="2927" w:type="dxa"/>
            <w:tcBorders>
              <w:tl2br w:val="nil"/>
              <w:tr2bl w:val="nil"/>
            </w:tcBorders>
            <w:vAlign w:val="center"/>
          </w:tcPr>
          <w:p>
            <w:pPr>
              <w:pStyle w:val="22"/>
              <w:bidi w:val="0"/>
              <w:jc w:val="center"/>
              <w:rPr>
                <w:color w:val="auto"/>
              </w:rPr>
            </w:pPr>
            <w:r>
              <w:rPr>
                <w:color w:val="auto"/>
              </w:rPr>
              <w:t>急性中毒主要表现为对中枢神经系统的麻醉作用，出现乏力、恶心、头痛、头晕、易激动。重者发生呕吐、气急、痉挛，甚至昏迷。对眼、鼻、喉有刺激性。口服后，口唇、咽喉有烧灼感，然后出现口干、呕吐、昏迷、酸中毒和酮症。慢性影响：长期接触该品出现眩晕、灼烧感、咽炎、支气管炎、乏力、易激动等。皮肤长期接触可致皮炎。</w:t>
            </w:r>
          </w:p>
        </w:tc>
        <w:tc>
          <w:tcPr>
            <w:tcW w:w="1691" w:type="dxa"/>
            <w:tcBorders>
              <w:tl2br w:val="nil"/>
              <w:tr2bl w:val="nil"/>
            </w:tcBorders>
            <w:vAlign w:val="center"/>
          </w:tcPr>
          <w:p>
            <w:pPr>
              <w:pStyle w:val="22"/>
              <w:bidi w:val="0"/>
              <w:jc w:val="center"/>
              <w:rPr>
                <w:color w:val="auto"/>
              </w:rPr>
            </w:pPr>
            <w:r>
              <w:rPr>
                <w:color w:val="auto"/>
              </w:rPr>
              <w:t>其蒸气与空气可形成爆炸性混合物。遇明火、高热极易燃烧爆炸。与氧化剂能发生强烈反应。其蒸气比空气重，能在较低处扩散到相当远的地方，遇明火会引着回燃。若遇高热，容器内压增大，有开裂和爆炸的危险</w:t>
            </w:r>
          </w:p>
        </w:tc>
        <w:tc>
          <w:tcPr>
            <w:tcW w:w="2468" w:type="dxa"/>
            <w:gridSpan w:val="2"/>
            <w:tcBorders>
              <w:tl2br w:val="nil"/>
              <w:tr2bl w:val="nil"/>
            </w:tcBorders>
            <w:vAlign w:val="center"/>
          </w:tcPr>
          <w:p>
            <w:pPr>
              <w:pStyle w:val="22"/>
              <w:bidi w:val="0"/>
              <w:jc w:val="center"/>
              <w:rPr>
                <w:color w:val="auto"/>
              </w:rPr>
            </w:pPr>
            <w:r>
              <w:rPr>
                <w:color w:val="auto"/>
              </w:rPr>
              <w:t>LD50：5800mg/kg（大鼠经口）；20000mg/kg（兔经皮）；人吸入12000ppm×4小时，最小中毒浓度。人经口200ml，昏迷，12小时恢复。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630" w:type="dxa"/>
            <w:tcBorders>
              <w:tl2br w:val="nil"/>
              <w:tr2bl w:val="nil"/>
            </w:tcBorders>
            <w:textDirection w:val="tbRlV"/>
            <w:vAlign w:val="center"/>
          </w:tcPr>
          <w:p>
            <w:pPr>
              <w:pStyle w:val="22"/>
              <w:bidi w:val="0"/>
              <w:jc w:val="center"/>
              <w:rPr>
                <w:color w:val="auto"/>
              </w:rPr>
            </w:pPr>
            <w:r>
              <w:rPr>
                <w:color w:val="auto"/>
              </w:rPr>
              <w:t>三氯甲烷</w:t>
            </w:r>
          </w:p>
        </w:tc>
        <w:tc>
          <w:tcPr>
            <w:tcW w:w="806" w:type="dxa"/>
            <w:gridSpan w:val="2"/>
            <w:tcBorders>
              <w:tl2br w:val="nil"/>
              <w:tr2bl w:val="nil"/>
            </w:tcBorders>
            <w:vAlign w:val="center"/>
          </w:tcPr>
          <w:p>
            <w:pPr>
              <w:pStyle w:val="22"/>
              <w:bidi w:val="0"/>
              <w:jc w:val="center"/>
              <w:rPr>
                <w:color w:val="auto"/>
              </w:rPr>
            </w:pPr>
            <w:r>
              <w:rPr>
                <w:color w:val="auto"/>
              </w:rPr>
              <w:t>试验</w:t>
            </w:r>
          </w:p>
        </w:tc>
        <w:tc>
          <w:tcPr>
            <w:tcW w:w="2927" w:type="dxa"/>
            <w:tcBorders>
              <w:tl2br w:val="nil"/>
              <w:tr2bl w:val="nil"/>
            </w:tcBorders>
            <w:vAlign w:val="center"/>
          </w:tcPr>
          <w:p>
            <w:pPr>
              <w:pStyle w:val="22"/>
              <w:bidi w:val="0"/>
              <w:jc w:val="center"/>
              <w:rPr>
                <w:color w:val="auto"/>
              </w:rPr>
            </w:pPr>
            <w:r>
              <w:rPr>
                <w:color w:val="auto"/>
              </w:rPr>
              <w:t>主要作用于中枢神经系统，具有麻醉作用，对心、肝、肾有损害。急性中毒：吸入或经皮肤吸收引起急性中毒。初期有头痛、头晕、恶心、呕吐、兴奋、皮肤湿热和粘膜刺激症状。以后呈现精神紊乱、呼吸表浅、反射消失、昏迷等，重者发生呼吸麻痹、心室纤维性颤动。同时可伴有肝、肾损害。误服中毒时，胃有烧灼感，伴恶心、呕吐、腹痛、腹泻。以后出现麻醉症状。液态可致皮炎、湿疹，甚至皮肤灼伤。慢性影响：主要引起肝脏损害，并有消化不良、乏力、头痛、失眠等症状，少数有肾损害及嗜氯仿癖。</w:t>
            </w:r>
          </w:p>
        </w:tc>
        <w:tc>
          <w:tcPr>
            <w:tcW w:w="1691" w:type="dxa"/>
            <w:tcBorders>
              <w:tl2br w:val="nil"/>
              <w:tr2bl w:val="nil"/>
            </w:tcBorders>
            <w:vAlign w:val="center"/>
          </w:tcPr>
          <w:p>
            <w:pPr>
              <w:pStyle w:val="22"/>
              <w:bidi w:val="0"/>
              <w:jc w:val="center"/>
              <w:rPr>
                <w:color w:val="auto"/>
              </w:rPr>
            </w:pPr>
            <w:r>
              <w:rPr>
                <w:color w:val="auto"/>
              </w:rPr>
              <w:t>与明火或灼热的物体接触时能产生剧毒的光气。在空气、水分和光的作用下，酸度增加，因而对金属有强烈的腐蚀性。</w:t>
            </w:r>
          </w:p>
        </w:tc>
        <w:tc>
          <w:tcPr>
            <w:tcW w:w="2468" w:type="dxa"/>
            <w:gridSpan w:val="2"/>
            <w:tcBorders>
              <w:tl2br w:val="nil"/>
              <w:tr2bl w:val="nil"/>
            </w:tcBorders>
            <w:vAlign w:val="center"/>
          </w:tcPr>
          <w:p>
            <w:pPr>
              <w:pStyle w:val="22"/>
              <w:bidi w:val="0"/>
              <w:jc w:val="center"/>
              <w:rPr>
                <w:color w:val="auto"/>
              </w:rPr>
            </w:pPr>
            <w:r>
              <w:rPr>
                <w:color w:val="auto"/>
              </w:rPr>
              <w:t>LD50：908mg/kg</w:t>
            </w:r>
            <w:r>
              <w:rPr>
                <w:rFonts w:hint="eastAsia"/>
                <w:color w:val="auto"/>
                <w:lang w:eastAsia="zh-CN"/>
              </w:rPr>
              <w:t>（</w:t>
            </w:r>
            <w:r>
              <w:rPr>
                <w:color w:val="auto"/>
              </w:rPr>
              <w:t>大鼠经口</w:t>
            </w:r>
            <w:r>
              <w:rPr>
                <w:rFonts w:hint="eastAsia"/>
                <w:color w:val="auto"/>
                <w:lang w:eastAsia="zh-CN"/>
              </w:rPr>
              <w:t>）</w:t>
            </w:r>
          </w:p>
          <w:p>
            <w:pPr>
              <w:pStyle w:val="22"/>
              <w:bidi w:val="0"/>
              <w:jc w:val="center"/>
              <w:rPr>
                <w:color w:val="auto"/>
              </w:rPr>
            </w:pPr>
            <w:r>
              <w:rPr>
                <w:color w:val="auto"/>
              </w:rPr>
              <w:t>LC50：47702mg/m3,4小时</w:t>
            </w:r>
            <w:r>
              <w:rPr>
                <w:rFonts w:hint="eastAsia"/>
                <w:color w:val="auto"/>
                <w:lang w:eastAsia="zh-CN"/>
              </w:rPr>
              <w:t>（</w:t>
            </w:r>
            <w:r>
              <w:rPr>
                <w:color w:val="auto"/>
              </w:rPr>
              <w:t>大鼠吸入</w:t>
            </w:r>
            <w:r>
              <w:rPr>
                <w:rFonts w:hint="eastAsia"/>
                <w:color w:val="auto"/>
                <w:lang w:eastAsia="zh-CN"/>
              </w:rPr>
              <w:t>）</w:t>
            </w:r>
          </w:p>
        </w:tc>
      </w:tr>
    </w:tbl>
    <w:p>
      <w:pPr>
        <w:bidi w:val="0"/>
        <w:rPr>
          <w:color w:val="auto"/>
        </w:rPr>
      </w:pPr>
      <w:r>
        <w:rPr>
          <w:color w:val="auto"/>
        </w:rPr>
        <w:t>（2）风险潜式初判</w:t>
      </w:r>
    </w:p>
    <w:p>
      <w:pPr>
        <w:pStyle w:val="22"/>
        <w:bidi w:val="0"/>
        <w:rPr>
          <w:b/>
          <w:bCs/>
          <w:color w:val="auto"/>
        </w:rPr>
      </w:pPr>
      <w:r>
        <w:rPr>
          <w:b/>
          <w:bCs/>
          <w:color w:val="auto"/>
        </w:rPr>
        <w:t>表5.2-</w:t>
      </w:r>
      <w:r>
        <w:rPr>
          <w:rFonts w:hint="eastAsia"/>
          <w:b/>
          <w:bCs/>
          <w:color w:val="auto"/>
          <w:lang w:val="en-US" w:eastAsia="zh-CN"/>
        </w:rPr>
        <w:t>8</w:t>
      </w:r>
      <w:r>
        <w:rPr>
          <w:b/>
          <w:bCs/>
          <w:color w:val="auto"/>
        </w:rPr>
        <w:t>危险物质名称及临界量</w:t>
      </w:r>
    </w:p>
    <w:p>
      <w:pPr>
        <w:spacing w:line="49" w:lineRule="exact"/>
        <w:rPr>
          <w:color w:val="auto"/>
        </w:rPr>
      </w:pPr>
    </w:p>
    <w:tbl>
      <w:tblPr>
        <w:tblStyle w:val="23"/>
        <w:tblW w:w="852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7"/>
        <w:gridCol w:w="1416"/>
        <w:gridCol w:w="2410"/>
        <w:gridCol w:w="2149"/>
        <w:gridCol w:w="18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4" w:hRule="atLeast"/>
          <w:jc w:val="center"/>
        </w:trPr>
        <w:tc>
          <w:tcPr>
            <w:tcW w:w="677" w:type="dxa"/>
            <w:tcBorders>
              <w:tl2br w:val="nil"/>
              <w:tr2bl w:val="nil"/>
            </w:tcBorders>
            <w:vAlign w:val="center"/>
          </w:tcPr>
          <w:p>
            <w:pPr>
              <w:pStyle w:val="22"/>
              <w:bidi w:val="0"/>
              <w:jc w:val="center"/>
              <w:rPr>
                <w:b/>
                <w:bCs/>
                <w:color w:val="auto"/>
              </w:rPr>
            </w:pPr>
            <w:r>
              <w:rPr>
                <w:b/>
                <w:bCs/>
                <w:color w:val="auto"/>
              </w:rPr>
              <w:t>序号</w:t>
            </w:r>
          </w:p>
        </w:tc>
        <w:tc>
          <w:tcPr>
            <w:tcW w:w="1416" w:type="dxa"/>
            <w:tcBorders>
              <w:tl2br w:val="nil"/>
              <w:tr2bl w:val="nil"/>
            </w:tcBorders>
            <w:vAlign w:val="center"/>
          </w:tcPr>
          <w:p>
            <w:pPr>
              <w:pStyle w:val="22"/>
              <w:bidi w:val="0"/>
              <w:jc w:val="center"/>
              <w:rPr>
                <w:b/>
                <w:bCs/>
                <w:color w:val="auto"/>
              </w:rPr>
            </w:pPr>
            <w:r>
              <w:rPr>
                <w:b/>
                <w:bCs/>
                <w:color w:val="auto"/>
              </w:rPr>
              <w:t>物资名称</w:t>
            </w:r>
          </w:p>
        </w:tc>
        <w:tc>
          <w:tcPr>
            <w:tcW w:w="2410" w:type="dxa"/>
            <w:tcBorders>
              <w:tl2br w:val="nil"/>
              <w:tr2bl w:val="nil"/>
            </w:tcBorders>
            <w:vAlign w:val="center"/>
          </w:tcPr>
          <w:p>
            <w:pPr>
              <w:pStyle w:val="22"/>
              <w:bidi w:val="0"/>
              <w:jc w:val="center"/>
              <w:rPr>
                <w:b/>
                <w:bCs/>
                <w:color w:val="auto"/>
              </w:rPr>
            </w:pPr>
            <w:r>
              <w:rPr>
                <w:b/>
                <w:bCs/>
                <w:color w:val="auto"/>
              </w:rPr>
              <w:t>临界量（t）</w:t>
            </w:r>
          </w:p>
        </w:tc>
        <w:tc>
          <w:tcPr>
            <w:tcW w:w="2149" w:type="dxa"/>
            <w:tcBorders>
              <w:tl2br w:val="nil"/>
              <w:tr2bl w:val="nil"/>
            </w:tcBorders>
            <w:vAlign w:val="center"/>
          </w:tcPr>
          <w:p>
            <w:pPr>
              <w:pStyle w:val="22"/>
              <w:bidi w:val="0"/>
              <w:jc w:val="center"/>
              <w:rPr>
                <w:b/>
                <w:bCs/>
                <w:color w:val="auto"/>
              </w:rPr>
            </w:pPr>
            <w:r>
              <w:rPr>
                <w:b/>
                <w:bCs/>
                <w:color w:val="auto"/>
              </w:rPr>
              <w:t>本项目存储量（kg）</w:t>
            </w:r>
          </w:p>
        </w:tc>
        <w:tc>
          <w:tcPr>
            <w:tcW w:w="1870" w:type="dxa"/>
            <w:tcBorders>
              <w:tl2br w:val="nil"/>
              <w:tr2bl w:val="nil"/>
            </w:tcBorders>
            <w:vAlign w:val="center"/>
          </w:tcPr>
          <w:p>
            <w:pPr>
              <w:pStyle w:val="22"/>
              <w:bidi w:val="0"/>
              <w:jc w:val="center"/>
              <w:rPr>
                <w:b/>
                <w:bCs/>
                <w:color w:val="auto"/>
              </w:rPr>
            </w:pPr>
            <w:r>
              <w:rPr>
                <w:b/>
                <w:bCs/>
                <w:color w:val="auto"/>
              </w:rPr>
              <w:t>Q</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jc w:val="center"/>
        </w:trPr>
        <w:tc>
          <w:tcPr>
            <w:tcW w:w="677" w:type="dxa"/>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1</w:t>
            </w:r>
          </w:p>
        </w:tc>
        <w:tc>
          <w:tcPr>
            <w:tcW w:w="1416" w:type="dxa"/>
            <w:tcBorders>
              <w:tl2br w:val="nil"/>
              <w:tr2bl w:val="nil"/>
            </w:tcBorders>
            <w:vAlign w:val="center"/>
          </w:tcPr>
          <w:p>
            <w:pPr>
              <w:pStyle w:val="22"/>
              <w:bidi w:val="0"/>
              <w:jc w:val="center"/>
              <w:rPr>
                <w:color w:val="auto"/>
              </w:rPr>
            </w:pPr>
            <w:r>
              <w:rPr>
                <w:color w:val="auto"/>
              </w:rPr>
              <w:t>硫酸</w:t>
            </w:r>
          </w:p>
        </w:tc>
        <w:tc>
          <w:tcPr>
            <w:tcW w:w="2410" w:type="dxa"/>
            <w:tcBorders>
              <w:tl2br w:val="nil"/>
              <w:tr2bl w:val="nil"/>
            </w:tcBorders>
            <w:vAlign w:val="center"/>
          </w:tcPr>
          <w:p>
            <w:pPr>
              <w:pStyle w:val="22"/>
              <w:bidi w:val="0"/>
              <w:jc w:val="center"/>
              <w:rPr>
                <w:color w:val="auto"/>
              </w:rPr>
            </w:pPr>
            <w:r>
              <w:rPr>
                <w:color w:val="auto"/>
              </w:rPr>
              <w:t>10</w:t>
            </w:r>
          </w:p>
        </w:tc>
        <w:tc>
          <w:tcPr>
            <w:tcW w:w="2149"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15</w:t>
            </w:r>
          </w:p>
        </w:tc>
        <w:tc>
          <w:tcPr>
            <w:tcW w:w="1870" w:type="dxa"/>
            <w:tcBorders>
              <w:tl2br w:val="nil"/>
              <w:tr2bl w:val="nil"/>
            </w:tcBorders>
            <w:vAlign w:val="center"/>
          </w:tcPr>
          <w:p>
            <w:pPr>
              <w:pStyle w:val="22"/>
              <w:bidi w:val="0"/>
              <w:jc w:val="center"/>
              <w:rPr>
                <w:rFonts w:hint="default" w:eastAsia="宋体"/>
                <w:color w:val="auto"/>
                <w:lang w:val="en-US" w:eastAsia="zh-CN"/>
              </w:rPr>
            </w:pPr>
            <w:r>
              <w:rPr>
                <w:color w:val="auto"/>
              </w:rPr>
              <w:t>0.00</w:t>
            </w:r>
            <w:r>
              <w:rPr>
                <w:rFonts w:hint="eastAsia"/>
                <w:color w:val="auto"/>
                <w:lang w:val="en-US" w:eastAsia="zh-CN"/>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jc w:val="center"/>
        </w:trPr>
        <w:tc>
          <w:tcPr>
            <w:tcW w:w="677" w:type="dxa"/>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2</w:t>
            </w:r>
          </w:p>
        </w:tc>
        <w:tc>
          <w:tcPr>
            <w:tcW w:w="1416" w:type="dxa"/>
            <w:tcBorders>
              <w:tl2br w:val="nil"/>
              <w:tr2bl w:val="nil"/>
            </w:tcBorders>
            <w:vAlign w:val="center"/>
          </w:tcPr>
          <w:p>
            <w:pPr>
              <w:pStyle w:val="22"/>
              <w:bidi w:val="0"/>
              <w:jc w:val="center"/>
              <w:rPr>
                <w:color w:val="auto"/>
              </w:rPr>
            </w:pPr>
            <w:r>
              <w:rPr>
                <w:color w:val="auto"/>
              </w:rPr>
              <w:t>盐酸</w:t>
            </w:r>
          </w:p>
        </w:tc>
        <w:tc>
          <w:tcPr>
            <w:tcW w:w="2410" w:type="dxa"/>
            <w:tcBorders>
              <w:tl2br w:val="nil"/>
              <w:tr2bl w:val="nil"/>
            </w:tcBorders>
            <w:vAlign w:val="center"/>
          </w:tcPr>
          <w:p>
            <w:pPr>
              <w:pStyle w:val="22"/>
              <w:bidi w:val="0"/>
              <w:jc w:val="center"/>
              <w:rPr>
                <w:color w:val="auto"/>
              </w:rPr>
            </w:pPr>
            <w:r>
              <w:rPr>
                <w:color w:val="auto"/>
              </w:rPr>
              <w:t>7.5</w:t>
            </w:r>
          </w:p>
        </w:tc>
        <w:tc>
          <w:tcPr>
            <w:tcW w:w="2149" w:type="dxa"/>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6</w:t>
            </w:r>
          </w:p>
        </w:tc>
        <w:tc>
          <w:tcPr>
            <w:tcW w:w="1870" w:type="dxa"/>
            <w:tcBorders>
              <w:tl2br w:val="nil"/>
              <w:tr2bl w:val="nil"/>
            </w:tcBorders>
            <w:vAlign w:val="center"/>
          </w:tcPr>
          <w:p>
            <w:pPr>
              <w:pStyle w:val="22"/>
              <w:bidi w:val="0"/>
              <w:jc w:val="center"/>
              <w:rPr>
                <w:rFonts w:hint="eastAsia" w:eastAsia="宋体"/>
                <w:color w:val="auto"/>
                <w:lang w:eastAsia="zh-CN"/>
              </w:rPr>
            </w:pPr>
            <w:r>
              <w:rPr>
                <w:color w:val="auto"/>
              </w:rPr>
              <w:t>0.00</w:t>
            </w:r>
            <w:r>
              <w:rPr>
                <w:rFonts w:hint="eastAsia"/>
                <w:color w:val="auto"/>
                <w:lang w:val="en-US" w:eastAsia="zh-CN"/>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jc w:val="center"/>
        </w:trPr>
        <w:tc>
          <w:tcPr>
            <w:tcW w:w="677" w:type="dxa"/>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3</w:t>
            </w:r>
          </w:p>
        </w:tc>
        <w:tc>
          <w:tcPr>
            <w:tcW w:w="1416" w:type="dxa"/>
            <w:tcBorders>
              <w:tl2br w:val="nil"/>
              <w:tr2bl w:val="nil"/>
            </w:tcBorders>
            <w:vAlign w:val="center"/>
          </w:tcPr>
          <w:p>
            <w:pPr>
              <w:pStyle w:val="22"/>
              <w:bidi w:val="0"/>
              <w:jc w:val="center"/>
              <w:rPr>
                <w:color w:val="auto"/>
              </w:rPr>
            </w:pPr>
            <w:r>
              <w:rPr>
                <w:color w:val="auto"/>
              </w:rPr>
              <w:t>硝酸</w:t>
            </w:r>
          </w:p>
        </w:tc>
        <w:tc>
          <w:tcPr>
            <w:tcW w:w="2410" w:type="dxa"/>
            <w:tcBorders>
              <w:tl2br w:val="nil"/>
              <w:tr2bl w:val="nil"/>
            </w:tcBorders>
            <w:vAlign w:val="center"/>
          </w:tcPr>
          <w:p>
            <w:pPr>
              <w:pStyle w:val="22"/>
              <w:bidi w:val="0"/>
              <w:jc w:val="center"/>
              <w:rPr>
                <w:color w:val="auto"/>
              </w:rPr>
            </w:pPr>
            <w:r>
              <w:rPr>
                <w:color w:val="auto"/>
              </w:rPr>
              <w:t>7.5</w:t>
            </w:r>
          </w:p>
        </w:tc>
        <w:tc>
          <w:tcPr>
            <w:tcW w:w="2149" w:type="dxa"/>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7</w:t>
            </w:r>
          </w:p>
        </w:tc>
        <w:tc>
          <w:tcPr>
            <w:tcW w:w="1870" w:type="dxa"/>
            <w:tcBorders>
              <w:tl2br w:val="nil"/>
              <w:tr2bl w:val="nil"/>
            </w:tcBorders>
            <w:vAlign w:val="center"/>
          </w:tcPr>
          <w:p>
            <w:pPr>
              <w:pStyle w:val="22"/>
              <w:bidi w:val="0"/>
              <w:jc w:val="center"/>
              <w:rPr>
                <w:rFonts w:hint="default" w:eastAsia="宋体"/>
                <w:color w:val="auto"/>
                <w:lang w:val="en-US" w:eastAsia="zh-CN"/>
              </w:rPr>
            </w:pPr>
            <w:r>
              <w:rPr>
                <w:color w:val="auto"/>
              </w:rPr>
              <w:t>0.00</w:t>
            </w:r>
            <w:r>
              <w:rPr>
                <w:rFonts w:hint="eastAsia"/>
                <w:color w:val="auto"/>
                <w:lang w:val="en-US" w:eastAsia="zh-CN"/>
              </w:rPr>
              <w:t>09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677" w:type="dxa"/>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4</w:t>
            </w:r>
          </w:p>
        </w:tc>
        <w:tc>
          <w:tcPr>
            <w:tcW w:w="1416" w:type="dxa"/>
            <w:tcBorders>
              <w:tl2br w:val="nil"/>
              <w:tr2bl w:val="nil"/>
            </w:tcBorders>
            <w:vAlign w:val="center"/>
          </w:tcPr>
          <w:p>
            <w:pPr>
              <w:pStyle w:val="22"/>
              <w:bidi w:val="0"/>
              <w:jc w:val="center"/>
              <w:rPr>
                <w:color w:val="auto"/>
              </w:rPr>
            </w:pPr>
            <w:r>
              <w:rPr>
                <w:color w:val="auto"/>
              </w:rPr>
              <w:t>异丙醇</w:t>
            </w:r>
          </w:p>
        </w:tc>
        <w:tc>
          <w:tcPr>
            <w:tcW w:w="2410" w:type="dxa"/>
            <w:tcBorders>
              <w:tl2br w:val="nil"/>
              <w:tr2bl w:val="nil"/>
            </w:tcBorders>
            <w:vAlign w:val="center"/>
          </w:tcPr>
          <w:p>
            <w:pPr>
              <w:pStyle w:val="22"/>
              <w:bidi w:val="0"/>
              <w:jc w:val="center"/>
              <w:rPr>
                <w:color w:val="auto"/>
              </w:rPr>
            </w:pPr>
            <w:r>
              <w:rPr>
                <w:color w:val="auto"/>
              </w:rPr>
              <w:t>10</w:t>
            </w:r>
          </w:p>
        </w:tc>
        <w:tc>
          <w:tcPr>
            <w:tcW w:w="2149" w:type="dxa"/>
            <w:tcBorders>
              <w:tl2br w:val="nil"/>
              <w:tr2bl w:val="nil"/>
            </w:tcBorders>
            <w:vAlign w:val="center"/>
          </w:tcPr>
          <w:p>
            <w:pPr>
              <w:pStyle w:val="22"/>
              <w:bidi w:val="0"/>
              <w:jc w:val="center"/>
              <w:rPr>
                <w:rFonts w:hint="default" w:eastAsia="宋体"/>
                <w:color w:val="auto"/>
                <w:lang w:val="en-US" w:eastAsia="zh-CN"/>
              </w:rPr>
            </w:pPr>
            <w:r>
              <w:rPr>
                <w:rFonts w:hint="eastAsia"/>
                <w:color w:val="auto"/>
                <w:lang w:val="en-US" w:eastAsia="zh-CN"/>
              </w:rPr>
              <w:t>0.25</w:t>
            </w:r>
          </w:p>
        </w:tc>
        <w:tc>
          <w:tcPr>
            <w:tcW w:w="1870" w:type="dxa"/>
            <w:tcBorders>
              <w:tl2br w:val="nil"/>
              <w:tr2bl w:val="nil"/>
            </w:tcBorders>
            <w:vAlign w:val="center"/>
          </w:tcPr>
          <w:p>
            <w:pPr>
              <w:pStyle w:val="22"/>
              <w:bidi w:val="0"/>
              <w:jc w:val="center"/>
              <w:rPr>
                <w:rFonts w:hint="default" w:eastAsia="宋体"/>
                <w:color w:val="auto"/>
                <w:lang w:val="en-US" w:eastAsia="zh-CN"/>
              </w:rPr>
            </w:pPr>
            <w:r>
              <w:rPr>
                <w:color w:val="auto"/>
              </w:rPr>
              <w:t>0.0000</w:t>
            </w:r>
            <w:r>
              <w:rPr>
                <w:rFonts w:hint="eastAsia"/>
                <w:color w:val="auto"/>
                <w:lang w:val="en-US" w:eastAsia="zh-CN"/>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677" w:type="dxa"/>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5</w:t>
            </w:r>
          </w:p>
        </w:tc>
        <w:tc>
          <w:tcPr>
            <w:tcW w:w="1416" w:type="dxa"/>
            <w:tcBorders>
              <w:tl2br w:val="nil"/>
              <w:tr2bl w:val="nil"/>
            </w:tcBorders>
            <w:vAlign w:val="center"/>
          </w:tcPr>
          <w:p>
            <w:pPr>
              <w:pStyle w:val="22"/>
              <w:bidi w:val="0"/>
              <w:jc w:val="center"/>
              <w:rPr>
                <w:color w:val="auto"/>
              </w:rPr>
            </w:pPr>
            <w:r>
              <w:rPr>
                <w:color w:val="auto"/>
              </w:rPr>
              <w:t>丙醇</w:t>
            </w:r>
          </w:p>
        </w:tc>
        <w:tc>
          <w:tcPr>
            <w:tcW w:w="2410" w:type="dxa"/>
            <w:tcBorders>
              <w:tl2br w:val="nil"/>
              <w:tr2bl w:val="nil"/>
            </w:tcBorders>
            <w:vAlign w:val="center"/>
          </w:tcPr>
          <w:p>
            <w:pPr>
              <w:pStyle w:val="22"/>
              <w:bidi w:val="0"/>
              <w:jc w:val="center"/>
              <w:rPr>
                <w:color w:val="auto"/>
              </w:rPr>
            </w:pPr>
            <w:r>
              <w:rPr>
                <w:color w:val="auto"/>
              </w:rPr>
              <w:t>10</w:t>
            </w:r>
          </w:p>
        </w:tc>
        <w:tc>
          <w:tcPr>
            <w:tcW w:w="2149" w:type="dxa"/>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5</w:t>
            </w:r>
          </w:p>
        </w:tc>
        <w:tc>
          <w:tcPr>
            <w:tcW w:w="1870" w:type="dxa"/>
            <w:tcBorders>
              <w:tl2br w:val="nil"/>
              <w:tr2bl w:val="nil"/>
            </w:tcBorders>
            <w:vAlign w:val="center"/>
          </w:tcPr>
          <w:p>
            <w:pPr>
              <w:pStyle w:val="22"/>
              <w:bidi w:val="0"/>
              <w:jc w:val="center"/>
              <w:rPr>
                <w:rFonts w:hint="eastAsia" w:eastAsia="宋体"/>
                <w:color w:val="auto"/>
                <w:lang w:val="en-US" w:eastAsia="zh-CN"/>
              </w:rPr>
            </w:pPr>
            <w:r>
              <w:rPr>
                <w:color w:val="auto"/>
              </w:rPr>
              <w:t>0.000</w:t>
            </w:r>
            <w:r>
              <w:rPr>
                <w:rFonts w:hint="eastAsia"/>
                <w:color w:val="auto"/>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7" w:hRule="atLeast"/>
          <w:jc w:val="center"/>
        </w:trPr>
        <w:tc>
          <w:tcPr>
            <w:tcW w:w="677" w:type="dxa"/>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6</w:t>
            </w:r>
          </w:p>
        </w:tc>
        <w:tc>
          <w:tcPr>
            <w:tcW w:w="1416" w:type="dxa"/>
            <w:tcBorders>
              <w:tl2br w:val="nil"/>
              <w:tr2bl w:val="nil"/>
            </w:tcBorders>
            <w:vAlign w:val="center"/>
          </w:tcPr>
          <w:p>
            <w:pPr>
              <w:pStyle w:val="22"/>
              <w:bidi w:val="0"/>
              <w:jc w:val="center"/>
              <w:rPr>
                <w:color w:val="auto"/>
              </w:rPr>
            </w:pPr>
            <w:r>
              <w:rPr>
                <w:color w:val="auto"/>
              </w:rPr>
              <w:t>三氯甲烷</w:t>
            </w:r>
          </w:p>
        </w:tc>
        <w:tc>
          <w:tcPr>
            <w:tcW w:w="2410" w:type="dxa"/>
            <w:tcBorders>
              <w:tl2br w:val="nil"/>
              <w:tr2bl w:val="nil"/>
            </w:tcBorders>
            <w:vAlign w:val="center"/>
          </w:tcPr>
          <w:p>
            <w:pPr>
              <w:pStyle w:val="22"/>
              <w:bidi w:val="0"/>
              <w:jc w:val="center"/>
              <w:rPr>
                <w:color w:val="auto"/>
              </w:rPr>
            </w:pPr>
            <w:r>
              <w:rPr>
                <w:color w:val="auto"/>
              </w:rPr>
              <w:t>10</w:t>
            </w:r>
          </w:p>
        </w:tc>
        <w:tc>
          <w:tcPr>
            <w:tcW w:w="2149" w:type="dxa"/>
            <w:tcBorders>
              <w:tl2br w:val="nil"/>
              <w:tr2bl w:val="nil"/>
            </w:tcBorders>
            <w:vAlign w:val="center"/>
          </w:tcPr>
          <w:p>
            <w:pPr>
              <w:pStyle w:val="22"/>
              <w:bidi w:val="0"/>
              <w:jc w:val="center"/>
              <w:rPr>
                <w:color w:val="auto"/>
              </w:rPr>
            </w:pPr>
            <w:r>
              <w:rPr>
                <w:color w:val="auto"/>
              </w:rPr>
              <w:t>1.5</w:t>
            </w:r>
          </w:p>
        </w:tc>
        <w:tc>
          <w:tcPr>
            <w:tcW w:w="1870" w:type="dxa"/>
            <w:tcBorders>
              <w:tl2br w:val="nil"/>
              <w:tr2bl w:val="nil"/>
            </w:tcBorders>
            <w:vAlign w:val="center"/>
          </w:tcPr>
          <w:p>
            <w:pPr>
              <w:pStyle w:val="22"/>
              <w:bidi w:val="0"/>
              <w:jc w:val="center"/>
              <w:rPr>
                <w:color w:val="auto"/>
              </w:rPr>
            </w:pPr>
            <w:r>
              <w:rPr>
                <w:color w:val="auto"/>
              </w:rPr>
              <w:t>0.00015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8" w:hRule="atLeast"/>
          <w:jc w:val="center"/>
        </w:trPr>
        <w:tc>
          <w:tcPr>
            <w:tcW w:w="677" w:type="dxa"/>
            <w:tcBorders>
              <w:tl2br w:val="nil"/>
              <w:tr2bl w:val="nil"/>
            </w:tcBorders>
            <w:vAlign w:val="center"/>
          </w:tcPr>
          <w:p>
            <w:pPr>
              <w:pStyle w:val="22"/>
              <w:bidi w:val="0"/>
              <w:jc w:val="center"/>
              <w:rPr>
                <w:rFonts w:hint="eastAsia" w:eastAsia="宋体"/>
                <w:color w:val="auto"/>
                <w:lang w:eastAsia="zh-CN"/>
              </w:rPr>
            </w:pPr>
            <w:r>
              <w:rPr>
                <w:rFonts w:hint="eastAsia"/>
                <w:color w:val="auto"/>
                <w:lang w:val="en-US" w:eastAsia="zh-CN"/>
              </w:rPr>
              <w:t>7</w:t>
            </w:r>
          </w:p>
        </w:tc>
        <w:tc>
          <w:tcPr>
            <w:tcW w:w="1416" w:type="dxa"/>
            <w:tcBorders>
              <w:tl2br w:val="nil"/>
              <w:tr2bl w:val="nil"/>
            </w:tcBorders>
            <w:vAlign w:val="center"/>
          </w:tcPr>
          <w:p>
            <w:pPr>
              <w:pStyle w:val="22"/>
              <w:bidi w:val="0"/>
              <w:jc w:val="center"/>
              <w:rPr>
                <w:color w:val="auto"/>
              </w:rPr>
            </w:pPr>
            <w:r>
              <w:rPr>
                <w:color w:val="auto"/>
              </w:rPr>
              <w:t>合计</w:t>
            </w:r>
          </w:p>
        </w:tc>
        <w:tc>
          <w:tcPr>
            <w:tcW w:w="2410" w:type="dxa"/>
            <w:tcBorders>
              <w:tl2br w:val="nil"/>
              <w:tr2bl w:val="nil"/>
            </w:tcBorders>
            <w:vAlign w:val="center"/>
          </w:tcPr>
          <w:p>
            <w:pPr>
              <w:pStyle w:val="22"/>
              <w:bidi w:val="0"/>
              <w:jc w:val="center"/>
              <w:rPr>
                <w:color w:val="auto"/>
              </w:rPr>
            </w:pPr>
          </w:p>
        </w:tc>
        <w:tc>
          <w:tcPr>
            <w:tcW w:w="2149" w:type="dxa"/>
            <w:tcBorders>
              <w:tl2br w:val="nil"/>
              <w:tr2bl w:val="nil"/>
            </w:tcBorders>
            <w:vAlign w:val="center"/>
          </w:tcPr>
          <w:p>
            <w:pPr>
              <w:pStyle w:val="22"/>
              <w:bidi w:val="0"/>
              <w:jc w:val="center"/>
              <w:rPr>
                <w:color w:val="auto"/>
              </w:rPr>
            </w:pPr>
          </w:p>
        </w:tc>
        <w:tc>
          <w:tcPr>
            <w:tcW w:w="1870" w:type="dxa"/>
            <w:tcBorders>
              <w:tl2br w:val="nil"/>
              <w:tr2bl w:val="nil"/>
            </w:tcBorders>
            <w:vAlign w:val="center"/>
          </w:tcPr>
          <w:p>
            <w:pPr>
              <w:pStyle w:val="22"/>
              <w:bidi w:val="0"/>
              <w:rPr>
                <w:rFonts w:hint="eastAsia"/>
                <w:color w:val="auto"/>
                <w:lang w:val="en-US" w:eastAsia="zh-CN"/>
              </w:rPr>
            </w:pPr>
            <w:r>
              <w:rPr>
                <w:rFonts w:hint="eastAsia"/>
                <w:color w:val="auto"/>
                <w:lang w:val="en-US" w:eastAsia="zh-CN"/>
              </w:rPr>
              <w:t>0.011075</w:t>
            </w:r>
          </w:p>
        </w:tc>
      </w:tr>
    </w:tbl>
    <w:p>
      <w:pPr>
        <w:bidi w:val="0"/>
        <w:rPr>
          <w:color w:val="auto"/>
        </w:rPr>
      </w:pPr>
      <w:r>
        <w:rPr>
          <w:color w:val="auto"/>
        </w:rPr>
        <w:t>由上表可知Q＜1，则该项目环境风险潜势为Ⅰ。</w:t>
      </w:r>
    </w:p>
    <w:p>
      <w:pPr>
        <w:bidi w:val="0"/>
        <w:rPr>
          <w:color w:val="auto"/>
        </w:rPr>
      </w:pPr>
      <w:r>
        <w:rPr>
          <w:color w:val="auto"/>
        </w:rPr>
        <w:t>（3）评价等级</w:t>
      </w:r>
    </w:p>
    <w:p>
      <w:pPr>
        <w:pStyle w:val="22"/>
        <w:bidi w:val="0"/>
        <w:rPr>
          <w:b/>
          <w:bCs/>
          <w:color w:val="auto"/>
        </w:rPr>
      </w:pPr>
      <w:r>
        <w:rPr>
          <w:b/>
          <w:bCs/>
          <w:color w:val="auto"/>
        </w:rPr>
        <w:t>表5.2-</w:t>
      </w:r>
      <w:r>
        <w:rPr>
          <w:rFonts w:hint="eastAsia"/>
          <w:b/>
          <w:bCs/>
          <w:color w:val="auto"/>
          <w:lang w:val="en-US" w:eastAsia="zh-CN"/>
        </w:rPr>
        <w:t>9</w:t>
      </w:r>
      <w:r>
        <w:rPr>
          <w:b/>
          <w:bCs/>
          <w:color w:val="auto"/>
        </w:rPr>
        <w:t>环境风险评价工作级别划分表</w:t>
      </w:r>
    </w:p>
    <w:p>
      <w:pPr>
        <w:spacing w:line="51" w:lineRule="exact"/>
        <w:rPr>
          <w:color w:val="auto"/>
        </w:rPr>
      </w:pPr>
    </w:p>
    <w:tbl>
      <w:tblPr>
        <w:tblStyle w:val="23"/>
        <w:tblW w:w="852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951"/>
        <w:gridCol w:w="1701"/>
        <w:gridCol w:w="1418"/>
        <w:gridCol w:w="1984"/>
        <w:gridCol w:w="14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1951" w:type="dxa"/>
            <w:tcBorders>
              <w:tl2br w:val="nil"/>
              <w:tr2bl w:val="nil"/>
            </w:tcBorders>
            <w:vAlign w:val="center"/>
          </w:tcPr>
          <w:p>
            <w:pPr>
              <w:pStyle w:val="22"/>
              <w:bidi w:val="0"/>
              <w:jc w:val="center"/>
              <w:rPr>
                <w:color w:val="auto"/>
              </w:rPr>
            </w:pPr>
            <w:r>
              <w:rPr>
                <w:color w:val="auto"/>
              </w:rPr>
              <w:t>环境风险潜势</w:t>
            </w:r>
          </w:p>
        </w:tc>
        <w:tc>
          <w:tcPr>
            <w:tcW w:w="1701" w:type="dxa"/>
            <w:tcBorders>
              <w:tl2br w:val="nil"/>
              <w:tr2bl w:val="nil"/>
            </w:tcBorders>
            <w:vAlign w:val="center"/>
          </w:tcPr>
          <w:p>
            <w:pPr>
              <w:pStyle w:val="22"/>
              <w:bidi w:val="0"/>
              <w:jc w:val="center"/>
              <w:rPr>
                <w:color w:val="auto"/>
              </w:rPr>
            </w:pPr>
            <w:r>
              <w:rPr>
                <w:color w:val="auto"/>
              </w:rPr>
              <w:t>Ⅳ、Ⅳ+</w:t>
            </w:r>
          </w:p>
        </w:tc>
        <w:tc>
          <w:tcPr>
            <w:tcW w:w="1418" w:type="dxa"/>
            <w:tcBorders>
              <w:tl2br w:val="nil"/>
              <w:tr2bl w:val="nil"/>
            </w:tcBorders>
            <w:vAlign w:val="center"/>
          </w:tcPr>
          <w:p>
            <w:pPr>
              <w:pStyle w:val="22"/>
              <w:bidi w:val="0"/>
              <w:jc w:val="center"/>
              <w:rPr>
                <w:color w:val="auto"/>
              </w:rPr>
            </w:pPr>
            <w:r>
              <w:rPr>
                <w:color w:val="auto"/>
              </w:rPr>
              <w:t>Ⅲ</w:t>
            </w:r>
          </w:p>
        </w:tc>
        <w:tc>
          <w:tcPr>
            <w:tcW w:w="1984" w:type="dxa"/>
            <w:tcBorders>
              <w:tl2br w:val="nil"/>
              <w:tr2bl w:val="nil"/>
            </w:tcBorders>
            <w:vAlign w:val="center"/>
          </w:tcPr>
          <w:p>
            <w:pPr>
              <w:pStyle w:val="22"/>
              <w:bidi w:val="0"/>
              <w:jc w:val="center"/>
              <w:rPr>
                <w:color w:val="auto"/>
              </w:rPr>
            </w:pPr>
            <w:r>
              <w:rPr>
                <w:color w:val="auto"/>
              </w:rPr>
              <w:t>Ⅱ</w:t>
            </w:r>
          </w:p>
        </w:tc>
        <w:tc>
          <w:tcPr>
            <w:tcW w:w="1468" w:type="dxa"/>
            <w:tcBorders>
              <w:tl2br w:val="nil"/>
              <w:tr2bl w:val="nil"/>
            </w:tcBorders>
            <w:vAlign w:val="center"/>
          </w:tcPr>
          <w:p>
            <w:pPr>
              <w:pStyle w:val="22"/>
              <w:bidi w:val="0"/>
              <w:jc w:val="center"/>
              <w:rPr>
                <w:color w:val="auto"/>
              </w:rPr>
            </w:pPr>
            <w:r>
              <w:rPr>
                <w:color w:val="auto"/>
              </w:rPr>
              <w:t>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jc w:val="center"/>
        </w:trPr>
        <w:tc>
          <w:tcPr>
            <w:tcW w:w="1951" w:type="dxa"/>
            <w:tcBorders>
              <w:tl2br w:val="nil"/>
              <w:tr2bl w:val="nil"/>
            </w:tcBorders>
            <w:vAlign w:val="center"/>
          </w:tcPr>
          <w:p>
            <w:pPr>
              <w:pStyle w:val="22"/>
              <w:bidi w:val="0"/>
              <w:jc w:val="center"/>
              <w:rPr>
                <w:color w:val="auto"/>
              </w:rPr>
            </w:pPr>
            <w:r>
              <w:rPr>
                <w:color w:val="auto"/>
              </w:rPr>
              <w:t>评价工作等级</w:t>
            </w:r>
          </w:p>
        </w:tc>
        <w:tc>
          <w:tcPr>
            <w:tcW w:w="1701" w:type="dxa"/>
            <w:tcBorders>
              <w:tl2br w:val="nil"/>
              <w:tr2bl w:val="nil"/>
            </w:tcBorders>
            <w:vAlign w:val="center"/>
          </w:tcPr>
          <w:p>
            <w:pPr>
              <w:pStyle w:val="22"/>
              <w:bidi w:val="0"/>
              <w:jc w:val="center"/>
              <w:rPr>
                <w:color w:val="auto"/>
              </w:rPr>
            </w:pPr>
            <w:r>
              <w:rPr>
                <w:color w:val="auto"/>
              </w:rPr>
              <w:t>一</w:t>
            </w:r>
          </w:p>
        </w:tc>
        <w:tc>
          <w:tcPr>
            <w:tcW w:w="1418" w:type="dxa"/>
            <w:tcBorders>
              <w:tl2br w:val="nil"/>
              <w:tr2bl w:val="nil"/>
            </w:tcBorders>
            <w:vAlign w:val="center"/>
          </w:tcPr>
          <w:p>
            <w:pPr>
              <w:pStyle w:val="22"/>
              <w:bidi w:val="0"/>
              <w:jc w:val="center"/>
              <w:rPr>
                <w:color w:val="auto"/>
              </w:rPr>
            </w:pPr>
            <w:r>
              <w:rPr>
                <w:color w:val="auto"/>
              </w:rPr>
              <w:t>二</w:t>
            </w:r>
          </w:p>
        </w:tc>
        <w:tc>
          <w:tcPr>
            <w:tcW w:w="1984" w:type="dxa"/>
            <w:tcBorders>
              <w:tl2br w:val="nil"/>
              <w:tr2bl w:val="nil"/>
            </w:tcBorders>
            <w:vAlign w:val="center"/>
          </w:tcPr>
          <w:p>
            <w:pPr>
              <w:pStyle w:val="22"/>
              <w:bidi w:val="0"/>
              <w:jc w:val="center"/>
              <w:rPr>
                <w:color w:val="auto"/>
              </w:rPr>
            </w:pPr>
            <w:r>
              <w:rPr>
                <w:color w:val="auto"/>
              </w:rPr>
              <w:t>三</w:t>
            </w:r>
          </w:p>
        </w:tc>
        <w:tc>
          <w:tcPr>
            <w:tcW w:w="1468" w:type="dxa"/>
            <w:tcBorders>
              <w:tl2br w:val="nil"/>
              <w:tr2bl w:val="nil"/>
            </w:tcBorders>
            <w:vAlign w:val="center"/>
          </w:tcPr>
          <w:p>
            <w:pPr>
              <w:pStyle w:val="22"/>
              <w:bidi w:val="0"/>
              <w:jc w:val="center"/>
              <w:rPr>
                <w:color w:val="auto"/>
              </w:rPr>
            </w:pPr>
            <w:r>
              <w:rPr>
                <w:color w:val="auto"/>
              </w:rPr>
              <w:t>简单分析a</w:t>
            </w:r>
          </w:p>
        </w:tc>
      </w:tr>
    </w:tbl>
    <w:p>
      <w:pPr>
        <w:pStyle w:val="22"/>
        <w:bidi w:val="0"/>
        <w:jc w:val="left"/>
        <w:rPr>
          <w:color w:val="auto"/>
        </w:rPr>
      </w:pPr>
      <w:r>
        <w:rPr>
          <w:color w:val="auto"/>
        </w:rPr>
        <w:t>a是相对于详细评价工作内容而言，在描述危险物质、环境影响途径、环境危害后果、风险防范措施等方面给出定性的说明。见附录A。</w:t>
      </w:r>
    </w:p>
    <w:p>
      <w:pPr>
        <w:bidi w:val="0"/>
        <w:rPr>
          <w:color w:val="auto"/>
        </w:rPr>
      </w:pPr>
      <w:r>
        <w:rPr>
          <w:color w:val="auto"/>
        </w:rPr>
        <w:t>综上所述，本项目的环境风险仅做简单分析。</w:t>
      </w:r>
    </w:p>
    <w:p>
      <w:pPr>
        <w:pStyle w:val="7"/>
        <w:bidi w:val="0"/>
        <w:rPr>
          <w:color w:val="auto"/>
        </w:rPr>
      </w:pPr>
      <w:r>
        <w:rPr>
          <w:color w:val="auto"/>
        </w:rPr>
        <w:t>5.</w:t>
      </w:r>
      <w:r>
        <w:rPr>
          <w:rFonts w:hint="eastAsia"/>
          <w:color w:val="auto"/>
          <w:lang w:val="en-US" w:eastAsia="zh-CN"/>
        </w:rPr>
        <w:t>2</w:t>
      </w:r>
      <w:r>
        <w:rPr>
          <w:color w:val="auto"/>
        </w:rPr>
        <w:t>.</w:t>
      </w:r>
      <w:r>
        <w:rPr>
          <w:rFonts w:hint="eastAsia"/>
          <w:color w:val="auto"/>
          <w:lang w:val="en-US" w:eastAsia="zh-CN"/>
        </w:rPr>
        <w:t>7.2</w:t>
      </w:r>
      <w:r>
        <w:rPr>
          <w:color w:val="auto"/>
        </w:rPr>
        <w:t>环境风险识别</w:t>
      </w:r>
    </w:p>
    <w:p>
      <w:pPr>
        <w:bidi w:val="0"/>
        <w:rPr>
          <w:color w:val="auto"/>
        </w:rPr>
      </w:pPr>
      <w:r>
        <w:rPr>
          <w:color w:val="auto"/>
        </w:rPr>
        <w:t>本项目运营过程可能产生的环境风险主要有：</w:t>
      </w:r>
    </w:p>
    <w:p>
      <w:pPr>
        <w:bidi w:val="0"/>
        <w:rPr>
          <w:color w:val="auto"/>
        </w:rPr>
      </w:pPr>
      <w:r>
        <w:rPr>
          <w:color w:val="auto"/>
        </w:rPr>
        <w:t>（1）化学品贮存、使用风险</w:t>
      </w:r>
    </w:p>
    <w:p>
      <w:pPr>
        <w:bidi w:val="0"/>
        <w:rPr>
          <w:color w:val="auto"/>
          <w:highlight w:val="none"/>
        </w:rPr>
      </w:pPr>
      <w:r>
        <w:rPr>
          <w:color w:val="auto"/>
          <w:highlight w:val="none"/>
        </w:rPr>
        <w:t>本项目实验室使用无机酸碱类试剂、无机试剂、有机溶剂类、有机试剂等，均属于风险物质，乙醚消耗量500mL×</w:t>
      </w:r>
      <w:r>
        <w:rPr>
          <w:rFonts w:hint="eastAsia" w:ascii="Times New Roman" w:eastAsia="宋体"/>
          <w:color w:val="auto"/>
          <w:highlight w:val="none"/>
          <w:lang w:val="en-US" w:eastAsia="zh-CN"/>
        </w:rPr>
        <w:t>5</w:t>
      </w:r>
      <w:r>
        <w:rPr>
          <w:color w:val="auto"/>
          <w:highlight w:val="none"/>
        </w:rPr>
        <w:t>瓶、三氯甲烷年消耗量500mL×</w:t>
      </w:r>
      <w:r>
        <w:rPr>
          <w:rFonts w:hint="eastAsia" w:ascii="Times New Roman" w:eastAsia="宋体"/>
          <w:color w:val="auto"/>
          <w:highlight w:val="none"/>
          <w:lang w:val="en-US" w:eastAsia="zh-CN"/>
        </w:rPr>
        <w:t>3</w:t>
      </w:r>
      <w:r>
        <w:rPr>
          <w:color w:val="auto"/>
          <w:highlight w:val="none"/>
        </w:rPr>
        <w:t>瓶、异丙醇年消耗量500mL×</w:t>
      </w:r>
      <w:r>
        <w:rPr>
          <w:rFonts w:hint="eastAsia" w:ascii="Times New Roman" w:eastAsia="宋体"/>
          <w:color w:val="auto"/>
          <w:highlight w:val="none"/>
          <w:lang w:val="en-US" w:eastAsia="zh-CN"/>
        </w:rPr>
        <w:t>1</w:t>
      </w:r>
      <w:r>
        <w:rPr>
          <w:color w:val="auto"/>
          <w:highlight w:val="none"/>
        </w:rPr>
        <w:t>瓶，本项目非生产类企业，上述试剂使用量均较小，且分批购进储存，不构成重大危险源。</w:t>
      </w:r>
    </w:p>
    <w:p>
      <w:pPr>
        <w:bidi w:val="0"/>
        <w:rPr>
          <w:color w:val="auto"/>
        </w:rPr>
      </w:pPr>
      <w:r>
        <w:rPr>
          <w:color w:val="auto"/>
        </w:rPr>
        <w:t>（2）生物安全风险</w:t>
      </w:r>
    </w:p>
    <w:p>
      <w:pPr>
        <w:bidi w:val="0"/>
        <w:rPr>
          <w:color w:val="auto"/>
        </w:rPr>
      </w:pPr>
      <w:r>
        <w:rPr>
          <w:color w:val="auto"/>
        </w:rPr>
        <w:t>检验过程中将产生医疗废物，微生物实验室的核心问题是病原微生物的感染或污染，其感染的主要途径有接触性感染（通过体液、血液和食物的感染）和气溶胶感染（尘埃、飞沫等）。一旦病原微生物泄漏到外部环境，在环境及人群中传播将会造成事故风险。</w:t>
      </w:r>
    </w:p>
    <w:p>
      <w:pPr>
        <w:bidi w:val="0"/>
        <w:rPr>
          <w:color w:val="auto"/>
        </w:rPr>
      </w:pPr>
      <w:r>
        <w:rPr>
          <w:color w:val="auto"/>
        </w:rPr>
        <w:t>（3）污水处理站风险</w:t>
      </w:r>
    </w:p>
    <w:p>
      <w:pPr>
        <w:bidi w:val="0"/>
        <w:rPr>
          <w:color w:val="auto"/>
        </w:rPr>
      </w:pPr>
      <w:r>
        <w:rPr>
          <w:color w:val="auto"/>
        </w:rPr>
        <w:t>本项目废水若未经处理或未处理达标直接经市政污水管网排入</w:t>
      </w:r>
      <w:r>
        <w:rPr>
          <w:rFonts w:hint="eastAsia"/>
          <w:color w:val="auto"/>
          <w:lang w:val="en-US" w:eastAsia="zh-CN"/>
        </w:rPr>
        <w:t>皮山农场</w:t>
      </w:r>
      <w:r>
        <w:rPr>
          <w:color w:val="auto"/>
        </w:rPr>
        <w:t>污水处理厂，则废水中的传染性细菌、病毒等病原性微生物和有毒有害的物理化学污染物将会对</w:t>
      </w:r>
      <w:r>
        <w:rPr>
          <w:rFonts w:hint="eastAsia"/>
          <w:color w:val="auto"/>
          <w:lang w:val="en-US" w:eastAsia="zh-CN"/>
        </w:rPr>
        <w:t>皮山农场</w:t>
      </w:r>
      <w:r>
        <w:rPr>
          <w:color w:val="auto"/>
        </w:rPr>
        <w:t>污水处理厂造成影响。</w:t>
      </w:r>
    </w:p>
    <w:p>
      <w:pPr>
        <w:bidi w:val="0"/>
        <w:rPr>
          <w:color w:val="auto"/>
        </w:rPr>
      </w:pPr>
      <w:r>
        <w:rPr>
          <w:color w:val="auto"/>
        </w:rPr>
        <w:t>（4）二氧化氯发生器风险</w:t>
      </w:r>
    </w:p>
    <w:p>
      <w:pPr>
        <w:bidi w:val="0"/>
        <w:rPr>
          <w:color w:val="auto"/>
        </w:rPr>
      </w:pPr>
      <w:r>
        <w:rPr>
          <w:color w:val="auto"/>
        </w:rPr>
        <w:t>二氧化氯具有强氧化性，化学性质非常活泼，见光或受热分解时或与易被氧化的物质接触时往往会发生爆炸，当二氧化氯发生器发生泄漏，将会影响人员的身体健康、环境空气质量和废水消毒效果。</w:t>
      </w:r>
    </w:p>
    <w:p>
      <w:pPr>
        <w:pStyle w:val="7"/>
        <w:bidi w:val="0"/>
        <w:rPr>
          <w:color w:val="auto"/>
        </w:rPr>
      </w:pPr>
      <w:r>
        <w:rPr>
          <w:color w:val="auto"/>
        </w:rPr>
        <w:t>5.</w:t>
      </w:r>
      <w:r>
        <w:rPr>
          <w:rFonts w:hint="eastAsia"/>
          <w:color w:val="auto"/>
          <w:lang w:val="en-US" w:eastAsia="zh-CN"/>
        </w:rPr>
        <w:t>2</w:t>
      </w:r>
      <w:r>
        <w:rPr>
          <w:color w:val="auto"/>
        </w:rPr>
        <w:t>.</w:t>
      </w:r>
      <w:r>
        <w:rPr>
          <w:rFonts w:hint="eastAsia"/>
          <w:color w:val="auto"/>
          <w:lang w:val="en-US" w:eastAsia="zh-CN"/>
        </w:rPr>
        <w:t>7.3</w:t>
      </w:r>
      <w:r>
        <w:rPr>
          <w:color w:val="auto"/>
        </w:rPr>
        <w:t>风险事故分析</w:t>
      </w:r>
    </w:p>
    <w:p>
      <w:pPr>
        <w:bidi w:val="0"/>
        <w:rPr>
          <w:color w:val="auto"/>
        </w:rPr>
      </w:pPr>
      <w:r>
        <w:rPr>
          <w:color w:val="auto"/>
        </w:rPr>
        <w:t>（1）化学品贮存、使用过程风险事故分析</w:t>
      </w:r>
    </w:p>
    <w:p>
      <w:pPr>
        <w:bidi w:val="0"/>
        <w:rPr>
          <w:color w:val="auto"/>
        </w:rPr>
      </w:pPr>
      <w:r>
        <w:rPr>
          <w:color w:val="auto"/>
        </w:rPr>
        <w:t>本项目使用化学品由人工输送至使用点，在贮存、使用过程中可能潜在的风险事故如下：</w:t>
      </w:r>
    </w:p>
    <w:p>
      <w:pPr>
        <w:bidi w:val="0"/>
        <w:rPr>
          <w:color w:val="auto"/>
        </w:rPr>
      </w:pPr>
      <w:r>
        <w:rPr>
          <w:color w:val="auto"/>
        </w:rPr>
        <w:t>①由于贮存装置破裂或操作不当，造成泄漏，导致人员中毒和环境污染。</w:t>
      </w:r>
    </w:p>
    <w:p>
      <w:pPr>
        <w:bidi w:val="0"/>
        <w:rPr>
          <w:color w:val="auto"/>
        </w:rPr>
      </w:pPr>
      <w:r>
        <w:rPr>
          <w:color w:val="auto"/>
        </w:rPr>
        <w:t>②在使用过程中由于操作人员操作不当造成化学品泄漏。</w:t>
      </w:r>
    </w:p>
    <w:p>
      <w:pPr>
        <w:bidi w:val="0"/>
        <w:rPr>
          <w:color w:val="auto"/>
        </w:rPr>
      </w:pPr>
      <w:r>
        <w:rPr>
          <w:color w:val="auto"/>
        </w:rPr>
        <w:t>（2）生物安全风险事故分析</w:t>
      </w:r>
    </w:p>
    <w:p>
      <w:pPr>
        <w:bidi w:val="0"/>
        <w:rPr>
          <w:color w:val="auto"/>
        </w:rPr>
      </w:pPr>
      <w:r>
        <w:rPr>
          <w:color w:val="auto"/>
        </w:rPr>
        <w:t>医疗废物中可能存在细菌、病毒、化学污染物等有害物质，有医疗废物具有空间污染、传染和潜伏性污染等特征，其病毒、病菌的危害性是普通生活垃圾的几十、几百甚至上千倍，且基本没有回收再利用的价值。据检测，医疗废物中存在着大量的病毒、病菌等，医疗废物引起的交叉感染占社会交叉感染率的20%，存在极大的危险性。另外，项目实验室对危险物质、样品等的存储、使用和管理都做了相当严格的规定和防范，但是仍可能出现人为预料不到的各种因素导致风险事故的发生。类比调查国内外生物安全实验室运行情况，曾经发生了几起实验室病原微生物污染事件，造成了严重的人员伤亡和财产损失。</w:t>
      </w:r>
    </w:p>
    <w:p>
      <w:pPr>
        <w:bidi w:val="0"/>
        <w:rPr>
          <w:color w:val="auto"/>
        </w:rPr>
      </w:pPr>
      <w:r>
        <w:rPr>
          <w:color w:val="auto"/>
        </w:rPr>
        <w:t>实验室炭疽病菌泄漏事故</w:t>
      </w:r>
    </w:p>
    <w:p>
      <w:pPr>
        <w:bidi w:val="0"/>
        <w:rPr>
          <w:color w:val="auto"/>
        </w:rPr>
      </w:pPr>
      <w:r>
        <w:rPr>
          <w:color w:val="auto"/>
        </w:rPr>
        <w:t>1979年前苏联明斯克市一所军事微生物研究实验室曾经发生意外泄漏炭疽杆菌的事故，炭疽杆菌以气溶胶形式释放，通过空气进行传播，后来受影响地区出现了至少96例通过</w:t>
      </w:r>
      <w:r>
        <w:rPr>
          <w:rFonts w:hint="eastAsia" w:eastAsia="宋体"/>
          <w:color w:val="auto"/>
          <w:lang w:eastAsia="zh-CN"/>
        </w:rPr>
        <w:t>呼吸</w:t>
      </w:r>
      <w:r>
        <w:rPr>
          <w:color w:val="auto"/>
        </w:rPr>
        <w:t>感染炭疽杆菌的病例，其中69名感染者因此丧生，泄漏事故给当地环境及人群造成了严重的危害。</w:t>
      </w:r>
    </w:p>
    <w:p>
      <w:pPr>
        <w:bidi w:val="0"/>
        <w:rPr>
          <w:color w:val="auto"/>
        </w:rPr>
      </w:pPr>
      <w:r>
        <w:rPr>
          <w:color w:val="auto"/>
        </w:rPr>
        <w:t>（3）污水处理站事故排放</w:t>
      </w:r>
    </w:p>
    <w:p>
      <w:pPr>
        <w:bidi w:val="0"/>
        <w:rPr>
          <w:color w:val="auto"/>
        </w:rPr>
      </w:pPr>
      <w:r>
        <w:rPr>
          <w:color w:val="auto"/>
        </w:rPr>
        <w:t>本项目废水若未经处理或未处理达标直接经市政污水管网排入</w:t>
      </w:r>
      <w:r>
        <w:rPr>
          <w:rFonts w:hint="eastAsia"/>
          <w:color w:val="auto"/>
          <w:lang w:val="en-US" w:eastAsia="zh-CN"/>
        </w:rPr>
        <w:t>皮山农场</w:t>
      </w:r>
      <w:r>
        <w:rPr>
          <w:color w:val="auto"/>
        </w:rPr>
        <w:t>污水处理厂，则废水中的传染性细菌、病毒等病原性微生物和有毒有害的物理化学污染物将会对</w:t>
      </w:r>
      <w:r>
        <w:rPr>
          <w:rFonts w:hint="eastAsia"/>
          <w:color w:val="auto"/>
          <w:lang w:val="en-US" w:eastAsia="zh-CN"/>
        </w:rPr>
        <w:t>皮山农场</w:t>
      </w:r>
      <w:r>
        <w:rPr>
          <w:color w:val="auto"/>
        </w:rPr>
        <w:t>污水处理厂造成影响。</w:t>
      </w:r>
    </w:p>
    <w:p>
      <w:pPr>
        <w:bidi w:val="0"/>
        <w:rPr>
          <w:color w:val="auto"/>
        </w:rPr>
      </w:pPr>
      <w:r>
        <w:rPr>
          <w:color w:val="auto"/>
        </w:rPr>
        <w:t>（4）二氧化氯发生器风险</w:t>
      </w:r>
    </w:p>
    <w:p>
      <w:pPr>
        <w:spacing w:before="78" w:line="360" w:lineRule="auto"/>
        <w:ind w:left="22" w:right="45" w:firstLine="1"/>
        <w:rPr>
          <w:rFonts w:ascii="宋体" w:hAnsi="宋体" w:eastAsia="宋体" w:cs="宋体"/>
          <w:color w:val="auto"/>
          <w:sz w:val="24"/>
          <w:szCs w:val="24"/>
        </w:rPr>
      </w:pPr>
      <w:r>
        <w:rPr>
          <w:color w:val="auto"/>
        </w:rPr>
        <w:t>污水处理站使用的消毒剂是二氧化氯，采用现场二氧化氯发生器制取，无储存量，根据相关资料，二氧化氯的临时就地制造使用可大大降低其危险性。项目所需二氧化氯量较小，且二氧化氯在制取过程中一般不会发生泄漏。如果制取过程中二氧化氯泄漏，当其量达到一定程度时，可导致人员中毒。二氧化氯具有强氧化性，纯二氧化氯液体与气体性质极不稳定，在空气中二氧化氯浓度超过10%时就具有很高的爆炸性。由于二氧化氯的化学性质非常活泼，见光或受热分解时或与易被氧化的物质接触时往往会发生爆炸。燃烧分解产物为氯化氢。其次，二</w:t>
      </w:r>
      <w:r>
        <w:rPr>
          <w:rFonts w:ascii="宋体" w:hAnsi="宋体" w:eastAsia="宋体" w:cs="宋体"/>
          <w:color w:val="auto"/>
          <w:spacing w:val="-2"/>
          <w:sz w:val="24"/>
          <w:szCs w:val="24"/>
        </w:rPr>
        <w:t>氧化氯具有强烈的刺激性，人体接触二氧化氯气体后主要引起眼和呼吸道</w:t>
      </w:r>
      <w:r>
        <w:rPr>
          <w:rFonts w:hint="eastAsia" w:ascii="宋体" w:hAnsi="宋体" w:cs="宋体"/>
          <w:color w:val="auto"/>
          <w:spacing w:val="-2"/>
          <w:sz w:val="24"/>
          <w:szCs w:val="24"/>
          <w:lang w:eastAsia="zh-CN"/>
        </w:rPr>
        <w:t>刺激</w:t>
      </w:r>
      <w:r>
        <w:rPr>
          <w:rFonts w:ascii="宋体" w:hAnsi="宋体" w:eastAsia="宋体" w:cs="宋体"/>
          <w:color w:val="auto"/>
          <w:spacing w:val="-2"/>
          <w:sz w:val="24"/>
          <w:szCs w:val="24"/>
        </w:rPr>
        <w:t>，</w:t>
      </w:r>
      <w:r>
        <w:rPr>
          <w:rFonts w:ascii="宋体" w:hAnsi="宋体" w:eastAsia="宋体" w:cs="宋体"/>
          <w:color w:val="auto"/>
          <w:spacing w:val="-7"/>
          <w:sz w:val="24"/>
          <w:szCs w:val="24"/>
        </w:rPr>
        <w:t>吸入高浓度可发生肺水肿，能致死；对呼吸道产生严重损伤，可能对皮肤有刺激</w:t>
      </w:r>
      <w:r>
        <w:rPr>
          <w:rFonts w:ascii="宋体" w:hAnsi="宋体" w:eastAsia="宋体" w:cs="宋体"/>
          <w:color w:val="auto"/>
          <w:spacing w:val="-8"/>
          <w:sz w:val="24"/>
          <w:szCs w:val="24"/>
        </w:rPr>
        <w:t>性；皮肤接触或摄入二氧化氯的高浓度溶液，可能引起强烈刺激和腐蚀，长期接</w:t>
      </w:r>
      <w:r>
        <w:rPr>
          <w:rFonts w:ascii="宋体" w:hAnsi="宋体" w:eastAsia="宋体" w:cs="宋体"/>
          <w:color w:val="auto"/>
          <w:spacing w:val="-7"/>
          <w:sz w:val="24"/>
          <w:szCs w:val="24"/>
        </w:rPr>
        <w:t>触可能导致支气管炎；并且二氧化氯泄漏还会影响污水的消毒效果，使项目污水</w:t>
      </w:r>
      <w:r>
        <w:rPr>
          <w:rFonts w:ascii="宋体" w:hAnsi="宋体" w:eastAsia="宋体" w:cs="宋体"/>
          <w:color w:val="auto"/>
          <w:spacing w:val="-1"/>
          <w:sz w:val="24"/>
          <w:szCs w:val="24"/>
        </w:rPr>
        <w:t>超标排入市政污水管网。</w:t>
      </w:r>
    </w:p>
    <w:p>
      <w:pPr>
        <w:pStyle w:val="7"/>
        <w:bidi w:val="0"/>
        <w:rPr>
          <w:color w:val="auto"/>
        </w:rPr>
      </w:pPr>
      <w:r>
        <w:rPr>
          <w:color w:val="auto"/>
        </w:rPr>
        <w:t>5.</w:t>
      </w:r>
      <w:r>
        <w:rPr>
          <w:rFonts w:hint="eastAsia"/>
          <w:color w:val="auto"/>
          <w:lang w:val="en-US" w:eastAsia="zh-CN"/>
        </w:rPr>
        <w:t>2</w:t>
      </w:r>
      <w:r>
        <w:rPr>
          <w:color w:val="auto"/>
        </w:rPr>
        <w:t>.7</w:t>
      </w:r>
      <w:r>
        <w:rPr>
          <w:rFonts w:hint="eastAsia"/>
          <w:color w:val="auto"/>
          <w:lang w:val="en-US" w:eastAsia="zh-CN"/>
        </w:rPr>
        <w:t>.4</w:t>
      </w:r>
      <w:r>
        <w:rPr>
          <w:color w:val="auto"/>
        </w:rPr>
        <w:t>风险防范措施</w:t>
      </w:r>
    </w:p>
    <w:p>
      <w:pPr>
        <w:bidi w:val="0"/>
        <w:rPr>
          <w:color w:val="auto"/>
        </w:rPr>
      </w:pPr>
      <w:r>
        <w:rPr>
          <w:rFonts w:hint="eastAsia" w:eastAsia="宋体"/>
          <w:color w:val="auto"/>
          <w:lang w:eastAsia="zh-CN"/>
        </w:rPr>
        <w:t>（</w:t>
      </w:r>
      <w:r>
        <w:rPr>
          <w:rFonts w:hint="eastAsia" w:ascii="Times New Roman" w:eastAsia="宋体"/>
          <w:color w:val="auto"/>
          <w:lang w:val="en-US" w:eastAsia="zh-CN"/>
        </w:rPr>
        <w:t>1</w:t>
      </w:r>
      <w:r>
        <w:rPr>
          <w:rFonts w:hint="eastAsia" w:eastAsia="宋体"/>
          <w:color w:val="auto"/>
          <w:lang w:eastAsia="zh-CN"/>
        </w:rPr>
        <w:t>）</w:t>
      </w:r>
      <w:r>
        <w:rPr>
          <w:color w:val="auto"/>
        </w:rPr>
        <w:t>危险化学品风险防范措施</w:t>
      </w:r>
    </w:p>
    <w:p>
      <w:pPr>
        <w:bidi w:val="0"/>
        <w:rPr>
          <w:color w:val="auto"/>
        </w:rPr>
      </w:pPr>
      <w:r>
        <w:rPr>
          <w:color w:val="auto"/>
        </w:rPr>
        <w:t>对于危险化学品的购买、储存、保管、使用等需按照《危险化学品安全管理条例》的规定进行管理。危险化学品中剧毒化学品必须向当地公安机关申请领取购买凭证，凭证购买。危险化学品必须储存在危险品库，其储存方式、方法与储存数量必须符合国家有关规定，并由专人管理，危险化学品出入库必须进行核查登记，并定期检查库存，剧毒化学品的储存必须在专用仓库内单独存放，</w:t>
      </w:r>
      <w:r>
        <w:rPr>
          <w:rFonts w:hint="eastAsia" w:eastAsia="宋体"/>
          <w:color w:val="auto"/>
          <w:lang w:eastAsia="zh-CN"/>
        </w:rPr>
        <w:t>实行</w:t>
      </w:r>
      <w:r>
        <w:rPr>
          <w:color w:val="auto"/>
        </w:rPr>
        <w:t>双人收发、双人保管制度。储存单位应当将储存剧毒化学品数量、地点及管理人员的情况报当地公安部门和负责危险化学品安全监督管理综合部门备案。危险化学品</w:t>
      </w:r>
      <w:r>
        <w:rPr>
          <w:rFonts w:hint="eastAsia" w:eastAsia="宋体"/>
          <w:color w:val="auto"/>
          <w:lang w:eastAsia="zh-CN"/>
        </w:rPr>
        <w:t>仓库</w:t>
      </w:r>
      <w:r>
        <w:rPr>
          <w:color w:val="auto"/>
        </w:rPr>
        <w:t>应当符合国家相关规定（安全、消防）要求，设置明显标志。危险化学品专用仓库的储存设备和安全设施应当定期检测。而对于精神药品和麻醉药品，则根据《麻醉药品管理办法》中的要求购买、储存、使用，其检查监督由卫生部门管理。要求一般药品和毒、麻药品分开储存，专人负责药品收发、验库、使用登记、报废等工作，建立药品和药剂的管理办法，只要严格按照管理办法执行，其化学危险品不会对周围环境和人群健康造成损害。</w:t>
      </w:r>
    </w:p>
    <w:p>
      <w:pPr>
        <w:bidi w:val="0"/>
        <w:rPr>
          <w:color w:val="auto"/>
        </w:rPr>
      </w:pPr>
      <w:r>
        <w:rPr>
          <w:rFonts w:hint="eastAsia" w:eastAsia="宋体"/>
          <w:color w:val="auto"/>
          <w:lang w:eastAsia="zh-CN"/>
        </w:rPr>
        <w:t>（</w:t>
      </w:r>
      <w:r>
        <w:rPr>
          <w:rFonts w:hint="eastAsia" w:ascii="Times New Roman" w:eastAsia="宋体"/>
          <w:color w:val="auto"/>
          <w:lang w:val="en-US" w:eastAsia="zh-CN"/>
        </w:rPr>
        <w:t>2</w:t>
      </w:r>
      <w:r>
        <w:rPr>
          <w:rFonts w:hint="eastAsia" w:eastAsia="宋体"/>
          <w:color w:val="auto"/>
          <w:lang w:eastAsia="zh-CN"/>
        </w:rPr>
        <w:t>）</w:t>
      </w:r>
      <w:r>
        <w:rPr>
          <w:color w:val="auto"/>
        </w:rPr>
        <w:t>生物安全风险防范措施</w:t>
      </w:r>
    </w:p>
    <w:p>
      <w:pPr>
        <w:bidi w:val="0"/>
        <w:rPr>
          <w:color w:val="auto"/>
        </w:rPr>
      </w:pPr>
      <w:r>
        <w:rPr>
          <w:color w:val="auto"/>
        </w:rPr>
        <w:t>1）医疗废物风险防范措施</w:t>
      </w:r>
    </w:p>
    <w:p>
      <w:pPr>
        <w:bidi w:val="0"/>
        <w:rPr>
          <w:color w:val="auto"/>
        </w:rPr>
      </w:pPr>
      <w:r>
        <w:rPr>
          <w:color w:val="auto"/>
        </w:rPr>
        <w:t>发生医疗废物流失、泄漏、扩散和意外事故时，应当按照以下要求及时采取紧急处理措施：</w:t>
      </w:r>
    </w:p>
    <w:p>
      <w:pPr>
        <w:bidi w:val="0"/>
        <w:rPr>
          <w:color w:val="auto"/>
        </w:rPr>
      </w:pPr>
      <w:r>
        <w:rPr>
          <w:color w:val="auto"/>
        </w:rPr>
        <w:t>①确定流失、泄漏、扩散的医疗废物的类别、数量、发生时间、影响范围及严重程度；</w:t>
      </w:r>
    </w:p>
    <w:p>
      <w:pPr>
        <w:bidi w:val="0"/>
        <w:rPr>
          <w:color w:val="auto"/>
        </w:rPr>
      </w:pPr>
      <w:r>
        <w:rPr>
          <w:color w:val="auto"/>
        </w:rPr>
        <w:t>②组织有关人员尽快对发生医疗废物泄漏、扩散的现场进行处理；</w:t>
      </w:r>
    </w:p>
    <w:p>
      <w:pPr>
        <w:bidi w:val="0"/>
        <w:rPr>
          <w:color w:val="auto"/>
        </w:rPr>
      </w:pPr>
      <w:r>
        <w:rPr>
          <w:color w:val="auto"/>
        </w:rPr>
        <w:t>③对被医疗废物污染的区域进行处理时，应当尽可能减少对病人、医务人员、其他现场人员及环境的影响；</w:t>
      </w:r>
    </w:p>
    <w:p>
      <w:pPr>
        <w:bidi w:val="0"/>
        <w:rPr>
          <w:color w:val="auto"/>
        </w:rPr>
      </w:pPr>
      <w:r>
        <w:rPr>
          <w:color w:val="auto"/>
        </w:rPr>
        <w:t>④采取适当的安全处置措施，对泄漏物及受污染的区域、物品进行消毒或者其他无害化处置，必要时封锁污染区域，以防扩大污染；</w:t>
      </w:r>
    </w:p>
    <w:p>
      <w:pPr>
        <w:bidi w:val="0"/>
        <w:rPr>
          <w:color w:val="auto"/>
        </w:rPr>
      </w:pPr>
      <w:r>
        <w:rPr>
          <w:color w:val="auto"/>
        </w:rPr>
        <w:t>⑤对感染性废物污染区域进行消毒时，消毒工作从污染最轻区域向污染最严重的区域进行，对可能被污染的所有使用过的工具也应当进行消毒；</w:t>
      </w:r>
    </w:p>
    <w:p>
      <w:pPr>
        <w:bidi w:val="0"/>
        <w:rPr>
          <w:color w:val="auto"/>
        </w:rPr>
      </w:pPr>
      <w:r>
        <w:rPr>
          <w:color w:val="auto"/>
        </w:rPr>
        <w:t>⑥工作人员应当做好卫生安全防护后再工作；</w:t>
      </w:r>
    </w:p>
    <w:p>
      <w:pPr>
        <w:bidi w:val="0"/>
        <w:rPr>
          <w:color w:val="auto"/>
        </w:rPr>
      </w:pPr>
      <w:r>
        <w:rPr>
          <w:color w:val="auto"/>
        </w:rPr>
        <w:t>⑦固体废物集中场所、运输车辆消毒。实验室产生的医疗废物经消毒、灭活处理后暂存于实验室危废容器</w:t>
      </w:r>
      <w:r>
        <w:rPr>
          <w:rFonts w:hint="eastAsia" w:eastAsia="宋体"/>
          <w:color w:val="auto"/>
          <w:lang w:eastAsia="zh-CN"/>
        </w:rPr>
        <w:t>中</w:t>
      </w:r>
      <w:r>
        <w:rPr>
          <w:color w:val="auto"/>
        </w:rPr>
        <w:t>，集中运至为危废暂存间，委托有资质的单位进行处置，工作人员定期对危废暂存间及固体废物运输通道进行消毒处理。</w:t>
      </w:r>
    </w:p>
    <w:p>
      <w:pPr>
        <w:bidi w:val="0"/>
        <w:rPr>
          <w:color w:val="auto"/>
        </w:rPr>
      </w:pPr>
      <w:r>
        <w:rPr>
          <w:rFonts w:hint="eastAsia" w:ascii="Times New Roman" w:eastAsia="宋体"/>
          <w:color w:val="auto"/>
          <w:lang w:val="en-US" w:eastAsia="zh-CN"/>
        </w:rPr>
        <w:t>2</w:t>
      </w:r>
      <w:r>
        <w:rPr>
          <w:color w:val="auto"/>
        </w:rPr>
        <w:t>）生物安全实验室风险防范措施</w:t>
      </w:r>
    </w:p>
    <w:p>
      <w:pPr>
        <w:bidi w:val="0"/>
        <w:rPr>
          <w:color w:val="auto"/>
        </w:rPr>
      </w:pPr>
      <w:r>
        <w:rPr>
          <w:color w:val="auto"/>
        </w:rPr>
        <w:t>为降低P2实验室产生的生物风险，在实验室设计中设置一系列保护和防范措施，用以保证在各种极端条件下，病毒外逸造成环境危害的</w:t>
      </w:r>
      <w:r>
        <w:rPr>
          <w:rFonts w:hint="eastAsia" w:eastAsia="宋体"/>
          <w:color w:val="auto"/>
          <w:lang w:eastAsia="zh-CN"/>
        </w:rPr>
        <w:t>概率</w:t>
      </w:r>
      <w:r>
        <w:rPr>
          <w:color w:val="auto"/>
        </w:rPr>
        <w:t>最小。</w:t>
      </w:r>
    </w:p>
    <w:p>
      <w:pPr>
        <w:bidi w:val="0"/>
        <w:rPr>
          <w:color w:val="auto"/>
        </w:rPr>
      </w:pPr>
      <w:r>
        <w:rPr>
          <w:color w:val="auto"/>
        </w:rPr>
        <w:t>①生物通过水环境排放的风险防范措施</w:t>
      </w:r>
    </w:p>
    <w:p>
      <w:pPr>
        <w:bidi w:val="0"/>
        <w:rPr>
          <w:color w:val="auto"/>
        </w:rPr>
      </w:pPr>
      <w:r>
        <w:rPr>
          <w:color w:val="auto"/>
        </w:rPr>
        <w:t>微生物实验室不设置下水管道，主试验区产生的少量废液经高温高压灭菌消毒后作为危险废物处理。清洗废水由清洗间排入实验楼污水管道，进入污水处理站处理，有效防止排放废水中病原微生物的逃逸。采用专用灭菌化学指示卡定期检验灭菌器材的有效性，确认细菌微生物有效灭活。</w:t>
      </w:r>
    </w:p>
    <w:p>
      <w:pPr>
        <w:bidi w:val="0"/>
        <w:rPr>
          <w:color w:val="auto"/>
        </w:rPr>
      </w:pPr>
      <w:r>
        <w:rPr>
          <w:color w:val="auto"/>
        </w:rPr>
        <w:t>发生管道破裂或堵塞时，立即向总务科报告并关闭水源，向科室负责人或安全负责人报告后由总务科组织有关人员尽快维修，事后检查现场有毒有害和感染性材料的情况和环境影响，并制定纠正预防措施，事态严重时报告中心安全领导小组或生物安全管理委员会。同时注意工作人员自身防护，所有操作均要戴手套，污水处理系统发生故障时，排放下水进入应急池消毒处理。</w:t>
      </w:r>
    </w:p>
    <w:p>
      <w:pPr>
        <w:bidi w:val="0"/>
        <w:rPr>
          <w:color w:val="auto"/>
        </w:rPr>
      </w:pPr>
      <w:r>
        <w:rPr>
          <w:color w:val="auto"/>
        </w:rPr>
        <w:t>②生物通过大气环境排放的风险防范措施</w:t>
      </w:r>
    </w:p>
    <w:p>
      <w:pPr>
        <w:bidi w:val="0"/>
        <w:rPr>
          <w:color w:val="auto"/>
        </w:rPr>
      </w:pPr>
      <w:r>
        <w:rPr>
          <w:color w:val="auto"/>
        </w:rPr>
        <w:t>为防止P2实验室病原微生物逃逸，整个P2实验室设为负压状态，保证整个实验室气流组织流向固定，其压力梯度差严格遵守《生物安全实验室建筑技术规范》（</w:t>
      </w:r>
      <w:r>
        <w:rPr>
          <w:rFonts w:hint="eastAsia" w:eastAsia="宋体"/>
          <w:color w:val="auto"/>
          <w:lang w:eastAsia="zh-CN"/>
        </w:rPr>
        <w:t>GB50345-2012</w:t>
      </w:r>
      <w:r>
        <w:rPr>
          <w:color w:val="auto"/>
        </w:rPr>
        <w:t>）的要求。安全柜安装有高效空气过滤器，安全柜排气筒内置的高效过滤器对粒径0.5μm以上的气溶胶去除效率达到99.99%，排气中的病原微生物可被彻底去除，达到空气洁净度7级。实验室内各入口处显著位置均设置室内压力显示装置，当负压值偏离控制区间时，则通过声、光等手段向实验室内外的人员发出警报。为防止断电引起排风系统不工作，实验室供电由市政电网双回路供应与发电机室连接，保证所有实验室不断电。为防止生物安全实验室病原微生物通过实验室排气泄露，实验室排风系统设置扫描检漏排风高效过滤装置，实现排风效果的及时扫描监测，确保达到净化效果后方可排入大气。排风系统一用一备，一旦运行系统出现问题，可自动切换，高效过滤装置同时进行定期检测。生物安全柜、实验室中高效过滤器的更换依据室内压差的变化来确定，通过监控系统监视高效过滤器的过滤效率，并对异常情况发出警报，提醒工作人员及时更换，避免在更换高效过滤器时造成实验室生物因子的泄漏，必须根据高效过滤器更换操作规程进行作业。在更换前，废弃的过滤材料均先进行在线消毒后，再拆除，废弃的过滤材料暂存于危废暂存间，定期交由有资质的单位进行处置。</w:t>
      </w:r>
    </w:p>
    <w:p>
      <w:pPr>
        <w:bidi w:val="0"/>
        <w:rPr>
          <w:color w:val="auto"/>
        </w:rPr>
      </w:pPr>
      <w:r>
        <w:rPr>
          <w:color w:val="auto"/>
        </w:rPr>
        <w:t>③生物通过固体废物排放的风险防范措施</w:t>
      </w:r>
    </w:p>
    <w:p>
      <w:pPr>
        <w:bidi w:val="0"/>
        <w:rPr>
          <w:color w:val="auto"/>
        </w:rPr>
      </w:pPr>
      <w:r>
        <w:rPr>
          <w:color w:val="auto"/>
        </w:rPr>
        <w:t>在污染区和半污染物集中收集，并及时用高压灭菌器和高温高压锅两次消毒后传出实验室，然后采用高密度塑料袋再次密封包装，表面化学消毒，放入危废暂存箱，存放在危废暂存间，委托有资质的单位进行处置。所有记录一律通过电脑和电传机数字化传递，手写记录纸不准携带出实验室。</w:t>
      </w:r>
    </w:p>
    <w:p>
      <w:pPr>
        <w:bidi w:val="0"/>
        <w:rPr>
          <w:color w:val="auto"/>
        </w:rPr>
      </w:pPr>
      <w:r>
        <w:rPr>
          <w:color w:val="auto"/>
        </w:rPr>
        <w:t>④火险</w:t>
      </w:r>
    </w:p>
    <w:p>
      <w:pPr>
        <w:bidi w:val="0"/>
        <w:rPr>
          <w:color w:val="auto"/>
        </w:rPr>
      </w:pPr>
      <w:r>
        <w:rPr>
          <w:color w:val="auto"/>
        </w:rPr>
        <w:t>发生局部小范围火灾要立即扑灭，事后检查现场有毒有害和感染性材料情况和环境影响，写出事故报告并分析原因。发生局部火灾扑灭不及，立即按下报警系统，时间允许时立即切断电源，就近沿安全通道逃离，并立即拨打119报警。</w:t>
      </w:r>
    </w:p>
    <w:p>
      <w:pPr>
        <w:bidi w:val="0"/>
        <w:rPr>
          <w:color w:val="auto"/>
        </w:rPr>
      </w:pPr>
      <w:r>
        <w:rPr>
          <w:color w:val="auto"/>
        </w:rPr>
        <w:t>⑤实验室人员携带病毒的风险防范措施</w:t>
      </w:r>
    </w:p>
    <w:p>
      <w:pPr>
        <w:bidi w:val="0"/>
        <w:rPr>
          <w:color w:val="auto"/>
        </w:rPr>
      </w:pPr>
      <w:r>
        <w:rPr>
          <w:color w:val="auto"/>
        </w:rPr>
        <w:t>A</w:t>
      </w:r>
      <w:r>
        <w:rPr>
          <w:rFonts w:hint="eastAsia" w:eastAsia="宋体"/>
          <w:color w:val="auto"/>
          <w:lang w:eastAsia="zh-CN"/>
        </w:rPr>
        <w:t>.</w:t>
      </w:r>
      <w:r>
        <w:rPr>
          <w:color w:val="auto"/>
        </w:rPr>
        <w:t>加强人员培训。实验人员、辅助人员、后勤保障人员上岗前须接受严格的生物安全以及相关操作的技术培训，包括实验室设施、设备、个体防护、操作等培训，熟悉并严格遵守实验室的管理要求。</w:t>
      </w:r>
    </w:p>
    <w:p>
      <w:pPr>
        <w:bidi w:val="0"/>
        <w:rPr>
          <w:color w:val="auto"/>
        </w:rPr>
      </w:pPr>
      <w:r>
        <w:rPr>
          <w:color w:val="auto"/>
        </w:rPr>
        <w:t>B</w:t>
      </w:r>
      <w:r>
        <w:rPr>
          <w:rFonts w:hint="eastAsia" w:eastAsia="宋体"/>
          <w:color w:val="auto"/>
          <w:lang w:eastAsia="zh-CN"/>
        </w:rPr>
        <w:t>.</w:t>
      </w:r>
      <w:r>
        <w:rPr>
          <w:color w:val="auto"/>
        </w:rPr>
        <w:t>严格准入制度。未经培训并获得实验室安全负责人的许可，任何人员严禁进入实验室。对从事实验活动的人员，必须在身体状况良好的情况下，才能进入微生物实验室工作。出现下列情况不能进入：身体出现开放性损伤；患发热性疾病；感冒、上呼吸道感染或其他导致抵抗力下降的情况；妊娠、已经在实验室控制区域内连续工作4h以上，或其他原因造成的疲劳状态。</w:t>
      </w:r>
    </w:p>
    <w:p>
      <w:pPr>
        <w:bidi w:val="0"/>
        <w:rPr>
          <w:color w:val="auto"/>
        </w:rPr>
      </w:pPr>
      <w:r>
        <w:rPr>
          <w:color w:val="auto"/>
        </w:rPr>
        <w:t>C</w:t>
      </w:r>
      <w:r>
        <w:rPr>
          <w:rFonts w:hint="eastAsia" w:eastAsia="宋体"/>
          <w:color w:val="auto"/>
          <w:lang w:eastAsia="zh-CN"/>
        </w:rPr>
        <w:t>.</w:t>
      </w:r>
      <w:r>
        <w:rPr>
          <w:color w:val="auto"/>
        </w:rPr>
        <w:t>严格按照标准操作程序开展工作。实验室从事的下列实验活动必须在微生物实验室中的生物安全柜中操作：病毒标本的分装、病毒分离、病毒分离物的鉴定、病毒核酸的提取等。实验操作应当按良好的实验室操作规范操作，尽量避免产生气溶胶。实验室严格遵守人流、物流分开的原则，未经许可，任何人不得将病毒标本、病毒分离物等带出实验室。</w:t>
      </w:r>
    </w:p>
    <w:p>
      <w:pPr>
        <w:bidi w:val="0"/>
        <w:rPr>
          <w:color w:val="auto"/>
        </w:rPr>
      </w:pPr>
      <w:r>
        <w:rPr>
          <w:color w:val="auto"/>
        </w:rPr>
        <w:t>D</w:t>
      </w:r>
      <w:r>
        <w:rPr>
          <w:rFonts w:hint="eastAsia" w:eastAsia="宋体"/>
          <w:color w:val="auto"/>
          <w:lang w:eastAsia="zh-CN"/>
        </w:rPr>
        <w:t>.</w:t>
      </w:r>
      <w:r>
        <w:rPr>
          <w:color w:val="auto"/>
        </w:rPr>
        <w:t>开展实验活动或实验室后勤维护等人员进出实验室，严格进行个人防护。</w:t>
      </w:r>
    </w:p>
    <w:p>
      <w:pPr>
        <w:bidi w:val="0"/>
        <w:rPr>
          <w:color w:val="auto"/>
        </w:rPr>
      </w:pPr>
      <w:r>
        <w:rPr>
          <w:color w:val="auto"/>
        </w:rPr>
        <w:t>E</w:t>
      </w:r>
      <w:r>
        <w:rPr>
          <w:rFonts w:hint="eastAsia" w:eastAsia="宋体"/>
          <w:color w:val="auto"/>
          <w:lang w:eastAsia="zh-CN"/>
        </w:rPr>
        <w:t>.</w:t>
      </w:r>
      <w:r>
        <w:rPr>
          <w:color w:val="auto"/>
        </w:rPr>
        <w:t>严格实验室消毒措施。对病毒、细菌标本、分离物、可能被污染的实验耗材等进行二次消毒处理。可在污染区先进行高压预消毒后，再经高压锅消毒方可退出实验室，任何从实验室退出的物品均应做消毒处理。实验操作完成，对实验室设备等应及时使用化学消毒剂进行消毒处理后并清洁。</w:t>
      </w:r>
    </w:p>
    <w:p>
      <w:pPr>
        <w:bidi w:val="0"/>
        <w:rPr>
          <w:color w:val="auto"/>
        </w:rPr>
      </w:pPr>
      <w:r>
        <w:rPr>
          <w:color w:val="auto"/>
        </w:rPr>
        <w:t>F</w:t>
      </w:r>
      <w:r>
        <w:rPr>
          <w:rFonts w:hint="eastAsia" w:eastAsia="宋体"/>
          <w:color w:val="auto"/>
          <w:lang w:eastAsia="zh-CN"/>
        </w:rPr>
        <w:t>.</w:t>
      </w:r>
      <w:r>
        <w:rPr>
          <w:color w:val="auto"/>
        </w:rPr>
        <w:t>建立人员的健康监测档案。对实验操作人员、后勤辅助人员等均进行健康监测，实验活动结束后进行一段时间的病症监测。</w:t>
      </w:r>
    </w:p>
    <w:p>
      <w:pPr>
        <w:bidi w:val="0"/>
        <w:rPr>
          <w:color w:val="auto"/>
        </w:rPr>
      </w:pPr>
      <w:r>
        <w:rPr>
          <w:color w:val="auto"/>
        </w:rPr>
        <w:t>G</w:t>
      </w:r>
      <w:r>
        <w:rPr>
          <w:rFonts w:hint="eastAsia" w:eastAsia="宋体"/>
          <w:color w:val="auto"/>
          <w:lang w:eastAsia="zh-CN"/>
        </w:rPr>
        <w:t>.</w:t>
      </w:r>
      <w:r>
        <w:rPr>
          <w:color w:val="auto"/>
        </w:rPr>
        <w:t>实验室内部配备应急设备和设施，如洗眼器、喷淋装置等。确保实验室应急逃生通道能正常使用。</w:t>
      </w:r>
    </w:p>
    <w:p>
      <w:pPr>
        <w:bidi w:val="0"/>
        <w:rPr>
          <w:color w:val="auto"/>
        </w:rPr>
      </w:pPr>
      <w:r>
        <w:rPr>
          <w:color w:val="auto"/>
        </w:rPr>
        <w:t>H</w:t>
      </w:r>
      <w:r>
        <w:rPr>
          <w:rFonts w:hint="eastAsia" w:eastAsia="宋体"/>
          <w:color w:val="auto"/>
          <w:lang w:eastAsia="zh-CN"/>
        </w:rPr>
        <w:t>.</w:t>
      </w:r>
      <w:r>
        <w:rPr>
          <w:color w:val="auto"/>
        </w:rPr>
        <w:t>实验室储备一定量的预防性药物，如盐酸金刚烷胺达菲等，并经常检查、更换，保证药物的有效期。进入实验室的工作人员应当注射流感疫苗。</w:t>
      </w:r>
    </w:p>
    <w:p>
      <w:pPr>
        <w:bidi w:val="0"/>
        <w:rPr>
          <w:color w:val="auto"/>
        </w:rPr>
      </w:pPr>
      <w:r>
        <w:rPr>
          <w:color w:val="auto"/>
        </w:rPr>
        <w:t>L</w:t>
      </w:r>
      <w:r>
        <w:rPr>
          <w:rFonts w:hint="eastAsia" w:eastAsia="宋体"/>
          <w:color w:val="auto"/>
          <w:lang w:eastAsia="zh-CN"/>
        </w:rPr>
        <w:t>.</w:t>
      </w:r>
      <w:r>
        <w:rPr>
          <w:color w:val="auto"/>
        </w:rPr>
        <w:t>意外事故的处理。对各种实验室意外事故的处理方法进行规定，任何人员进入实验室前，应当熟悉意外事故的处理方法。</w:t>
      </w:r>
    </w:p>
    <w:p>
      <w:pPr>
        <w:bidi w:val="0"/>
        <w:rPr>
          <w:color w:val="auto"/>
        </w:rPr>
      </w:pPr>
      <w:r>
        <w:rPr>
          <w:color w:val="auto"/>
        </w:rPr>
        <w:t>J</w:t>
      </w:r>
      <w:r>
        <w:rPr>
          <w:rFonts w:hint="eastAsia" w:eastAsia="宋体"/>
          <w:color w:val="auto"/>
          <w:lang w:eastAsia="zh-CN"/>
        </w:rPr>
        <w:t>.</w:t>
      </w:r>
      <w:r>
        <w:rPr>
          <w:color w:val="auto"/>
        </w:rPr>
        <w:t>封闭被病原微生物污染的实验室或者可能造成病原微生物扩散的场所。</w:t>
      </w:r>
    </w:p>
    <w:p>
      <w:pPr>
        <w:bidi w:val="0"/>
        <w:rPr>
          <w:color w:val="auto"/>
        </w:rPr>
      </w:pPr>
      <w:r>
        <w:rPr>
          <w:rFonts w:hint="eastAsia" w:eastAsia="宋体"/>
          <w:color w:val="auto"/>
          <w:lang w:eastAsia="zh-CN"/>
        </w:rPr>
        <w:t>（</w:t>
      </w:r>
      <w:r>
        <w:rPr>
          <w:rFonts w:hint="eastAsia" w:ascii="Times New Roman" w:eastAsia="宋体"/>
          <w:color w:val="auto"/>
          <w:lang w:val="en-US" w:eastAsia="zh-CN"/>
        </w:rPr>
        <w:t>3</w:t>
      </w:r>
      <w:r>
        <w:rPr>
          <w:rFonts w:hint="eastAsia" w:eastAsia="宋体"/>
          <w:color w:val="auto"/>
          <w:lang w:eastAsia="zh-CN"/>
        </w:rPr>
        <w:t>）</w:t>
      </w:r>
      <w:r>
        <w:rPr>
          <w:color w:val="auto"/>
        </w:rPr>
        <w:t>医疗废水事故排放措施</w:t>
      </w:r>
    </w:p>
    <w:p>
      <w:pPr>
        <w:bidi w:val="0"/>
        <w:rPr>
          <w:color w:val="auto"/>
        </w:rPr>
      </w:pPr>
      <w:r>
        <w:rPr>
          <w:rFonts w:hint="eastAsia" w:ascii="Times New Roman" w:eastAsia="宋体"/>
          <w:color w:val="auto"/>
          <w:lang w:val="en-US" w:eastAsia="zh-CN"/>
        </w:rPr>
        <w:t>①</w:t>
      </w:r>
      <w:r>
        <w:rPr>
          <w:color w:val="auto"/>
        </w:rPr>
        <w:t>为确保污水处理站正常、不出现停止运行的情况，防止环境风险的发生，需对污水处理站提供双路电源和应急电源，保证污水处理站用电不间断，重复的设备需有备用，并备有应急用的消毒剂，在万一设备停运情况下，直接人工投加消毒剂。平日加强对机械设备的维护，一旦发生事故应及时进行维修。</w:t>
      </w:r>
    </w:p>
    <w:p>
      <w:pPr>
        <w:bidi w:val="0"/>
        <w:rPr>
          <w:color w:val="auto"/>
        </w:rPr>
      </w:pPr>
      <w:r>
        <w:rPr>
          <w:rFonts w:hint="eastAsia" w:ascii="Times New Roman" w:eastAsia="宋体"/>
          <w:color w:val="auto"/>
          <w:lang w:val="en-US" w:eastAsia="zh-CN"/>
        </w:rPr>
        <w:t>②</w:t>
      </w:r>
      <w:r>
        <w:rPr>
          <w:color w:val="auto"/>
        </w:rPr>
        <w:t>污水处理站处理工艺、加药系统和流量控制系统均安装自动化检测仪器，发生故障时，可及时报警并停止向外排放废水。</w:t>
      </w:r>
    </w:p>
    <w:p>
      <w:pPr>
        <w:bidi w:val="0"/>
        <w:rPr>
          <w:color w:val="auto"/>
        </w:rPr>
      </w:pPr>
      <w:r>
        <w:rPr>
          <w:rFonts w:hint="eastAsia" w:ascii="Times New Roman" w:eastAsia="宋体"/>
          <w:color w:val="auto"/>
          <w:lang w:val="en-US" w:eastAsia="zh-CN"/>
        </w:rPr>
        <w:t>③</w:t>
      </w:r>
      <w:r>
        <w:rPr>
          <w:color w:val="auto"/>
        </w:rPr>
        <w:t>参照《医院污水处理工程技术规范》（HJ2029-2013），医院污水处理工程应设置事故池，以贮存处理系统事故或其他突发事件污水。项目设置事故应急池，有效容积</w:t>
      </w:r>
      <w:r>
        <w:rPr>
          <w:rFonts w:hint="eastAsia" w:ascii="Times New Roman" w:eastAsia="宋体"/>
          <w:color w:val="auto"/>
          <w:lang w:val="en-US" w:eastAsia="zh-CN"/>
        </w:rPr>
        <w:t>10</w:t>
      </w:r>
      <w:r>
        <w:rPr>
          <w:color w:val="auto"/>
        </w:rPr>
        <w:t>m</w:t>
      </w:r>
      <w:r>
        <w:rPr>
          <w:color w:val="auto"/>
          <w:vertAlign w:val="superscript"/>
        </w:rPr>
        <w:t>3</w:t>
      </w:r>
      <w:r>
        <w:rPr>
          <w:color w:val="auto"/>
        </w:rPr>
        <w:t>，可储存大于8小时的污水量。污水处理设施出现故障后，</w:t>
      </w:r>
    </w:p>
    <w:p>
      <w:pPr>
        <w:bidi w:val="0"/>
        <w:rPr>
          <w:color w:val="auto"/>
        </w:rPr>
      </w:pPr>
      <w:r>
        <w:rPr>
          <w:color w:val="auto"/>
        </w:rPr>
        <w:t>排放的废水进入事故应急池，暂不外排，并及时派人检修，待污水处理设施正常运行后再排入污水处理站进行处理。</w:t>
      </w:r>
    </w:p>
    <w:p>
      <w:pPr>
        <w:bidi w:val="0"/>
        <w:rPr>
          <w:color w:val="auto"/>
        </w:rPr>
      </w:pPr>
      <w:r>
        <w:rPr>
          <w:rFonts w:hint="eastAsia" w:ascii="Times New Roman" w:eastAsia="宋体"/>
          <w:color w:val="auto"/>
          <w:lang w:val="en-US" w:eastAsia="zh-CN"/>
        </w:rPr>
        <w:t>④</w:t>
      </w:r>
      <w:r>
        <w:rPr>
          <w:color w:val="auto"/>
        </w:rPr>
        <w:t>定期巡检、调节、保养、维修。及时发现有可能引起事故的异常运行苗头，消除事故隐患。</w:t>
      </w:r>
    </w:p>
    <w:p>
      <w:pPr>
        <w:bidi w:val="0"/>
        <w:rPr>
          <w:color w:val="auto"/>
        </w:rPr>
      </w:pPr>
      <w:r>
        <w:rPr>
          <w:rFonts w:hint="eastAsia" w:ascii="Times New Roman" w:eastAsia="宋体"/>
          <w:color w:val="auto"/>
          <w:lang w:val="en-US" w:eastAsia="zh-CN"/>
        </w:rPr>
        <w:t>⑤</w:t>
      </w:r>
      <w:r>
        <w:rPr>
          <w:color w:val="auto"/>
        </w:rPr>
        <w:t>建立安全操作规程，在平时严格按规程办事，定期对污水处理站人员的理论知识和操作技能进行培训和检查。</w:t>
      </w:r>
    </w:p>
    <w:p>
      <w:pPr>
        <w:bidi w:val="0"/>
        <w:rPr>
          <w:color w:val="auto"/>
        </w:rPr>
      </w:pPr>
      <w:r>
        <w:rPr>
          <w:rFonts w:hint="eastAsia" w:ascii="Times New Roman" w:eastAsia="宋体"/>
          <w:color w:val="auto"/>
          <w:lang w:val="en-US" w:eastAsia="zh-CN"/>
        </w:rPr>
        <w:t>⑥</w:t>
      </w:r>
      <w:r>
        <w:rPr>
          <w:color w:val="auto"/>
        </w:rPr>
        <w:t>加强运行管理和水质监测工作。</w:t>
      </w:r>
    </w:p>
    <w:p>
      <w:pPr>
        <w:bidi w:val="0"/>
        <w:rPr>
          <w:color w:val="auto"/>
        </w:rPr>
      </w:pPr>
      <w:r>
        <w:rPr>
          <w:rFonts w:hint="eastAsia" w:ascii="Times New Roman" w:eastAsia="宋体"/>
          <w:color w:val="auto"/>
          <w:lang w:val="en-US" w:eastAsia="zh-CN"/>
        </w:rPr>
        <w:t>⑦</w:t>
      </w:r>
      <w:r>
        <w:rPr>
          <w:color w:val="auto"/>
        </w:rPr>
        <w:t>建立安全责任制度，在日常的工作管理方面建立一套完整的制度，落实到人、明确责任、定期检查。制定风险事故应急措施，明确事故发生时的应急、抢险操作制度。</w:t>
      </w:r>
    </w:p>
    <w:p>
      <w:pPr>
        <w:bidi w:val="0"/>
        <w:rPr>
          <w:color w:val="auto"/>
        </w:rPr>
      </w:pPr>
      <w:r>
        <w:rPr>
          <w:rFonts w:hint="eastAsia" w:eastAsia="宋体"/>
          <w:color w:val="auto"/>
          <w:lang w:eastAsia="zh-CN"/>
        </w:rPr>
        <w:t>（</w:t>
      </w:r>
      <w:r>
        <w:rPr>
          <w:rFonts w:hint="eastAsia" w:ascii="Times New Roman" w:eastAsia="宋体"/>
          <w:color w:val="auto"/>
          <w:lang w:val="en-US" w:eastAsia="zh-CN"/>
        </w:rPr>
        <w:t>4</w:t>
      </w:r>
      <w:r>
        <w:rPr>
          <w:rFonts w:hint="eastAsia" w:eastAsia="宋体"/>
          <w:color w:val="auto"/>
          <w:lang w:eastAsia="zh-CN"/>
        </w:rPr>
        <w:t>）</w:t>
      </w:r>
      <w:r>
        <w:rPr>
          <w:color w:val="auto"/>
        </w:rPr>
        <w:t>二氧化氯发生器风险防范措施</w:t>
      </w:r>
    </w:p>
    <w:p>
      <w:pPr>
        <w:bidi w:val="0"/>
        <w:rPr>
          <w:color w:val="auto"/>
        </w:rPr>
      </w:pPr>
      <w:r>
        <w:rPr>
          <w:rFonts w:hint="eastAsia" w:ascii="Times New Roman" w:eastAsia="宋体"/>
          <w:color w:val="auto"/>
          <w:lang w:val="en-US" w:eastAsia="zh-CN"/>
        </w:rPr>
        <w:t>①</w:t>
      </w:r>
      <w:r>
        <w:rPr>
          <w:color w:val="auto"/>
        </w:rPr>
        <w:t>加强二氧化氯发生器的管理，定期检查，保证其正常运行。</w:t>
      </w:r>
    </w:p>
    <w:p>
      <w:pPr>
        <w:bidi w:val="0"/>
        <w:rPr>
          <w:color w:val="auto"/>
        </w:rPr>
      </w:pPr>
      <w:r>
        <w:rPr>
          <w:rFonts w:hint="eastAsia" w:ascii="Times New Roman" w:eastAsia="宋体"/>
          <w:color w:val="auto"/>
          <w:lang w:val="en-US" w:eastAsia="zh-CN"/>
        </w:rPr>
        <w:t>②</w:t>
      </w:r>
      <w:r>
        <w:rPr>
          <w:color w:val="auto"/>
        </w:rPr>
        <w:t>对操作人员进行安全和技能培训，确保对二氧化氯发生器的正确操作和维护。</w:t>
      </w:r>
    </w:p>
    <w:p>
      <w:pPr>
        <w:bidi w:val="0"/>
        <w:rPr>
          <w:color w:val="auto"/>
        </w:rPr>
      </w:pPr>
      <w:r>
        <w:rPr>
          <w:rFonts w:hint="eastAsia" w:ascii="Times New Roman" w:eastAsia="宋体"/>
          <w:color w:val="auto"/>
          <w:lang w:val="en-US" w:eastAsia="zh-CN"/>
        </w:rPr>
        <w:t>③</w:t>
      </w:r>
      <w:r>
        <w:rPr>
          <w:color w:val="auto"/>
        </w:rPr>
        <w:t>在工程设计、建设和运行后的管理上应考虑可能发生的事故风险，尤其在设备选型上充分考虑安全措施。</w:t>
      </w:r>
    </w:p>
    <w:p>
      <w:pPr>
        <w:bidi w:val="0"/>
        <w:rPr>
          <w:color w:val="auto"/>
        </w:rPr>
      </w:pPr>
      <w:r>
        <w:rPr>
          <w:rFonts w:hint="eastAsia" w:ascii="Times New Roman" w:eastAsia="宋体"/>
          <w:color w:val="auto"/>
          <w:lang w:val="en-US" w:eastAsia="zh-CN"/>
        </w:rPr>
        <w:t>④</w:t>
      </w:r>
      <w:r>
        <w:rPr>
          <w:color w:val="auto"/>
        </w:rPr>
        <w:t>工作现场严禁烟火、禁止吸烟。</w:t>
      </w:r>
    </w:p>
    <w:p>
      <w:pPr>
        <w:bidi w:val="0"/>
        <w:rPr>
          <w:color w:val="auto"/>
        </w:rPr>
      </w:pPr>
      <w:r>
        <w:rPr>
          <w:rFonts w:hint="eastAsia" w:ascii="Times New Roman" w:eastAsia="宋体"/>
          <w:color w:val="auto"/>
          <w:lang w:val="en-US" w:eastAsia="zh-CN"/>
        </w:rPr>
        <w:t>⑤</w:t>
      </w:r>
      <w:r>
        <w:rPr>
          <w:color w:val="auto"/>
        </w:rPr>
        <w:t>做好制取场地内的通风措施。</w:t>
      </w:r>
    </w:p>
    <w:p>
      <w:pPr>
        <w:pStyle w:val="7"/>
        <w:bidi w:val="0"/>
        <w:rPr>
          <w:color w:val="auto"/>
        </w:rPr>
      </w:pPr>
      <w:r>
        <w:rPr>
          <w:color w:val="auto"/>
        </w:rPr>
        <w:t>5.</w:t>
      </w:r>
      <w:r>
        <w:rPr>
          <w:rFonts w:hint="eastAsia"/>
          <w:color w:val="auto"/>
          <w:lang w:val="en-US" w:eastAsia="zh-CN"/>
        </w:rPr>
        <w:t>2</w:t>
      </w:r>
      <w:r>
        <w:rPr>
          <w:color w:val="auto"/>
        </w:rPr>
        <w:t>.</w:t>
      </w:r>
      <w:r>
        <w:rPr>
          <w:rFonts w:hint="eastAsia"/>
          <w:color w:val="auto"/>
          <w:lang w:val="en-US" w:eastAsia="zh-CN"/>
        </w:rPr>
        <w:t>7.5</w:t>
      </w:r>
      <w:r>
        <w:rPr>
          <w:color w:val="auto"/>
        </w:rPr>
        <w:t>环境风险应急预案</w:t>
      </w:r>
    </w:p>
    <w:p>
      <w:pPr>
        <w:bidi w:val="0"/>
        <w:rPr>
          <w:color w:val="auto"/>
        </w:rPr>
      </w:pPr>
      <w:r>
        <w:rPr>
          <w:color w:val="auto"/>
        </w:rPr>
        <w:t>根据项目特点，本项目应编制事故</w:t>
      </w:r>
      <w:r>
        <w:rPr>
          <w:rFonts w:hint="eastAsia"/>
          <w:color w:val="auto"/>
          <w:lang w:eastAsia="zh-CN"/>
        </w:rPr>
        <w:t>应急</w:t>
      </w:r>
      <w:r>
        <w:rPr>
          <w:color w:val="auto"/>
        </w:rPr>
        <w:t>预案，突发事故应急预案要求见表5</w:t>
      </w:r>
      <w:r>
        <w:rPr>
          <w:rFonts w:hint="eastAsia"/>
          <w:color w:val="auto"/>
          <w:lang w:val="en-US" w:eastAsia="zh-CN"/>
        </w:rPr>
        <w:t>.2-10</w:t>
      </w:r>
      <w:r>
        <w:rPr>
          <w:color w:val="auto"/>
        </w:rPr>
        <w:t>。</w:t>
      </w:r>
    </w:p>
    <w:p>
      <w:pPr>
        <w:pStyle w:val="22"/>
        <w:bidi w:val="0"/>
        <w:rPr>
          <w:b/>
          <w:bCs/>
          <w:color w:val="auto"/>
        </w:rPr>
      </w:pPr>
      <w:r>
        <w:rPr>
          <w:b/>
          <w:bCs/>
          <w:color w:val="auto"/>
        </w:rPr>
        <w:t>表</w:t>
      </w:r>
      <w:r>
        <w:rPr>
          <w:rFonts w:hint="eastAsia"/>
          <w:b/>
          <w:bCs/>
          <w:color w:val="auto"/>
          <w:lang w:val="en-US" w:eastAsia="zh-CN"/>
        </w:rPr>
        <w:t>5.2-10</w:t>
      </w:r>
      <w:r>
        <w:rPr>
          <w:b/>
          <w:bCs/>
          <w:color w:val="auto"/>
        </w:rPr>
        <w:t>突发事故应急预案内容</w:t>
      </w:r>
    </w:p>
    <w:tbl>
      <w:tblPr>
        <w:tblStyle w:val="23"/>
        <w:tblW w:w="848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26"/>
        <w:gridCol w:w="2812"/>
        <w:gridCol w:w="504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jc w:val="center"/>
        </w:trPr>
        <w:tc>
          <w:tcPr>
            <w:tcW w:w="626" w:type="dxa"/>
            <w:vAlign w:val="center"/>
          </w:tcPr>
          <w:p>
            <w:pPr>
              <w:pStyle w:val="22"/>
              <w:bidi w:val="0"/>
              <w:jc w:val="center"/>
              <w:rPr>
                <w:b/>
                <w:bCs/>
                <w:color w:val="auto"/>
              </w:rPr>
            </w:pPr>
            <w:r>
              <w:rPr>
                <w:b/>
                <w:bCs/>
                <w:color w:val="auto"/>
              </w:rPr>
              <w:t>序号</w:t>
            </w:r>
          </w:p>
        </w:tc>
        <w:tc>
          <w:tcPr>
            <w:tcW w:w="2812" w:type="dxa"/>
            <w:vAlign w:val="center"/>
          </w:tcPr>
          <w:p>
            <w:pPr>
              <w:pStyle w:val="22"/>
              <w:bidi w:val="0"/>
              <w:jc w:val="center"/>
              <w:rPr>
                <w:b/>
                <w:bCs/>
                <w:color w:val="auto"/>
              </w:rPr>
            </w:pPr>
            <w:r>
              <w:rPr>
                <w:b/>
                <w:bCs/>
                <w:color w:val="auto"/>
              </w:rPr>
              <w:t>项目</w:t>
            </w:r>
          </w:p>
        </w:tc>
        <w:tc>
          <w:tcPr>
            <w:tcW w:w="5042" w:type="dxa"/>
            <w:vAlign w:val="center"/>
          </w:tcPr>
          <w:p>
            <w:pPr>
              <w:pStyle w:val="22"/>
              <w:bidi w:val="0"/>
              <w:jc w:val="center"/>
              <w:rPr>
                <w:b/>
                <w:bCs/>
                <w:color w:val="auto"/>
              </w:rPr>
            </w:pPr>
            <w:r>
              <w:rPr>
                <w:b/>
                <w:bCs/>
                <w:color w:val="auto"/>
              </w:rPr>
              <w:t>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0" w:hRule="atLeast"/>
          <w:jc w:val="center"/>
        </w:trPr>
        <w:tc>
          <w:tcPr>
            <w:tcW w:w="626" w:type="dxa"/>
            <w:vAlign w:val="center"/>
          </w:tcPr>
          <w:p>
            <w:pPr>
              <w:pStyle w:val="22"/>
              <w:bidi w:val="0"/>
              <w:jc w:val="center"/>
              <w:rPr>
                <w:color w:val="auto"/>
              </w:rPr>
            </w:pPr>
            <w:r>
              <w:rPr>
                <w:color w:val="auto"/>
              </w:rPr>
              <w:t>1</w:t>
            </w:r>
          </w:p>
        </w:tc>
        <w:tc>
          <w:tcPr>
            <w:tcW w:w="2812" w:type="dxa"/>
            <w:vAlign w:val="center"/>
          </w:tcPr>
          <w:p>
            <w:pPr>
              <w:pStyle w:val="22"/>
              <w:bidi w:val="0"/>
              <w:jc w:val="center"/>
              <w:rPr>
                <w:color w:val="auto"/>
              </w:rPr>
            </w:pPr>
            <w:r>
              <w:rPr>
                <w:color w:val="auto"/>
              </w:rPr>
              <w:t>应急计划区</w:t>
            </w:r>
          </w:p>
        </w:tc>
        <w:tc>
          <w:tcPr>
            <w:tcW w:w="5042" w:type="dxa"/>
            <w:vAlign w:val="center"/>
          </w:tcPr>
          <w:p>
            <w:pPr>
              <w:pStyle w:val="22"/>
              <w:bidi w:val="0"/>
              <w:jc w:val="center"/>
              <w:rPr>
                <w:color w:val="auto"/>
              </w:rPr>
            </w:pPr>
            <w:r>
              <w:rPr>
                <w:color w:val="auto"/>
              </w:rPr>
              <w:t>污水处理站、危废暂存间、环境保护目标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jc w:val="center"/>
        </w:trPr>
        <w:tc>
          <w:tcPr>
            <w:tcW w:w="626" w:type="dxa"/>
            <w:vAlign w:val="center"/>
          </w:tcPr>
          <w:p>
            <w:pPr>
              <w:pStyle w:val="22"/>
              <w:bidi w:val="0"/>
              <w:jc w:val="center"/>
              <w:rPr>
                <w:color w:val="auto"/>
              </w:rPr>
            </w:pPr>
          </w:p>
          <w:p>
            <w:pPr>
              <w:pStyle w:val="22"/>
              <w:bidi w:val="0"/>
              <w:jc w:val="center"/>
              <w:rPr>
                <w:color w:val="auto"/>
              </w:rPr>
            </w:pPr>
          </w:p>
          <w:p>
            <w:pPr>
              <w:pStyle w:val="22"/>
              <w:bidi w:val="0"/>
              <w:jc w:val="center"/>
              <w:rPr>
                <w:color w:val="auto"/>
              </w:rPr>
            </w:pPr>
            <w:r>
              <w:rPr>
                <w:color w:val="auto"/>
              </w:rPr>
              <w:t>2</w:t>
            </w:r>
          </w:p>
        </w:tc>
        <w:tc>
          <w:tcPr>
            <w:tcW w:w="2812" w:type="dxa"/>
            <w:vAlign w:val="center"/>
          </w:tcPr>
          <w:p>
            <w:pPr>
              <w:pStyle w:val="22"/>
              <w:bidi w:val="0"/>
              <w:jc w:val="center"/>
              <w:rPr>
                <w:color w:val="auto"/>
              </w:rPr>
            </w:pPr>
          </w:p>
          <w:p>
            <w:pPr>
              <w:pStyle w:val="22"/>
              <w:bidi w:val="0"/>
              <w:jc w:val="center"/>
              <w:rPr>
                <w:color w:val="auto"/>
              </w:rPr>
            </w:pPr>
          </w:p>
          <w:p>
            <w:pPr>
              <w:pStyle w:val="22"/>
              <w:bidi w:val="0"/>
              <w:jc w:val="center"/>
              <w:rPr>
                <w:color w:val="auto"/>
              </w:rPr>
            </w:pPr>
            <w:r>
              <w:rPr>
                <w:color w:val="auto"/>
              </w:rPr>
              <w:t>应急组织</w:t>
            </w:r>
          </w:p>
        </w:tc>
        <w:tc>
          <w:tcPr>
            <w:tcW w:w="5042" w:type="dxa"/>
            <w:vAlign w:val="center"/>
          </w:tcPr>
          <w:p>
            <w:pPr>
              <w:pStyle w:val="22"/>
              <w:bidi w:val="0"/>
              <w:jc w:val="center"/>
              <w:rPr>
                <w:color w:val="auto"/>
              </w:rPr>
            </w:pPr>
            <w:r>
              <w:rPr>
                <w:color w:val="auto"/>
              </w:rPr>
              <w:t>疾控中心：指挥部——负责全中心全面指挥，专业救援队伍——负责事故控制、救援善后处理</w:t>
            </w:r>
          </w:p>
          <w:p>
            <w:pPr>
              <w:pStyle w:val="22"/>
              <w:bidi w:val="0"/>
              <w:jc w:val="center"/>
              <w:rPr>
                <w:color w:val="auto"/>
              </w:rPr>
            </w:pPr>
            <w:r>
              <w:rPr>
                <w:color w:val="auto"/>
              </w:rPr>
              <w:t>地区：地区指挥部——负责项目附近地区全面指挥、救援疏散，专业救援队伍——负责对疾控中心专业救援队伍支持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jc w:val="center"/>
        </w:trPr>
        <w:tc>
          <w:tcPr>
            <w:tcW w:w="626" w:type="dxa"/>
            <w:vAlign w:val="center"/>
          </w:tcPr>
          <w:p>
            <w:pPr>
              <w:pStyle w:val="22"/>
              <w:bidi w:val="0"/>
              <w:jc w:val="center"/>
              <w:rPr>
                <w:color w:val="auto"/>
              </w:rPr>
            </w:pPr>
            <w:r>
              <w:rPr>
                <w:color w:val="auto"/>
              </w:rPr>
              <w:t>3</w:t>
            </w:r>
          </w:p>
        </w:tc>
        <w:tc>
          <w:tcPr>
            <w:tcW w:w="2812" w:type="dxa"/>
            <w:vAlign w:val="center"/>
          </w:tcPr>
          <w:p>
            <w:pPr>
              <w:pStyle w:val="22"/>
              <w:bidi w:val="0"/>
              <w:jc w:val="center"/>
              <w:rPr>
                <w:color w:val="auto"/>
              </w:rPr>
            </w:pPr>
            <w:r>
              <w:rPr>
                <w:color w:val="auto"/>
              </w:rPr>
              <w:t>应急状态分类及应急响应程序</w:t>
            </w:r>
          </w:p>
        </w:tc>
        <w:tc>
          <w:tcPr>
            <w:tcW w:w="5042" w:type="dxa"/>
            <w:vAlign w:val="center"/>
          </w:tcPr>
          <w:p>
            <w:pPr>
              <w:pStyle w:val="22"/>
              <w:bidi w:val="0"/>
              <w:jc w:val="center"/>
              <w:rPr>
                <w:color w:val="auto"/>
              </w:rPr>
            </w:pPr>
            <w:r>
              <w:rPr>
                <w:color w:val="auto"/>
              </w:rPr>
              <w:t>规定事故的级别及相应的应急分离响应程序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9" w:hRule="atLeast"/>
          <w:jc w:val="center"/>
        </w:trPr>
        <w:tc>
          <w:tcPr>
            <w:tcW w:w="626" w:type="dxa"/>
            <w:vAlign w:val="center"/>
          </w:tcPr>
          <w:p>
            <w:pPr>
              <w:pStyle w:val="22"/>
              <w:bidi w:val="0"/>
              <w:jc w:val="center"/>
              <w:rPr>
                <w:color w:val="auto"/>
              </w:rPr>
            </w:pPr>
          </w:p>
          <w:p>
            <w:pPr>
              <w:pStyle w:val="22"/>
              <w:bidi w:val="0"/>
              <w:jc w:val="center"/>
              <w:rPr>
                <w:color w:val="auto"/>
              </w:rPr>
            </w:pPr>
            <w:r>
              <w:rPr>
                <w:color w:val="auto"/>
              </w:rPr>
              <w:t>4</w:t>
            </w:r>
          </w:p>
        </w:tc>
        <w:tc>
          <w:tcPr>
            <w:tcW w:w="2812" w:type="dxa"/>
            <w:vAlign w:val="center"/>
          </w:tcPr>
          <w:p>
            <w:pPr>
              <w:pStyle w:val="22"/>
              <w:bidi w:val="0"/>
              <w:jc w:val="center"/>
              <w:rPr>
                <w:color w:val="auto"/>
              </w:rPr>
            </w:pPr>
          </w:p>
          <w:p>
            <w:pPr>
              <w:pStyle w:val="22"/>
              <w:bidi w:val="0"/>
              <w:jc w:val="center"/>
              <w:rPr>
                <w:color w:val="auto"/>
              </w:rPr>
            </w:pPr>
            <w:r>
              <w:rPr>
                <w:color w:val="auto"/>
              </w:rPr>
              <w:t>应急设施、设备</w:t>
            </w:r>
          </w:p>
        </w:tc>
        <w:tc>
          <w:tcPr>
            <w:tcW w:w="5042" w:type="dxa"/>
            <w:vAlign w:val="center"/>
          </w:tcPr>
          <w:p>
            <w:pPr>
              <w:pStyle w:val="22"/>
              <w:bidi w:val="0"/>
              <w:jc w:val="center"/>
              <w:rPr>
                <w:color w:val="auto"/>
              </w:rPr>
            </w:pPr>
            <w:r>
              <w:rPr>
                <w:color w:val="auto"/>
              </w:rPr>
              <w:t>（1）防火灾、爆炸事故，防中毒应急设施、设备与材料，主要为消防器材，防毒面具和防护服装（2）防止试剂、病毒微生物外溢、扩散</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626" w:type="dxa"/>
            <w:vAlign w:val="center"/>
          </w:tcPr>
          <w:p>
            <w:pPr>
              <w:pStyle w:val="22"/>
              <w:bidi w:val="0"/>
              <w:jc w:val="center"/>
              <w:rPr>
                <w:color w:val="auto"/>
              </w:rPr>
            </w:pPr>
            <w:r>
              <w:rPr>
                <w:color w:val="auto"/>
              </w:rPr>
              <w:t>5</w:t>
            </w:r>
          </w:p>
        </w:tc>
        <w:tc>
          <w:tcPr>
            <w:tcW w:w="2812" w:type="dxa"/>
            <w:vAlign w:val="center"/>
          </w:tcPr>
          <w:p>
            <w:pPr>
              <w:pStyle w:val="22"/>
              <w:bidi w:val="0"/>
              <w:jc w:val="center"/>
              <w:rPr>
                <w:color w:val="auto"/>
              </w:rPr>
            </w:pPr>
            <w:r>
              <w:rPr>
                <w:color w:val="auto"/>
              </w:rPr>
              <w:t>应急通讯、通知和交通</w:t>
            </w:r>
          </w:p>
        </w:tc>
        <w:tc>
          <w:tcPr>
            <w:tcW w:w="5042" w:type="dxa"/>
            <w:vAlign w:val="center"/>
          </w:tcPr>
          <w:p>
            <w:pPr>
              <w:pStyle w:val="22"/>
              <w:bidi w:val="0"/>
              <w:jc w:val="center"/>
              <w:rPr>
                <w:color w:val="auto"/>
              </w:rPr>
            </w:pPr>
            <w:r>
              <w:rPr>
                <w:color w:val="auto"/>
              </w:rPr>
              <w:t>规定应急状态下的通讯方式、通知方式和交通保障、管制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626" w:type="dxa"/>
            <w:vAlign w:val="center"/>
          </w:tcPr>
          <w:p>
            <w:pPr>
              <w:pStyle w:val="22"/>
              <w:bidi w:val="0"/>
              <w:jc w:val="center"/>
              <w:rPr>
                <w:color w:val="auto"/>
              </w:rPr>
            </w:pPr>
            <w:r>
              <w:rPr>
                <w:color w:val="auto"/>
              </w:rPr>
              <w:t>6</w:t>
            </w:r>
          </w:p>
        </w:tc>
        <w:tc>
          <w:tcPr>
            <w:tcW w:w="2812" w:type="dxa"/>
            <w:vAlign w:val="center"/>
          </w:tcPr>
          <w:p>
            <w:pPr>
              <w:pStyle w:val="22"/>
              <w:bidi w:val="0"/>
              <w:jc w:val="center"/>
              <w:rPr>
                <w:color w:val="auto"/>
              </w:rPr>
            </w:pPr>
            <w:r>
              <w:rPr>
                <w:color w:val="auto"/>
              </w:rPr>
              <w:t>应急环境监测及事故后评估</w:t>
            </w:r>
          </w:p>
        </w:tc>
        <w:tc>
          <w:tcPr>
            <w:tcW w:w="5042" w:type="dxa"/>
            <w:vAlign w:val="center"/>
          </w:tcPr>
          <w:p>
            <w:pPr>
              <w:pStyle w:val="22"/>
              <w:bidi w:val="0"/>
              <w:jc w:val="center"/>
              <w:rPr>
                <w:color w:val="auto"/>
              </w:rPr>
            </w:pPr>
            <w:r>
              <w:rPr>
                <w:color w:val="auto"/>
              </w:rPr>
              <w:t>由专业队伍对事故现场进行侦察监测，对事故性质、参数和后果进行评估，为指挥部门提供决策依据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jc w:val="center"/>
        </w:trPr>
        <w:tc>
          <w:tcPr>
            <w:tcW w:w="626" w:type="dxa"/>
            <w:vAlign w:val="center"/>
          </w:tcPr>
          <w:p>
            <w:pPr>
              <w:pStyle w:val="22"/>
              <w:bidi w:val="0"/>
              <w:jc w:val="center"/>
              <w:rPr>
                <w:color w:val="auto"/>
              </w:rPr>
            </w:pPr>
          </w:p>
          <w:p>
            <w:pPr>
              <w:pStyle w:val="22"/>
              <w:bidi w:val="0"/>
              <w:jc w:val="center"/>
              <w:rPr>
                <w:color w:val="auto"/>
              </w:rPr>
            </w:pPr>
          </w:p>
          <w:p>
            <w:pPr>
              <w:pStyle w:val="22"/>
              <w:bidi w:val="0"/>
              <w:jc w:val="center"/>
              <w:rPr>
                <w:color w:val="auto"/>
              </w:rPr>
            </w:pPr>
            <w:r>
              <w:rPr>
                <w:color w:val="auto"/>
              </w:rPr>
              <w:t>7</w:t>
            </w:r>
          </w:p>
        </w:tc>
        <w:tc>
          <w:tcPr>
            <w:tcW w:w="2812" w:type="dxa"/>
            <w:vAlign w:val="center"/>
          </w:tcPr>
          <w:p>
            <w:pPr>
              <w:pStyle w:val="22"/>
              <w:bidi w:val="0"/>
              <w:jc w:val="center"/>
              <w:rPr>
                <w:color w:val="auto"/>
              </w:rPr>
            </w:pPr>
          </w:p>
          <w:p>
            <w:pPr>
              <w:pStyle w:val="22"/>
              <w:bidi w:val="0"/>
              <w:jc w:val="center"/>
              <w:rPr>
                <w:color w:val="auto"/>
              </w:rPr>
            </w:pPr>
            <w:r>
              <w:rPr>
                <w:color w:val="auto"/>
              </w:rPr>
              <w:t>应急防护措施、消除泄漏措施办法和器材</w:t>
            </w:r>
          </w:p>
        </w:tc>
        <w:tc>
          <w:tcPr>
            <w:tcW w:w="5042" w:type="dxa"/>
            <w:vAlign w:val="center"/>
          </w:tcPr>
          <w:p>
            <w:pPr>
              <w:pStyle w:val="22"/>
              <w:bidi w:val="0"/>
              <w:jc w:val="center"/>
              <w:rPr>
                <w:color w:val="auto"/>
              </w:rPr>
            </w:pPr>
            <w:r>
              <w:rPr>
                <w:color w:val="auto"/>
              </w:rPr>
              <w:t>事故现场：控制事故，</w:t>
            </w:r>
            <w:r>
              <w:rPr>
                <w:rFonts w:hint="eastAsia"/>
                <w:color w:val="auto"/>
                <w:lang w:eastAsia="zh-CN"/>
              </w:rPr>
              <w:t>防止</w:t>
            </w:r>
            <w:r>
              <w:rPr>
                <w:color w:val="auto"/>
              </w:rPr>
              <w:t>扩大、蔓延及</w:t>
            </w:r>
            <w:r>
              <w:rPr>
                <w:rFonts w:hint="eastAsia"/>
                <w:color w:val="auto"/>
                <w:lang w:eastAsia="zh-CN"/>
              </w:rPr>
              <w:t>连锁反应</w:t>
            </w:r>
            <w:r>
              <w:rPr>
                <w:color w:val="auto"/>
              </w:rPr>
              <w:t>，消除现场泄漏物、降低危害，相应的设施器材配备；</w:t>
            </w:r>
          </w:p>
          <w:p>
            <w:pPr>
              <w:pStyle w:val="22"/>
              <w:bidi w:val="0"/>
              <w:jc w:val="center"/>
              <w:rPr>
                <w:color w:val="auto"/>
              </w:rPr>
            </w:pPr>
            <w:r>
              <w:rPr>
                <w:color w:val="auto"/>
              </w:rPr>
              <w:t>邻近区域：控制火灾有毒区域，控制和消除污染措施相应的设施配备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6" w:hRule="atLeast"/>
          <w:jc w:val="center"/>
        </w:trPr>
        <w:tc>
          <w:tcPr>
            <w:tcW w:w="626" w:type="dxa"/>
            <w:vAlign w:val="center"/>
          </w:tcPr>
          <w:p>
            <w:pPr>
              <w:pStyle w:val="22"/>
              <w:bidi w:val="0"/>
              <w:jc w:val="center"/>
              <w:rPr>
                <w:color w:val="auto"/>
              </w:rPr>
            </w:pPr>
          </w:p>
          <w:p>
            <w:pPr>
              <w:pStyle w:val="22"/>
              <w:bidi w:val="0"/>
              <w:jc w:val="center"/>
              <w:rPr>
                <w:color w:val="auto"/>
              </w:rPr>
            </w:pPr>
          </w:p>
          <w:p>
            <w:pPr>
              <w:pStyle w:val="22"/>
              <w:bidi w:val="0"/>
              <w:jc w:val="center"/>
              <w:rPr>
                <w:color w:val="auto"/>
              </w:rPr>
            </w:pPr>
            <w:r>
              <w:rPr>
                <w:color w:val="auto"/>
              </w:rPr>
              <w:t>8</w:t>
            </w:r>
          </w:p>
        </w:tc>
        <w:tc>
          <w:tcPr>
            <w:tcW w:w="2812" w:type="dxa"/>
            <w:vAlign w:val="center"/>
          </w:tcPr>
          <w:p>
            <w:pPr>
              <w:pStyle w:val="22"/>
              <w:bidi w:val="0"/>
              <w:jc w:val="center"/>
              <w:rPr>
                <w:color w:val="auto"/>
              </w:rPr>
            </w:pPr>
          </w:p>
          <w:p>
            <w:pPr>
              <w:pStyle w:val="22"/>
              <w:bidi w:val="0"/>
              <w:jc w:val="center"/>
              <w:rPr>
                <w:color w:val="auto"/>
              </w:rPr>
            </w:pPr>
            <w:r>
              <w:rPr>
                <w:color w:val="auto"/>
              </w:rPr>
              <w:t>应急剂量控制、撤离组织计划、医疗救护与公众健康</w:t>
            </w:r>
          </w:p>
        </w:tc>
        <w:tc>
          <w:tcPr>
            <w:tcW w:w="5042" w:type="dxa"/>
            <w:vAlign w:val="center"/>
          </w:tcPr>
          <w:p>
            <w:pPr>
              <w:pStyle w:val="22"/>
              <w:bidi w:val="0"/>
              <w:jc w:val="center"/>
              <w:rPr>
                <w:color w:val="auto"/>
              </w:rPr>
            </w:pPr>
            <w:r>
              <w:rPr>
                <w:color w:val="auto"/>
              </w:rPr>
              <w:t>事故现场：事故处理人员对毒物的应急剂量控制规定，现场及邻近装置区人员撤离组织计划及救护；</w:t>
            </w:r>
          </w:p>
          <w:p>
            <w:pPr>
              <w:pStyle w:val="22"/>
              <w:bidi w:val="0"/>
              <w:jc w:val="center"/>
              <w:rPr>
                <w:color w:val="auto"/>
              </w:rPr>
            </w:pPr>
            <w:r>
              <w:rPr>
                <w:color w:val="auto"/>
              </w:rPr>
              <w:t>邻近区：受事故影响的邻近区域人员及公众对毒物应急剂量控制规定，撤离组织及救护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jc w:val="center"/>
        </w:trPr>
        <w:tc>
          <w:tcPr>
            <w:tcW w:w="626" w:type="dxa"/>
            <w:vAlign w:val="center"/>
          </w:tcPr>
          <w:p>
            <w:pPr>
              <w:pStyle w:val="22"/>
              <w:bidi w:val="0"/>
              <w:jc w:val="center"/>
              <w:rPr>
                <w:color w:val="auto"/>
              </w:rPr>
            </w:pPr>
            <w:r>
              <w:rPr>
                <w:color w:val="auto"/>
              </w:rPr>
              <w:t>9</w:t>
            </w:r>
          </w:p>
        </w:tc>
        <w:tc>
          <w:tcPr>
            <w:tcW w:w="2812" w:type="dxa"/>
            <w:vAlign w:val="center"/>
          </w:tcPr>
          <w:p>
            <w:pPr>
              <w:pStyle w:val="22"/>
              <w:bidi w:val="0"/>
              <w:jc w:val="center"/>
              <w:rPr>
                <w:color w:val="auto"/>
              </w:rPr>
            </w:pPr>
            <w:r>
              <w:rPr>
                <w:color w:val="auto"/>
              </w:rPr>
              <w:t>应急状态终止与恢复措施</w:t>
            </w:r>
          </w:p>
        </w:tc>
        <w:tc>
          <w:tcPr>
            <w:tcW w:w="5042" w:type="dxa"/>
            <w:vAlign w:val="center"/>
          </w:tcPr>
          <w:p>
            <w:pPr>
              <w:pStyle w:val="22"/>
              <w:bidi w:val="0"/>
              <w:jc w:val="center"/>
              <w:rPr>
                <w:color w:val="auto"/>
              </w:rPr>
            </w:pPr>
            <w:r>
              <w:rPr>
                <w:color w:val="auto"/>
              </w:rPr>
              <w:t>规定应急状态终止程序：事故善后处理，恢复措施，邻近区域解防事故警戒及善后恢复措施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626" w:type="dxa"/>
            <w:vAlign w:val="center"/>
          </w:tcPr>
          <w:p>
            <w:pPr>
              <w:pStyle w:val="22"/>
              <w:bidi w:val="0"/>
              <w:jc w:val="center"/>
              <w:rPr>
                <w:color w:val="auto"/>
              </w:rPr>
            </w:pPr>
            <w:r>
              <w:rPr>
                <w:color w:val="auto"/>
              </w:rPr>
              <w:t>10</w:t>
            </w:r>
          </w:p>
        </w:tc>
        <w:tc>
          <w:tcPr>
            <w:tcW w:w="2812" w:type="dxa"/>
            <w:vAlign w:val="center"/>
          </w:tcPr>
          <w:p>
            <w:pPr>
              <w:pStyle w:val="22"/>
              <w:bidi w:val="0"/>
              <w:jc w:val="center"/>
              <w:rPr>
                <w:color w:val="auto"/>
              </w:rPr>
            </w:pPr>
            <w:r>
              <w:rPr>
                <w:color w:val="auto"/>
              </w:rPr>
              <w:t>人员培训与演练</w:t>
            </w:r>
          </w:p>
        </w:tc>
        <w:tc>
          <w:tcPr>
            <w:tcW w:w="5042" w:type="dxa"/>
            <w:vAlign w:val="center"/>
          </w:tcPr>
          <w:p>
            <w:pPr>
              <w:pStyle w:val="22"/>
              <w:bidi w:val="0"/>
              <w:jc w:val="center"/>
              <w:rPr>
                <w:color w:val="auto"/>
              </w:rPr>
            </w:pPr>
            <w:r>
              <w:rPr>
                <w:color w:val="auto"/>
              </w:rPr>
              <w:t>应急计划制定后，平时安排人员培训及演练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1" w:hRule="atLeast"/>
          <w:jc w:val="center"/>
        </w:trPr>
        <w:tc>
          <w:tcPr>
            <w:tcW w:w="626" w:type="dxa"/>
            <w:vAlign w:val="center"/>
          </w:tcPr>
          <w:p>
            <w:pPr>
              <w:pStyle w:val="22"/>
              <w:bidi w:val="0"/>
              <w:jc w:val="center"/>
              <w:rPr>
                <w:color w:val="auto"/>
              </w:rPr>
            </w:pPr>
            <w:r>
              <w:rPr>
                <w:color w:val="auto"/>
              </w:rPr>
              <w:t>11</w:t>
            </w:r>
          </w:p>
        </w:tc>
        <w:tc>
          <w:tcPr>
            <w:tcW w:w="2812" w:type="dxa"/>
            <w:vAlign w:val="center"/>
          </w:tcPr>
          <w:p>
            <w:pPr>
              <w:pStyle w:val="22"/>
              <w:bidi w:val="0"/>
              <w:jc w:val="center"/>
              <w:rPr>
                <w:color w:val="auto"/>
              </w:rPr>
            </w:pPr>
            <w:r>
              <w:rPr>
                <w:color w:val="auto"/>
              </w:rPr>
              <w:t>公众教育和信息</w:t>
            </w:r>
          </w:p>
        </w:tc>
        <w:tc>
          <w:tcPr>
            <w:tcW w:w="5042" w:type="dxa"/>
            <w:vAlign w:val="center"/>
          </w:tcPr>
          <w:p>
            <w:pPr>
              <w:pStyle w:val="22"/>
              <w:bidi w:val="0"/>
              <w:jc w:val="center"/>
              <w:rPr>
                <w:color w:val="auto"/>
              </w:rPr>
            </w:pPr>
            <w:r>
              <w:rPr>
                <w:color w:val="auto"/>
              </w:rPr>
              <w:t>对项目邻近地区开展公众教育、培训与发布相关信息</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2" w:hRule="atLeast"/>
          <w:jc w:val="center"/>
        </w:trPr>
        <w:tc>
          <w:tcPr>
            <w:tcW w:w="626" w:type="dxa"/>
            <w:vAlign w:val="center"/>
          </w:tcPr>
          <w:p>
            <w:pPr>
              <w:pStyle w:val="22"/>
              <w:bidi w:val="0"/>
              <w:jc w:val="center"/>
              <w:rPr>
                <w:color w:val="auto"/>
              </w:rPr>
            </w:pPr>
            <w:r>
              <w:rPr>
                <w:color w:val="auto"/>
              </w:rPr>
              <w:t>12</w:t>
            </w:r>
          </w:p>
        </w:tc>
        <w:tc>
          <w:tcPr>
            <w:tcW w:w="2812" w:type="dxa"/>
            <w:vAlign w:val="center"/>
          </w:tcPr>
          <w:p>
            <w:pPr>
              <w:pStyle w:val="22"/>
              <w:bidi w:val="0"/>
              <w:jc w:val="center"/>
              <w:rPr>
                <w:color w:val="auto"/>
              </w:rPr>
            </w:pPr>
            <w:r>
              <w:rPr>
                <w:color w:val="auto"/>
              </w:rPr>
              <w:t>记录和报告</w:t>
            </w:r>
          </w:p>
        </w:tc>
        <w:tc>
          <w:tcPr>
            <w:tcW w:w="5042" w:type="dxa"/>
            <w:vAlign w:val="center"/>
          </w:tcPr>
          <w:p>
            <w:pPr>
              <w:pStyle w:val="22"/>
              <w:bidi w:val="0"/>
              <w:jc w:val="center"/>
              <w:rPr>
                <w:color w:val="auto"/>
              </w:rPr>
            </w:pPr>
            <w:r>
              <w:rPr>
                <w:color w:val="auto"/>
              </w:rPr>
              <w:t>设置应急事故专门记录，建立档案和专门报告制度，设专门部门和负责管理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jc w:val="center"/>
        </w:trPr>
        <w:tc>
          <w:tcPr>
            <w:tcW w:w="626" w:type="dxa"/>
            <w:vAlign w:val="center"/>
          </w:tcPr>
          <w:p>
            <w:pPr>
              <w:pStyle w:val="22"/>
              <w:bidi w:val="0"/>
              <w:jc w:val="center"/>
              <w:rPr>
                <w:color w:val="auto"/>
              </w:rPr>
            </w:pPr>
            <w:r>
              <w:rPr>
                <w:color w:val="auto"/>
              </w:rPr>
              <w:t>13</w:t>
            </w:r>
          </w:p>
        </w:tc>
        <w:tc>
          <w:tcPr>
            <w:tcW w:w="2812" w:type="dxa"/>
            <w:vAlign w:val="center"/>
          </w:tcPr>
          <w:p>
            <w:pPr>
              <w:pStyle w:val="22"/>
              <w:bidi w:val="0"/>
              <w:jc w:val="center"/>
              <w:rPr>
                <w:color w:val="auto"/>
              </w:rPr>
            </w:pPr>
            <w:r>
              <w:rPr>
                <w:color w:val="auto"/>
              </w:rPr>
              <w:t>附件</w:t>
            </w:r>
          </w:p>
        </w:tc>
        <w:tc>
          <w:tcPr>
            <w:tcW w:w="5042" w:type="dxa"/>
            <w:vAlign w:val="center"/>
          </w:tcPr>
          <w:p>
            <w:pPr>
              <w:pStyle w:val="22"/>
              <w:bidi w:val="0"/>
              <w:jc w:val="center"/>
              <w:rPr>
                <w:color w:val="auto"/>
              </w:rPr>
            </w:pPr>
            <w:r>
              <w:rPr>
                <w:color w:val="auto"/>
              </w:rPr>
              <w:t>与应急事故有关的多种附件材料的准备和形成</w:t>
            </w:r>
          </w:p>
        </w:tc>
      </w:tr>
    </w:tbl>
    <w:p>
      <w:pPr>
        <w:pStyle w:val="7"/>
        <w:bidi w:val="0"/>
        <w:rPr>
          <w:color w:val="auto"/>
        </w:rPr>
      </w:pPr>
      <w:r>
        <w:rPr>
          <w:rFonts w:hint="eastAsia"/>
          <w:color w:val="auto"/>
          <w:lang w:val="en-US" w:eastAsia="zh-CN"/>
        </w:rPr>
        <w:t>5.2.7.6</w:t>
      </w:r>
      <w:r>
        <w:rPr>
          <w:color w:val="auto"/>
        </w:rPr>
        <w:t>环境风险评价结论</w:t>
      </w:r>
    </w:p>
    <w:p>
      <w:pPr>
        <w:keepNext w:val="0"/>
        <w:keepLines w:val="0"/>
        <w:pageBreakBefore w:val="0"/>
        <w:widowControl w:val="0"/>
        <w:kinsoku/>
        <w:wordWrap/>
        <w:overflowPunct/>
        <w:topLinePunct w:val="0"/>
        <w:autoSpaceDE/>
        <w:autoSpaceDN/>
        <w:bidi w:val="0"/>
        <w:adjustRightInd/>
        <w:snapToGrid/>
        <w:spacing w:line="360" w:lineRule="auto"/>
        <w:ind w:right="0"/>
        <w:textAlignment w:val="auto"/>
        <w:rPr>
          <w:color w:val="auto"/>
        </w:rPr>
      </w:pPr>
      <w:r>
        <w:rPr>
          <w:color w:val="auto"/>
        </w:rPr>
        <w:t>通过本次评价要求，在采取本环评推荐的环境风险防范措施后，可使项目运营后的风险事故隐患降至最低。因此，本评价认为在严格落实环境影响评价提出的各项风险防范措施及事故应急预案的基础上，本项目建设的风险水平是可以接受的。</w:t>
      </w:r>
    </w:p>
    <w:p>
      <w:pPr>
        <w:pStyle w:val="2"/>
        <w:keepNext w:val="0"/>
        <w:keepLines w:val="0"/>
        <w:pageBreakBefore w:val="0"/>
        <w:widowControl w:val="0"/>
        <w:kinsoku/>
        <w:wordWrap/>
        <w:overflowPunct/>
        <w:topLinePunct w:val="0"/>
        <w:autoSpaceDE/>
        <w:autoSpaceDN/>
        <w:bidi w:val="0"/>
        <w:adjustRightInd/>
        <w:snapToGrid/>
        <w:spacing w:line="360" w:lineRule="auto"/>
        <w:ind w:right="0" w:firstLine="479"/>
        <w:textAlignment w:val="auto"/>
        <w:rPr>
          <w:color w:val="auto"/>
        </w:rPr>
      </w:pPr>
      <w:r>
        <w:rPr>
          <w:rFonts w:hint="eastAsia"/>
          <w:color w:val="auto"/>
          <w:lang w:val="en-US" w:eastAsia="zh-CN"/>
        </w:rPr>
        <w:br w:type="page"/>
      </w:r>
      <w:r>
        <w:rPr>
          <w:rFonts w:hint="default" w:ascii="Times New Roman" w:hAnsi="Times New Roman" w:eastAsia="宋体" w:cs="Times New Roman"/>
          <w:color w:val="auto"/>
          <w:kern w:val="2"/>
          <w:sz w:val="24"/>
          <w:szCs w:val="24"/>
          <w:lang w:val="en-US" w:eastAsia="zh-CN" w:bidi="ar-SA"/>
        </w:rPr>
        <w:t xml:space="preserve">建设项目环境风险简要分析内容见表 </w:t>
      </w:r>
      <w:r>
        <w:rPr>
          <w:rFonts w:hint="eastAsia" w:cs="Times New Roman"/>
          <w:color w:val="auto"/>
          <w:kern w:val="2"/>
          <w:sz w:val="24"/>
          <w:szCs w:val="24"/>
          <w:lang w:val="en-US" w:eastAsia="zh-CN" w:bidi="ar-SA"/>
        </w:rPr>
        <w:t>5</w:t>
      </w:r>
      <w:r>
        <w:rPr>
          <w:rFonts w:hint="default"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2</w:t>
      </w:r>
      <w:r>
        <w:rPr>
          <w:rFonts w:hint="default" w:ascii="Times New Roman" w:hAnsi="Times New Roman" w:eastAsia="宋体" w:cs="Times New Roman"/>
          <w:color w:val="auto"/>
          <w:kern w:val="2"/>
          <w:sz w:val="24"/>
          <w:szCs w:val="24"/>
          <w:lang w:val="en-US" w:eastAsia="zh-CN" w:bidi="ar-SA"/>
        </w:rPr>
        <w:t>-1</w:t>
      </w:r>
      <w:r>
        <w:rPr>
          <w:rFonts w:hint="eastAsia" w:cs="Times New Roman"/>
          <w:color w:val="auto"/>
          <w:kern w:val="2"/>
          <w:sz w:val="24"/>
          <w:szCs w:val="24"/>
          <w:lang w:val="en-US" w:eastAsia="zh-CN" w:bidi="ar-SA"/>
        </w:rPr>
        <w:t>1</w:t>
      </w:r>
      <w:r>
        <w:rPr>
          <w:rFonts w:hint="default" w:ascii="Times New Roman" w:hAnsi="Times New Roman" w:eastAsia="宋体" w:cs="Times New Roman"/>
          <w:color w:val="auto"/>
          <w:kern w:val="2"/>
          <w:sz w:val="24"/>
          <w:szCs w:val="24"/>
          <w:lang w:val="en-US" w:eastAsia="zh-CN" w:bidi="ar-SA"/>
        </w:rPr>
        <w:t>，建设项目环境风险自查表见表</w:t>
      </w:r>
      <w:r>
        <w:rPr>
          <w:rFonts w:hint="eastAsia" w:cs="Times New Roman"/>
          <w:color w:val="auto"/>
          <w:kern w:val="2"/>
          <w:sz w:val="24"/>
          <w:szCs w:val="24"/>
          <w:lang w:val="en-US" w:eastAsia="zh-CN" w:bidi="ar-SA"/>
        </w:rPr>
        <w:t>5</w:t>
      </w:r>
      <w:r>
        <w:rPr>
          <w:rFonts w:hint="default"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2</w:t>
      </w:r>
      <w:r>
        <w:rPr>
          <w:rFonts w:hint="default"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12</w:t>
      </w:r>
      <w:r>
        <w:rPr>
          <w:rFonts w:hint="default" w:ascii="Times New Roman" w:hAnsi="Times New Roman" w:eastAsia="宋体" w:cs="Times New Roman"/>
          <w:color w:val="auto"/>
          <w:kern w:val="2"/>
          <w:sz w:val="24"/>
          <w:szCs w:val="24"/>
          <w:lang w:val="en-US" w:eastAsia="zh-CN" w:bidi="ar-SA"/>
        </w:rPr>
        <w:t>。</w:t>
      </w:r>
    </w:p>
    <w:p>
      <w:pPr>
        <w:tabs>
          <w:tab w:val="left" w:pos="3487"/>
        </w:tabs>
        <w:spacing w:before="19"/>
        <w:ind w:left="2304" w:right="0" w:firstLine="0"/>
        <w:jc w:val="left"/>
        <w:rPr>
          <w:b/>
          <w:color w:val="auto"/>
          <w:sz w:val="21"/>
        </w:rPr>
      </w:pPr>
      <w:r>
        <w:rPr>
          <w:b/>
          <w:color w:val="auto"/>
          <w:sz w:val="21"/>
        </w:rPr>
        <w:t>表</w:t>
      </w:r>
      <w:r>
        <w:rPr>
          <w:rFonts w:hint="eastAsia" w:eastAsia="宋体"/>
          <w:b/>
          <w:color w:val="auto"/>
          <w:sz w:val="21"/>
          <w:lang w:val="en-US" w:eastAsia="zh-CN"/>
        </w:rPr>
        <w:t>5</w:t>
      </w:r>
      <w:r>
        <w:rPr>
          <w:rFonts w:ascii="Times New Roman" w:eastAsia="Times New Roman"/>
          <w:b/>
          <w:color w:val="auto"/>
          <w:sz w:val="21"/>
        </w:rPr>
        <w:t>.</w:t>
      </w:r>
      <w:r>
        <w:rPr>
          <w:rFonts w:hint="eastAsia" w:eastAsia="宋体"/>
          <w:b/>
          <w:color w:val="auto"/>
          <w:sz w:val="21"/>
          <w:lang w:val="en-US" w:eastAsia="zh-CN"/>
        </w:rPr>
        <w:t>2</w:t>
      </w:r>
      <w:r>
        <w:rPr>
          <w:rFonts w:ascii="Times New Roman" w:eastAsia="Times New Roman"/>
          <w:b/>
          <w:color w:val="auto"/>
          <w:sz w:val="21"/>
        </w:rPr>
        <w:t>-1</w:t>
      </w:r>
      <w:r>
        <w:rPr>
          <w:rFonts w:hint="eastAsia" w:eastAsia="宋体"/>
          <w:b/>
          <w:color w:val="auto"/>
          <w:sz w:val="21"/>
          <w:lang w:val="en-US" w:eastAsia="zh-CN"/>
        </w:rPr>
        <w:t>1</w:t>
      </w:r>
      <w:r>
        <w:rPr>
          <w:rFonts w:ascii="Times New Roman" w:eastAsia="Times New Roman"/>
          <w:b/>
          <w:color w:val="auto"/>
          <w:sz w:val="21"/>
        </w:rPr>
        <w:tab/>
      </w:r>
      <w:r>
        <w:rPr>
          <w:b/>
          <w:color w:val="auto"/>
          <w:sz w:val="21"/>
        </w:rPr>
        <w:t>本项目环境</w:t>
      </w:r>
      <w:r>
        <w:rPr>
          <w:b/>
          <w:color w:val="auto"/>
          <w:spacing w:val="-3"/>
          <w:sz w:val="21"/>
        </w:rPr>
        <w:t>风</w:t>
      </w:r>
      <w:r>
        <w:rPr>
          <w:b/>
          <w:color w:val="auto"/>
          <w:sz w:val="21"/>
        </w:rPr>
        <w:t>险简单分析内容表</w:t>
      </w:r>
    </w:p>
    <w:tbl>
      <w:tblPr>
        <w:tblStyle w:val="18"/>
        <w:tblW w:w="8508" w:type="dxa"/>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50"/>
        <w:gridCol w:w="1793"/>
        <w:gridCol w:w="1380"/>
        <w:gridCol w:w="1232"/>
        <w:gridCol w:w="2351"/>
        <w:gridCol w:w="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1750" w:type="dxa"/>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建设项目名称</w:t>
            </w:r>
          </w:p>
        </w:tc>
        <w:tc>
          <w:tcPr>
            <w:tcW w:w="6758" w:type="dxa"/>
            <w:gridSpan w:val="5"/>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lang w:val="en-US" w:eastAsia="zh-CN"/>
              </w:rPr>
              <w:t>第十四师皮山农场疾病预防控制中心建设项目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9" w:hRule="atLeast"/>
        </w:trPr>
        <w:tc>
          <w:tcPr>
            <w:tcW w:w="1750" w:type="dxa"/>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建设地点</w:t>
            </w:r>
          </w:p>
        </w:tc>
        <w:tc>
          <w:tcPr>
            <w:tcW w:w="1793" w:type="dxa"/>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新疆生产建设兵团</w:t>
            </w:r>
          </w:p>
        </w:tc>
        <w:tc>
          <w:tcPr>
            <w:tcW w:w="1380" w:type="dxa"/>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地区</w:t>
            </w:r>
          </w:p>
        </w:tc>
        <w:tc>
          <w:tcPr>
            <w:tcW w:w="1232" w:type="dxa"/>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pacing w:val="-1"/>
                <w:sz w:val="21"/>
                <w:lang w:val="en-US" w:eastAsia="zh-CN"/>
              </w:rPr>
              <w:t>第十四师</w:t>
            </w:r>
          </w:p>
        </w:tc>
        <w:tc>
          <w:tcPr>
            <w:tcW w:w="2353" w:type="dxa"/>
            <w:gridSpan w:val="2"/>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21"/>
                <w:lang w:eastAsia="zh-CN"/>
              </w:rPr>
            </w:pPr>
            <w:r>
              <w:rPr>
                <w:rFonts w:hint="default" w:ascii="Times New Roman" w:hAnsi="Times New Roman" w:cs="Times New Roman"/>
                <w:color w:val="auto"/>
                <w:spacing w:val="-1"/>
                <w:sz w:val="21"/>
                <w:lang w:val="en-US" w:eastAsia="zh-CN"/>
              </w:rPr>
              <w:t>皮山农场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2" w:hRule="atLeast"/>
        </w:trPr>
        <w:tc>
          <w:tcPr>
            <w:tcW w:w="1750" w:type="dxa"/>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地理坐标</w:t>
            </w:r>
          </w:p>
        </w:tc>
        <w:tc>
          <w:tcPr>
            <w:tcW w:w="1793" w:type="dxa"/>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经度</w:t>
            </w:r>
          </w:p>
        </w:tc>
        <w:tc>
          <w:tcPr>
            <w:tcW w:w="1380" w:type="dxa"/>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lang w:val="en-US" w:eastAsia="zh-CN"/>
              </w:rPr>
              <w:t>78°28′29.492″</w:t>
            </w:r>
          </w:p>
        </w:tc>
        <w:tc>
          <w:tcPr>
            <w:tcW w:w="1232" w:type="dxa"/>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纬度</w:t>
            </w:r>
          </w:p>
        </w:tc>
        <w:tc>
          <w:tcPr>
            <w:tcW w:w="2353" w:type="dxa"/>
            <w:gridSpan w:val="2"/>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lang w:val="en-US" w:eastAsia="zh-CN"/>
              </w:rPr>
              <w:t>37°41′4.509″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1750" w:type="dxa"/>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主要危险物质及</w:t>
            </w: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分布</w:t>
            </w:r>
          </w:p>
        </w:tc>
        <w:tc>
          <w:tcPr>
            <w:tcW w:w="6758" w:type="dxa"/>
            <w:gridSpan w:val="5"/>
          </w:tcPr>
          <w:p>
            <w:pPr>
              <w:pStyle w:val="27"/>
              <w:keepNext w:val="0"/>
              <w:keepLines w:val="0"/>
              <w:pageBreakBefore w:val="0"/>
              <w:widowControl w:val="0"/>
              <w:kinsoku/>
              <w:wordWrap/>
              <w:overflowPunct/>
              <w:topLinePunct w:val="0"/>
              <w:autoSpaceDE/>
              <w:autoSpaceDN/>
              <w:bidi w:val="0"/>
              <w:adjustRightInd/>
              <w:snapToGrid/>
              <w:spacing w:before="157" w:beforeLines="50" w:line="240" w:lineRule="auto"/>
              <w:ind w:left="0" w:right="0" w:firstLine="0" w:firstLineChars="0"/>
              <w:jc w:val="center"/>
              <w:textAlignment w:val="auto"/>
              <w:rPr>
                <w:rFonts w:hint="default" w:ascii="Times New Roman" w:hAnsi="Times New Roman" w:eastAsia="黑体" w:cs="Times New Roman"/>
                <w:color w:val="auto"/>
                <w:sz w:val="21"/>
                <w:lang w:val="en-US" w:eastAsia="zh-CN"/>
              </w:rPr>
            </w:pPr>
            <w:r>
              <w:rPr>
                <w:rFonts w:hint="default" w:ascii="Times New Roman" w:hAnsi="Times New Roman" w:cs="Times New Roman"/>
                <w:color w:val="auto"/>
                <w:sz w:val="21"/>
              </w:rPr>
              <w:t>项目涉及的危险物质为硫酸、盐酸、硝酸、</w:t>
            </w:r>
            <w:r>
              <w:rPr>
                <w:rFonts w:hint="default" w:ascii="Times New Roman" w:hAnsi="Times New Roman" w:cs="Times New Roman"/>
                <w:color w:val="auto"/>
                <w:sz w:val="21"/>
                <w:lang w:val="en-US" w:eastAsia="zh-CN"/>
              </w:rPr>
              <w:t>异丙醇、三氯甲烷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750" w:type="dxa"/>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21"/>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环境影响途径及危害后果</w:t>
            </w:r>
          </w:p>
        </w:tc>
        <w:tc>
          <w:tcPr>
            <w:tcW w:w="6758" w:type="dxa"/>
            <w:gridSpan w:val="5"/>
          </w:tcPr>
          <w:p>
            <w:pPr>
              <w:pStyle w:val="27"/>
              <w:keepNext w:val="0"/>
              <w:keepLines w:val="0"/>
              <w:pageBreakBefore w:val="0"/>
              <w:widowControl w:val="0"/>
              <w:numPr>
                <w:ilvl w:val="0"/>
                <w:numId w:val="1"/>
              </w:numPr>
              <w:kinsoku/>
              <w:wordWrap/>
              <w:overflowPunct/>
              <w:topLinePunct w:val="0"/>
              <w:autoSpaceDE/>
              <w:autoSpaceDN/>
              <w:bidi w:val="0"/>
              <w:adjustRightInd/>
              <w:snapToGrid/>
              <w:spacing w:before="0" w:line="240" w:lineRule="auto"/>
              <w:ind w:left="0" w:right="0" w:firstLine="0" w:firstLineChars="0"/>
              <w:jc w:val="both"/>
              <w:textAlignment w:val="auto"/>
              <w:rPr>
                <w:rFonts w:hint="default" w:ascii="Times New Roman" w:hAnsi="Times New Roman" w:cs="Times New Roman"/>
                <w:color w:val="auto"/>
                <w:sz w:val="21"/>
              </w:rPr>
            </w:pPr>
            <w:r>
              <w:rPr>
                <w:rFonts w:hint="default" w:ascii="Times New Roman" w:hAnsi="Times New Roman" w:cs="Times New Roman"/>
                <w:color w:val="auto"/>
                <w:sz w:val="21"/>
              </w:rPr>
              <w:t>化学品贮存、使用风险；</w:t>
            </w:r>
          </w:p>
          <w:p>
            <w:pPr>
              <w:pStyle w:val="27"/>
              <w:keepNext w:val="0"/>
              <w:keepLines w:val="0"/>
              <w:pageBreakBefore w:val="0"/>
              <w:widowControl w:val="0"/>
              <w:numPr>
                <w:ilvl w:val="0"/>
                <w:numId w:val="0"/>
              </w:numPr>
              <w:kinsoku/>
              <w:wordWrap/>
              <w:overflowPunct/>
              <w:topLinePunct w:val="0"/>
              <w:autoSpaceDE/>
              <w:autoSpaceDN/>
              <w:bidi w:val="0"/>
              <w:adjustRightInd/>
              <w:snapToGrid/>
              <w:spacing w:before="0" w:line="240" w:lineRule="auto"/>
              <w:ind w:leftChars="0" w:right="0" w:rightChars="0"/>
              <w:jc w:val="both"/>
              <w:textAlignment w:val="auto"/>
              <w:rPr>
                <w:rFonts w:hint="default" w:ascii="Times New Roman" w:hAnsi="Times New Roman" w:cs="Times New Roman"/>
                <w:color w:val="auto"/>
                <w:sz w:val="21"/>
              </w:rPr>
            </w:pPr>
            <w:r>
              <w:rPr>
                <w:rFonts w:hint="default" w:ascii="Times New Roman" w:hAnsi="Times New Roman" w:eastAsia="Times New Roman" w:cs="Times New Roman"/>
                <w:color w:val="auto"/>
                <w:sz w:val="21"/>
              </w:rPr>
              <w:t>2</w:t>
            </w:r>
            <w:r>
              <w:rPr>
                <w:rFonts w:hint="default" w:ascii="Times New Roman" w:hAnsi="Times New Roman" w:cs="Times New Roman"/>
                <w:color w:val="auto"/>
                <w:sz w:val="21"/>
              </w:rPr>
              <w:t>、污水处理站事故排放；</w:t>
            </w: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both"/>
              <w:textAlignment w:val="auto"/>
              <w:rPr>
                <w:rFonts w:hint="default" w:ascii="Times New Roman" w:hAnsi="Times New Roman" w:cs="Times New Roman"/>
                <w:color w:val="auto"/>
                <w:sz w:val="21"/>
              </w:rPr>
            </w:pPr>
            <w:r>
              <w:rPr>
                <w:rFonts w:hint="default" w:ascii="Times New Roman" w:hAnsi="Times New Roman" w:eastAsia="Times New Roman" w:cs="Times New Roman"/>
                <w:color w:val="auto"/>
                <w:sz w:val="21"/>
              </w:rPr>
              <w:t>3</w:t>
            </w:r>
            <w:r>
              <w:rPr>
                <w:rFonts w:hint="default" w:ascii="Times New Roman" w:hAnsi="Times New Roman" w:cs="Times New Roman"/>
                <w:color w:val="auto"/>
                <w:sz w:val="21"/>
              </w:rPr>
              <w:t>、二氧化氯发生器风险；</w:t>
            </w: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both"/>
              <w:textAlignment w:val="auto"/>
              <w:rPr>
                <w:rFonts w:hint="default" w:ascii="Times New Roman" w:hAnsi="Times New Roman" w:cs="Times New Roman"/>
                <w:color w:val="auto"/>
                <w:sz w:val="21"/>
              </w:rPr>
            </w:pPr>
            <w:r>
              <w:rPr>
                <w:rFonts w:hint="default" w:ascii="Times New Roman" w:hAnsi="Times New Roman" w:eastAsia="Times New Roman" w:cs="Times New Roman"/>
                <w:color w:val="auto"/>
                <w:sz w:val="21"/>
              </w:rPr>
              <w:t>4</w:t>
            </w:r>
            <w:r>
              <w:rPr>
                <w:rFonts w:hint="default" w:ascii="Times New Roman" w:hAnsi="Times New Roman" w:cs="Times New Roman"/>
                <w:color w:val="auto"/>
                <w:sz w:val="21"/>
              </w:rPr>
              <w:t>、微生物实验室致病微生物的传播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5" w:hRule="atLeast"/>
        </w:trPr>
        <w:tc>
          <w:tcPr>
            <w:tcW w:w="1750" w:type="dxa"/>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b/>
                <w:color w:val="auto"/>
                <w:sz w:val="20"/>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b/>
                <w:color w:val="auto"/>
                <w:sz w:val="20"/>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b/>
                <w:color w:val="auto"/>
                <w:sz w:val="20"/>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b/>
                <w:color w:val="auto"/>
                <w:sz w:val="20"/>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b/>
                <w:color w:val="auto"/>
                <w:sz w:val="20"/>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b/>
                <w:color w:val="auto"/>
                <w:sz w:val="20"/>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b/>
                <w:color w:val="auto"/>
                <w:sz w:val="27"/>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21"/>
              </w:rPr>
            </w:pPr>
            <w:r>
              <w:rPr>
                <w:rFonts w:hint="default" w:ascii="Times New Roman" w:hAnsi="Times New Roman" w:cs="Times New Roman"/>
                <w:color w:val="auto"/>
                <w:sz w:val="21"/>
              </w:rPr>
              <w:t>风险防范措施要求</w:t>
            </w:r>
          </w:p>
        </w:tc>
        <w:tc>
          <w:tcPr>
            <w:tcW w:w="6758" w:type="dxa"/>
            <w:gridSpan w:val="5"/>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left"/>
              <w:textAlignment w:val="auto"/>
              <w:rPr>
                <w:rFonts w:hint="default" w:ascii="Times New Roman" w:hAnsi="Times New Roman" w:cs="Times New Roman"/>
                <w:color w:val="auto"/>
                <w:sz w:val="21"/>
              </w:rPr>
            </w:pPr>
            <w:r>
              <w:rPr>
                <w:rFonts w:hint="default" w:ascii="Times New Roman" w:hAnsi="Times New Roman" w:eastAsia="宋体" w:cs="Times New Roman"/>
                <w:color w:val="auto"/>
                <w:sz w:val="21"/>
                <w:lang w:val="en-US" w:eastAsia="zh-CN"/>
              </w:rPr>
              <w:t xml:space="preserve">   </w:t>
            </w:r>
            <w:r>
              <w:rPr>
                <w:rFonts w:hint="default" w:ascii="Times New Roman" w:hAnsi="Times New Roman" w:eastAsia="Times New Roman" w:cs="Times New Roman"/>
                <w:color w:val="auto"/>
                <w:sz w:val="21"/>
              </w:rPr>
              <w:t>1</w:t>
            </w:r>
            <w:r>
              <w:rPr>
                <w:rFonts w:hint="default" w:ascii="Times New Roman" w:hAnsi="Times New Roman" w:cs="Times New Roman"/>
                <w:color w:val="auto"/>
                <w:sz w:val="21"/>
              </w:rPr>
              <w:t>、对于危险化学品的购买、储存、保管、使用等需按照《危险化学品安全管理条例》的规定进行管理。危险化学品中剧毒化学品必须向当地公安机关申请领取购买凭证，凭证购买。危险化学品必须储存在危险品库，其储存方式、方法与储存数量必须符合国家有关规定，并由专人管理，危险化学品出入库必须进行核查登记，并定期检查库存，剧毒化学品的储存必须在专用仓库内单独存放，</w:t>
            </w:r>
            <w:r>
              <w:rPr>
                <w:rFonts w:hint="default" w:ascii="Times New Roman" w:hAnsi="Times New Roman" w:cs="Times New Roman"/>
                <w:color w:val="auto"/>
                <w:sz w:val="21"/>
                <w:lang w:eastAsia="zh-CN"/>
              </w:rPr>
              <w:t>实行</w:t>
            </w:r>
            <w:r>
              <w:rPr>
                <w:rFonts w:hint="default" w:ascii="Times New Roman" w:hAnsi="Times New Roman" w:cs="Times New Roman"/>
                <w:color w:val="auto"/>
                <w:sz w:val="21"/>
              </w:rPr>
              <w:t>双人收发、双人保管制度。储存单位应当将储存剧毒化学品数量、地点及管理人员的情况报当地公安部门和负责危险化学品安全监督管理综合部门备案。危险化学品</w:t>
            </w:r>
            <w:r>
              <w:rPr>
                <w:rFonts w:hint="default" w:ascii="Times New Roman" w:hAnsi="Times New Roman" w:cs="Times New Roman"/>
                <w:color w:val="auto"/>
                <w:sz w:val="21"/>
                <w:lang w:eastAsia="zh-CN"/>
              </w:rPr>
              <w:t>仓库</w:t>
            </w:r>
            <w:r>
              <w:rPr>
                <w:rFonts w:hint="default" w:ascii="Times New Roman" w:hAnsi="Times New Roman" w:cs="Times New Roman"/>
                <w:color w:val="auto"/>
                <w:sz w:val="21"/>
              </w:rPr>
              <w:t>应当符合国家相关规定（安全、消防）要求，设置明显标志。危险化学品专用仓库的储存设备和安全设施应当定期检测。</w:t>
            </w: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420" w:firstLineChars="200"/>
              <w:jc w:val="left"/>
              <w:textAlignment w:val="auto"/>
              <w:rPr>
                <w:rFonts w:hint="default" w:ascii="Times New Roman" w:hAnsi="Times New Roman" w:cs="Times New Roman"/>
                <w:color w:val="auto"/>
                <w:sz w:val="21"/>
              </w:rPr>
            </w:pPr>
            <w:r>
              <w:rPr>
                <w:rFonts w:hint="default" w:ascii="Times New Roman" w:hAnsi="Times New Roman" w:eastAsia="Times New Roman" w:cs="Times New Roman"/>
                <w:color w:val="auto"/>
                <w:sz w:val="21"/>
              </w:rPr>
              <w:t>2</w:t>
            </w:r>
            <w:r>
              <w:rPr>
                <w:rFonts w:hint="default" w:ascii="Times New Roman" w:hAnsi="Times New Roman" w:cs="Times New Roman"/>
                <w:color w:val="auto"/>
                <w:sz w:val="21"/>
              </w:rPr>
              <w:t>、水处理站事故排放：医院污水处理工程应设置事故池，以贮存处理系统事故或其他突发事件污水。项目设置事故应急池，有效容积</w:t>
            </w:r>
            <w:r>
              <w:rPr>
                <w:rFonts w:hint="default" w:ascii="Times New Roman" w:hAnsi="Times New Roman" w:cs="Times New Roman"/>
                <w:color w:val="auto"/>
                <w:sz w:val="21"/>
                <w:lang w:val="en-US" w:eastAsia="zh-CN"/>
              </w:rPr>
              <w:t>10</w:t>
            </w:r>
            <w:r>
              <w:rPr>
                <w:rFonts w:hint="default" w:ascii="Times New Roman" w:hAnsi="Times New Roman" w:cs="Times New Roman"/>
                <w:color w:val="auto"/>
                <w:sz w:val="21"/>
              </w:rPr>
              <w:t>m</w:t>
            </w:r>
            <w:r>
              <w:rPr>
                <w:rFonts w:hint="default" w:ascii="Times New Roman" w:hAnsi="Times New Roman" w:cs="Times New Roman"/>
                <w:color w:val="auto"/>
                <w:sz w:val="21"/>
                <w:vertAlign w:val="superscript"/>
              </w:rPr>
              <w:t>3</w:t>
            </w:r>
            <w:r>
              <w:rPr>
                <w:rFonts w:hint="default" w:ascii="Times New Roman" w:hAnsi="Times New Roman" w:cs="Times New Roman"/>
                <w:color w:val="auto"/>
                <w:sz w:val="21"/>
              </w:rPr>
              <w:t>，可储存大于8小时的污水量。污水处理设施出现故障后，排放的废水进入事故应急池，暂不外排，并及时派人检修，待污水处理设施正常运行后再排入污水处理站进行处理。</w:t>
            </w: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420" w:firstLineChars="200"/>
              <w:jc w:val="left"/>
              <w:textAlignment w:val="auto"/>
              <w:rPr>
                <w:rFonts w:hint="default" w:ascii="Times New Roman" w:hAnsi="Times New Roman" w:cs="Times New Roman"/>
                <w:color w:val="auto"/>
                <w:sz w:val="21"/>
              </w:rPr>
            </w:pPr>
            <w:r>
              <w:rPr>
                <w:rFonts w:hint="default" w:ascii="Times New Roman" w:hAnsi="Times New Roman" w:eastAsia="Times New Roman" w:cs="Times New Roman"/>
                <w:color w:val="auto"/>
                <w:sz w:val="21"/>
              </w:rPr>
              <w:t>3</w:t>
            </w:r>
            <w:r>
              <w:rPr>
                <w:rFonts w:hint="default" w:ascii="Times New Roman" w:hAnsi="Times New Roman" w:cs="Times New Roman"/>
                <w:color w:val="auto"/>
                <w:sz w:val="21"/>
              </w:rPr>
              <w:t>、加强二氧化氯发生器的管理，定期检查，保证其正常运行。对操作人员进行安全和技能培训，确保对二氧化氯发生器的正确操作和维护。</w:t>
            </w: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420" w:firstLineChars="200"/>
              <w:jc w:val="left"/>
              <w:textAlignment w:val="auto"/>
              <w:rPr>
                <w:rFonts w:hint="default" w:ascii="Times New Roman" w:hAnsi="Times New Roman" w:cs="Times New Roman"/>
                <w:color w:val="auto"/>
                <w:sz w:val="21"/>
              </w:rPr>
            </w:pPr>
            <w:r>
              <w:rPr>
                <w:rFonts w:hint="default" w:ascii="Times New Roman" w:hAnsi="Times New Roman" w:eastAsia="Times New Roman" w:cs="Times New Roman"/>
                <w:color w:val="auto"/>
                <w:sz w:val="21"/>
              </w:rPr>
              <w:t>4</w:t>
            </w:r>
            <w:r>
              <w:rPr>
                <w:rFonts w:hint="default" w:ascii="Times New Roman" w:hAnsi="Times New Roman" w:cs="Times New Roman"/>
                <w:color w:val="auto"/>
                <w:sz w:val="21"/>
              </w:rPr>
              <w:t>、微生物实验室致病微生物的传播：安全柜安装有高效空气过滤器，安全柜排气筒内置的高效过滤器对粒径0.5μm以上的气溶胶去除效率达到99.99%，排气中的病原微生物可被彻底去除，达到空气洁净度7级。实验室内各入口处显著位置均设置室内压力显示装置，当负压值偏离控制区间时，则通过声、光等手段向实验室内外的人员发出警报。为防止断电引起排风系统不工作，实验室供电由市政电网双回路供应与发电机室连接，保证所有实验室不断电。为防止生物安全实验室病原微生物通过实验室排气泄露，实验室排风系统设置扫描检漏排风高效过滤装置，实现排风效果的及时扫描监测，确保达到净化效果后方可排入大气。排风系统一用一备，一旦运行系统出现问题，可自动切换，高效过滤装置同时进行定期检测。生物安全柜、实验室中高效过滤器的更换依据室内压差的变化来确定，通过监控系统监视高效过滤器的过滤效率，并对异常情况发出警报，提醒工作人员及时更换，避免在更换高效过滤器时造成实验室生物因子的泄漏，必须根据高效过滤器更换操作规程进行作业。在更换前，废弃的过滤材料均先进行在线消毒后，再拆除，废弃的过滤材料暂存于危废暂存间，定期交由有资质的单位进行处置</w:t>
            </w:r>
            <w:r>
              <w:rPr>
                <w:rFonts w:hint="default" w:ascii="Times New Roman" w:hAnsi="Times New Roman" w:cs="Times New Roman"/>
                <w:color w:val="auto"/>
                <w:spacing w:val="-6"/>
                <w:sz w:val="21"/>
              </w:rPr>
              <w:t>。</w:t>
            </w: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left"/>
              <w:textAlignment w:val="auto"/>
              <w:rPr>
                <w:rFonts w:hint="default" w:ascii="Times New Roman" w:hAnsi="Times New Roman" w:cs="Times New Roman"/>
                <w:color w:val="auto"/>
                <w:sz w:val="21"/>
              </w:rPr>
            </w:pPr>
            <w:r>
              <w:rPr>
                <w:rFonts w:hint="default" w:ascii="Times New Roman" w:hAnsi="Times New Roman" w:cs="Times New Roman"/>
                <w:color w:val="auto"/>
                <w:sz w:val="21"/>
                <w:lang w:val="en-US" w:eastAsia="zh-CN"/>
              </w:rPr>
              <w:t xml:space="preserve">  </w:t>
            </w:r>
            <w:r>
              <w:rPr>
                <w:rFonts w:hint="default" w:ascii="Times New Roman" w:hAnsi="Times New Roman" w:cs="Times New Roman"/>
                <w:color w:val="auto"/>
                <w:sz w:val="21"/>
              </w:rPr>
              <w:t>本项目企业应针对上述环境风险事故，制定相应的环境风险防范措施和环境风险应急预案，同时应配备相应的应急物质和应急设备。应急预案应定期演练和修编，以使得应急措施不断完善和及时有效地处置发的环境风险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2" w:type="dxa"/>
          <w:trHeight w:val="1843" w:hRule="atLeast"/>
        </w:trPr>
        <w:tc>
          <w:tcPr>
            <w:tcW w:w="8506" w:type="dxa"/>
            <w:gridSpan w:val="5"/>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both"/>
              <w:textAlignment w:val="auto"/>
              <w:rPr>
                <w:rFonts w:hint="default" w:ascii="Times New Roman" w:hAnsi="Times New Roman" w:cs="Times New Roman"/>
                <w:color w:val="auto"/>
                <w:sz w:val="21"/>
              </w:rPr>
            </w:pPr>
            <w:r>
              <w:rPr>
                <w:rFonts w:hint="default" w:ascii="Times New Roman" w:hAnsi="Times New Roman" w:cs="Times New Roman"/>
                <w:color w:val="auto"/>
                <w:sz w:val="21"/>
              </w:rPr>
              <w:t>填表说明（列出项目相关信息及评价说明）</w:t>
            </w: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420" w:firstLineChars="200"/>
              <w:jc w:val="both"/>
              <w:textAlignment w:val="auto"/>
              <w:rPr>
                <w:rFonts w:hint="default" w:ascii="Times New Roman" w:hAnsi="Times New Roman" w:cs="Times New Roman"/>
                <w:color w:val="auto"/>
                <w:sz w:val="21"/>
              </w:rPr>
            </w:pPr>
            <w:r>
              <w:rPr>
                <w:rFonts w:hint="default" w:ascii="Times New Roman" w:hAnsi="Times New Roman" w:cs="Times New Roman"/>
                <w:color w:val="auto"/>
                <w:sz w:val="21"/>
              </w:rPr>
              <w:t>根据《建设项目环境风险评价导则》（</w:t>
            </w:r>
            <w:r>
              <w:rPr>
                <w:rFonts w:hint="eastAsia" w:ascii="Times New Roman" w:hAnsi="Times New Roman" w:cs="Times New Roman"/>
                <w:color w:val="auto"/>
                <w:sz w:val="21"/>
                <w:lang w:eastAsia="zh-CN"/>
              </w:rPr>
              <w:t>HJ 169-2018</w:t>
            </w:r>
            <w:r>
              <w:rPr>
                <w:rFonts w:hint="default" w:ascii="Times New Roman" w:hAnsi="Times New Roman" w:cs="Times New Roman"/>
                <w:color w:val="auto"/>
                <w:sz w:val="21"/>
              </w:rPr>
              <w:t>）中附录</w:t>
            </w:r>
            <w:r>
              <w:rPr>
                <w:rFonts w:hint="default" w:ascii="Times New Roman" w:hAnsi="Times New Roman" w:eastAsia="Times New Roman" w:cs="Times New Roman"/>
                <w:color w:val="auto"/>
                <w:sz w:val="21"/>
              </w:rPr>
              <w:t>C</w:t>
            </w:r>
            <w:r>
              <w:rPr>
                <w:rFonts w:hint="default" w:ascii="Times New Roman" w:hAnsi="Times New Roman" w:cs="Times New Roman"/>
                <w:color w:val="auto"/>
                <w:sz w:val="21"/>
              </w:rPr>
              <w:t>计算危险物质数量与临界量的比值</w:t>
            </w:r>
            <w:r>
              <w:rPr>
                <w:rFonts w:hint="default" w:ascii="Times New Roman" w:hAnsi="Times New Roman" w:eastAsia="Times New Roman" w:cs="Times New Roman"/>
                <w:color w:val="auto"/>
                <w:sz w:val="21"/>
              </w:rPr>
              <w:t>Q</w:t>
            </w:r>
            <w:r>
              <w:rPr>
                <w:rFonts w:hint="default" w:ascii="Times New Roman" w:hAnsi="Times New Roman" w:cs="Times New Roman"/>
                <w:color w:val="auto"/>
                <w:sz w:val="21"/>
              </w:rPr>
              <w:t>，计算得到</w:t>
            </w:r>
            <w:r>
              <w:rPr>
                <w:rFonts w:hint="default" w:ascii="Times New Roman" w:hAnsi="Times New Roman" w:eastAsia="Times New Roman" w:cs="Times New Roman"/>
                <w:color w:val="auto"/>
                <w:sz w:val="21"/>
              </w:rPr>
              <w:t>Q=0.00301</w:t>
            </w:r>
            <w:r>
              <w:rPr>
                <w:rFonts w:hint="default" w:ascii="Times New Roman" w:hAnsi="Times New Roman" w:cs="Times New Roman"/>
                <w:color w:val="auto"/>
                <w:sz w:val="21"/>
              </w:rPr>
              <w:t>，可直接判断本项目环境风险潜势为</w:t>
            </w:r>
            <w:r>
              <w:rPr>
                <w:rFonts w:hint="default" w:ascii="Times New Roman" w:hAnsi="Times New Roman" w:eastAsia="Times New Roman" w:cs="Times New Roman"/>
                <w:color w:val="auto"/>
                <w:sz w:val="21"/>
              </w:rPr>
              <w:t>I</w:t>
            </w:r>
            <w:r>
              <w:rPr>
                <w:rFonts w:hint="default" w:ascii="Times New Roman" w:hAnsi="Times New Roman" w:cs="Times New Roman"/>
                <w:color w:val="auto"/>
                <w:sz w:val="21"/>
              </w:rPr>
              <w:t>。</w:t>
            </w: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420" w:firstLineChars="200"/>
              <w:jc w:val="left"/>
              <w:textAlignment w:val="auto"/>
              <w:rPr>
                <w:rFonts w:hint="default" w:ascii="Times New Roman" w:hAnsi="Times New Roman" w:cs="Times New Roman"/>
                <w:color w:val="auto"/>
                <w:sz w:val="21"/>
              </w:rPr>
            </w:pPr>
            <w:r>
              <w:rPr>
                <w:rFonts w:hint="default" w:ascii="Times New Roman" w:hAnsi="Times New Roman" w:cs="Times New Roman"/>
                <w:color w:val="auto"/>
                <w:sz w:val="21"/>
              </w:rPr>
              <w:t>同时根据《建设项目环境风险评价导则》（</w:t>
            </w:r>
            <w:r>
              <w:rPr>
                <w:rFonts w:hint="eastAsia" w:ascii="Times New Roman" w:hAnsi="Times New Roman" w:cs="Times New Roman"/>
                <w:color w:val="auto"/>
                <w:sz w:val="21"/>
                <w:lang w:eastAsia="zh-CN"/>
              </w:rPr>
              <w:t>HJ 169-2018</w:t>
            </w:r>
            <w:r>
              <w:rPr>
                <w:rFonts w:hint="default" w:ascii="Times New Roman" w:hAnsi="Times New Roman" w:cs="Times New Roman"/>
                <w:color w:val="auto"/>
                <w:sz w:val="21"/>
              </w:rPr>
              <w:t>），环境风险潜势为</w:t>
            </w:r>
            <w:r>
              <w:rPr>
                <w:rFonts w:hint="default" w:ascii="Times New Roman" w:hAnsi="Times New Roman" w:eastAsia="Times New Roman" w:cs="Times New Roman"/>
                <w:color w:val="auto"/>
                <w:sz w:val="21"/>
              </w:rPr>
              <w:t>I</w:t>
            </w:r>
            <w:r>
              <w:rPr>
                <w:rFonts w:hint="default" w:ascii="Times New Roman" w:hAnsi="Times New Roman" w:cs="Times New Roman"/>
                <w:color w:val="auto"/>
                <w:sz w:val="21"/>
              </w:rPr>
              <w:t>时环境风险评价做简单分析，在描述危险物质、环境风险途径、环境危害后果、风险防范措施等方面给出定性的说明即可。</w:t>
            </w:r>
          </w:p>
        </w:tc>
      </w:tr>
    </w:tbl>
    <w:p>
      <w:pPr>
        <w:tabs>
          <w:tab w:val="left" w:pos="1094"/>
        </w:tabs>
        <w:spacing w:before="78"/>
        <w:ind w:left="0" w:right="138" w:firstLine="0"/>
        <w:jc w:val="center"/>
        <w:rPr>
          <w:b/>
          <w:color w:val="auto"/>
          <w:sz w:val="21"/>
        </w:rPr>
      </w:pPr>
      <w:r>
        <w:rPr>
          <w:b/>
          <w:color w:val="auto"/>
          <w:sz w:val="21"/>
        </w:rPr>
        <w:t>表</w:t>
      </w:r>
      <w:r>
        <w:rPr>
          <w:rFonts w:hint="eastAsia" w:eastAsia="宋体"/>
          <w:b/>
          <w:color w:val="auto"/>
          <w:sz w:val="21"/>
          <w:lang w:val="en-US" w:eastAsia="zh-CN"/>
        </w:rPr>
        <w:t>5</w:t>
      </w:r>
      <w:r>
        <w:rPr>
          <w:rFonts w:ascii="Times New Roman" w:eastAsia="Times New Roman"/>
          <w:b/>
          <w:color w:val="auto"/>
          <w:sz w:val="21"/>
        </w:rPr>
        <w:t>.</w:t>
      </w:r>
      <w:r>
        <w:rPr>
          <w:rFonts w:hint="eastAsia" w:eastAsia="宋体"/>
          <w:b/>
          <w:color w:val="auto"/>
          <w:sz w:val="21"/>
          <w:lang w:val="en-US" w:eastAsia="zh-CN"/>
        </w:rPr>
        <w:t>2</w:t>
      </w:r>
      <w:r>
        <w:rPr>
          <w:rFonts w:ascii="Times New Roman" w:eastAsia="Times New Roman"/>
          <w:b/>
          <w:color w:val="auto"/>
          <w:sz w:val="21"/>
        </w:rPr>
        <w:t>-</w:t>
      </w:r>
      <w:r>
        <w:rPr>
          <w:rFonts w:hint="eastAsia" w:eastAsia="宋体"/>
          <w:b/>
          <w:color w:val="auto"/>
          <w:sz w:val="21"/>
          <w:lang w:val="en-US" w:eastAsia="zh-CN"/>
        </w:rPr>
        <w:t>1</w:t>
      </w:r>
      <w:r>
        <w:rPr>
          <w:rFonts w:ascii="Times New Roman" w:eastAsia="Times New Roman"/>
          <w:b/>
          <w:color w:val="auto"/>
          <w:sz w:val="21"/>
        </w:rPr>
        <w:t>2</w:t>
      </w:r>
      <w:r>
        <w:rPr>
          <w:rFonts w:ascii="Times New Roman" w:eastAsia="Times New Roman"/>
          <w:b/>
          <w:color w:val="auto"/>
          <w:sz w:val="21"/>
        </w:rPr>
        <w:tab/>
      </w:r>
      <w:r>
        <w:rPr>
          <w:b/>
          <w:color w:val="auto"/>
          <w:sz w:val="21"/>
        </w:rPr>
        <w:t>环境风险评</w:t>
      </w:r>
      <w:r>
        <w:rPr>
          <w:b/>
          <w:color w:val="auto"/>
          <w:spacing w:val="-3"/>
          <w:sz w:val="21"/>
        </w:rPr>
        <w:t>价</w:t>
      </w:r>
      <w:r>
        <w:rPr>
          <w:b/>
          <w:color w:val="auto"/>
          <w:sz w:val="21"/>
        </w:rPr>
        <w:t>自查表</w:t>
      </w:r>
    </w:p>
    <w:tbl>
      <w:tblPr>
        <w:tblStyle w:val="18"/>
        <w:tblW w:w="8503" w:type="dxa"/>
        <w:tblInd w:w="1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7"/>
        <w:gridCol w:w="1003"/>
        <w:gridCol w:w="886"/>
        <w:gridCol w:w="650"/>
        <w:gridCol w:w="369"/>
        <w:gridCol w:w="914"/>
        <w:gridCol w:w="1"/>
        <w:gridCol w:w="104"/>
        <w:gridCol w:w="545"/>
        <w:gridCol w:w="566"/>
        <w:gridCol w:w="730"/>
        <w:gridCol w:w="1"/>
        <w:gridCol w:w="196"/>
        <w:gridCol w:w="1019"/>
        <w:gridCol w:w="1021"/>
        <w:gridCol w:w="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274" w:hRule="atLeast"/>
        </w:trPr>
        <w:tc>
          <w:tcPr>
            <w:tcW w:w="2386" w:type="dxa"/>
            <w:gridSpan w:val="3"/>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工作内容</w:t>
            </w:r>
          </w:p>
        </w:tc>
        <w:tc>
          <w:tcPr>
            <w:tcW w:w="6116" w:type="dxa"/>
            <w:gridSpan w:val="12"/>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完成情况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624" w:hRule="atLeast"/>
        </w:trPr>
        <w:tc>
          <w:tcPr>
            <w:tcW w:w="497" w:type="dxa"/>
            <w:vMerge w:val="restart"/>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风险调查</w:t>
            </w:r>
          </w:p>
        </w:tc>
        <w:tc>
          <w:tcPr>
            <w:tcW w:w="1003" w:type="dxa"/>
            <w:vMerge w:val="restart"/>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危险物质</w:t>
            </w:r>
          </w:p>
        </w:tc>
        <w:tc>
          <w:tcPr>
            <w:tcW w:w="886" w:type="dxa"/>
          </w:tcPr>
          <w:p>
            <w:pPr>
              <w:pStyle w:val="27"/>
              <w:keepNext w:val="0"/>
              <w:keepLines w:val="0"/>
              <w:pageBreakBefore w:val="0"/>
              <w:widowControl w:val="0"/>
              <w:kinsoku/>
              <w:wordWrap/>
              <w:overflowPunct/>
              <w:topLinePunct w:val="0"/>
              <w:autoSpaceDE/>
              <w:autoSpaceDN/>
              <w:bidi w:val="0"/>
              <w:adjustRightInd/>
              <w:snapToGrid/>
              <w:spacing w:before="157" w:beforeLines="50" w:line="240" w:lineRule="auto"/>
              <w:ind w:left="0"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名称</w:t>
            </w:r>
          </w:p>
        </w:tc>
        <w:tc>
          <w:tcPr>
            <w:tcW w:w="1019" w:type="dxa"/>
            <w:gridSpan w:val="2"/>
          </w:tcPr>
          <w:p>
            <w:pPr>
              <w:pStyle w:val="27"/>
              <w:keepNext w:val="0"/>
              <w:keepLines w:val="0"/>
              <w:pageBreakBefore w:val="0"/>
              <w:widowControl w:val="0"/>
              <w:kinsoku/>
              <w:wordWrap/>
              <w:overflowPunct/>
              <w:topLinePunct w:val="0"/>
              <w:autoSpaceDE/>
              <w:autoSpaceDN/>
              <w:bidi w:val="0"/>
              <w:adjustRightInd/>
              <w:snapToGrid/>
              <w:spacing w:before="157" w:beforeLines="50" w:line="240" w:lineRule="auto"/>
              <w:ind w:left="0"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三氯甲烷</w:t>
            </w:r>
          </w:p>
        </w:tc>
        <w:tc>
          <w:tcPr>
            <w:tcW w:w="1019" w:type="dxa"/>
            <w:gridSpan w:val="3"/>
          </w:tcPr>
          <w:p>
            <w:pPr>
              <w:pStyle w:val="27"/>
              <w:keepNext w:val="0"/>
              <w:keepLines w:val="0"/>
              <w:pageBreakBefore w:val="0"/>
              <w:widowControl w:val="0"/>
              <w:kinsoku/>
              <w:wordWrap/>
              <w:overflowPunct/>
              <w:topLinePunct w:val="0"/>
              <w:autoSpaceDE/>
              <w:autoSpaceDN/>
              <w:bidi w:val="0"/>
              <w:adjustRightInd/>
              <w:snapToGrid/>
              <w:spacing w:before="157" w:beforeLines="50" w:line="240" w:lineRule="auto"/>
              <w:ind w:left="0"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硫酸</w:t>
            </w:r>
          </w:p>
        </w:tc>
        <w:tc>
          <w:tcPr>
            <w:tcW w:w="1111" w:type="dxa"/>
            <w:gridSpan w:val="2"/>
          </w:tcPr>
          <w:p>
            <w:pPr>
              <w:pStyle w:val="27"/>
              <w:keepNext w:val="0"/>
              <w:keepLines w:val="0"/>
              <w:pageBreakBefore w:val="0"/>
              <w:widowControl w:val="0"/>
              <w:kinsoku/>
              <w:wordWrap/>
              <w:overflowPunct/>
              <w:topLinePunct w:val="0"/>
              <w:autoSpaceDE/>
              <w:autoSpaceDN/>
              <w:bidi w:val="0"/>
              <w:adjustRightInd/>
              <w:snapToGrid/>
              <w:spacing w:before="157" w:beforeLines="50" w:line="240" w:lineRule="auto"/>
              <w:ind w:left="0"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盐酸</w:t>
            </w:r>
          </w:p>
        </w:tc>
        <w:tc>
          <w:tcPr>
            <w:tcW w:w="927" w:type="dxa"/>
            <w:gridSpan w:val="3"/>
          </w:tcPr>
          <w:p>
            <w:pPr>
              <w:pStyle w:val="27"/>
              <w:keepNext w:val="0"/>
              <w:keepLines w:val="0"/>
              <w:pageBreakBefore w:val="0"/>
              <w:widowControl w:val="0"/>
              <w:kinsoku/>
              <w:wordWrap/>
              <w:overflowPunct/>
              <w:topLinePunct w:val="0"/>
              <w:autoSpaceDE/>
              <w:autoSpaceDN/>
              <w:bidi w:val="0"/>
              <w:adjustRightInd/>
              <w:snapToGrid/>
              <w:spacing w:before="157" w:beforeLines="50" w:line="240" w:lineRule="auto"/>
              <w:ind w:left="0"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硝酸</w:t>
            </w:r>
          </w:p>
        </w:tc>
        <w:tc>
          <w:tcPr>
            <w:tcW w:w="1019" w:type="dxa"/>
          </w:tcPr>
          <w:p>
            <w:pPr>
              <w:pStyle w:val="27"/>
              <w:keepNext w:val="0"/>
              <w:keepLines w:val="0"/>
              <w:pageBreakBefore w:val="0"/>
              <w:widowControl w:val="0"/>
              <w:kinsoku/>
              <w:wordWrap/>
              <w:overflowPunct/>
              <w:topLinePunct w:val="0"/>
              <w:autoSpaceDE/>
              <w:autoSpaceDN/>
              <w:bidi w:val="0"/>
              <w:adjustRightInd/>
              <w:snapToGrid/>
              <w:spacing w:before="157" w:beforeLines="50" w:line="240" w:lineRule="auto"/>
              <w:ind w:left="0"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异丙醇</w:t>
            </w:r>
          </w:p>
        </w:tc>
        <w:tc>
          <w:tcPr>
            <w:tcW w:w="1021" w:type="dxa"/>
          </w:tcPr>
          <w:p>
            <w:pPr>
              <w:pStyle w:val="27"/>
              <w:keepNext w:val="0"/>
              <w:keepLines w:val="0"/>
              <w:pageBreakBefore w:val="0"/>
              <w:widowControl w:val="0"/>
              <w:kinsoku/>
              <w:wordWrap/>
              <w:overflowPunct/>
              <w:topLinePunct w:val="0"/>
              <w:autoSpaceDE/>
              <w:autoSpaceDN/>
              <w:bidi w:val="0"/>
              <w:adjustRightInd/>
              <w:snapToGrid/>
              <w:spacing w:before="157" w:beforeLines="50" w:line="240" w:lineRule="auto"/>
              <w:ind w:left="0" w:right="0" w:firstLine="0" w:firstLineChars="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丙醇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390" w:hRule="atLeast"/>
        </w:trPr>
        <w:tc>
          <w:tcPr>
            <w:tcW w:w="497" w:type="dxa"/>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
                <w:szCs w:val="2"/>
              </w:rPr>
            </w:pPr>
          </w:p>
        </w:tc>
        <w:tc>
          <w:tcPr>
            <w:tcW w:w="1003" w:type="dxa"/>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
                <w:szCs w:val="2"/>
              </w:rPr>
            </w:pPr>
          </w:p>
        </w:tc>
        <w:tc>
          <w:tcPr>
            <w:tcW w:w="886" w:type="dxa"/>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18"/>
                <w:szCs w:val="18"/>
                <w:lang w:eastAsia="zh-CN"/>
              </w:rPr>
            </w:pPr>
            <w:r>
              <w:rPr>
                <w:rFonts w:hint="default" w:ascii="Times New Roman" w:hAnsi="Times New Roman" w:cs="Times New Roman"/>
                <w:color w:val="auto"/>
                <w:sz w:val="18"/>
                <w:szCs w:val="18"/>
              </w:rPr>
              <w:t>存在总量</w:t>
            </w:r>
            <w:r>
              <w:rPr>
                <w:rFonts w:hint="default" w:ascii="Times New Roman" w:hAnsi="Times New Roman" w:eastAsia="Times New Roman" w:cs="Times New Roman"/>
                <w:color w:val="auto"/>
                <w:sz w:val="18"/>
                <w:szCs w:val="18"/>
              </w:rPr>
              <w:t>/</w:t>
            </w:r>
            <w:r>
              <w:rPr>
                <w:rFonts w:hint="default" w:ascii="Times New Roman" w:hAnsi="Times New Roman" w:eastAsia="宋体" w:cs="Times New Roman"/>
                <w:color w:val="auto"/>
                <w:sz w:val="18"/>
                <w:szCs w:val="18"/>
                <w:lang w:val="en-US" w:eastAsia="zh-CN"/>
              </w:rPr>
              <w:t>kg</w:t>
            </w:r>
          </w:p>
        </w:tc>
        <w:tc>
          <w:tcPr>
            <w:tcW w:w="1019" w:type="dxa"/>
            <w:gridSpan w:val="2"/>
          </w:tcPr>
          <w:p>
            <w:pPr>
              <w:pStyle w:val="27"/>
              <w:keepNext w:val="0"/>
              <w:keepLines w:val="0"/>
              <w:pageBreakBefore w:val="0"/>
              <w:widowControl w:val="0"/>
              <w:kinsoku/>
              <w:wordWrap/>
              <w:overflowPunct/>
              <w:topLinePunct w:val="0"/>
              <w:autoSpaceDE/>
              <w:autoSpaceDN/>
              <w:bidi w:val="0"/>
              <w:adjustRightInd/>
              <w:snapToGrid/>
              <w:spacing w:before="157" w:beforeLines="5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1.5</w:t>
            </w:r>
          </w:p>
        </w:tc>
        <w:tc>
          <w:tcPr>
            <w:tcW w:w="1019" w:type="dxa"/>
            <w:gridSpan w:val="3"/>
          </w:tcPr>
          <w:p>
            <w:pPr>
              <w:pStyle w:val="27"/>
              <w:keepNext w:val="0"/>
              <w:keepLines w:val="0"/>
              <w:pageBreakBefore w:val="0"/>
              <w:widowControl w:val="0"/>
              <w:kinsoku/>
              <w:wordWrap/>
              <w:overflowPunct/>
              <w:topLinePunct w:val="0"/>
              <w:autoSpaceDE/>
              <w:autoSpaceDN/>
              <w:bidi w:val="0"/>
              <w:adjustRightInd/>
              <w:snapToGrid/>
              <w:spacing w:before="157" w:beforeLines="5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15</w:t>
            </w:r>
          </w:p>
        </w:tc>
        <w:tc>
          <w:tcPr>
            <w:tcW w:w="1111" w:type="dxa"/>
            <w:gridSpan w:val="2"/>
          </w:tcPr>
          <w:p>
            <w:pPr>
              <w:pStyle w:val="27"/>
              <w:keepNext w:val="0"/>
              <w:keepLines w:val="0"/>
              <w:pageBreakBefore w:val="0"/>
              <w:widowControl w:val="0"/>
              <w:kinsoku/>
              <w:wordWrap/>
              <w:overflowPunct/>
              <w:topLinePunct w:val="0"/>
              <w:autoSpaceDE/>
              <w:autoSpaceDN/>
              <w:bidi w:val="0"/>
              <w:adjustRightInd/>
              <w:snapToGrid/>
              <w:spacing w:before="157" w:beforeLines="5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w:t>
            </w:r>
          </w:p>
        </w:tc>
        <w:tc>
          <w:tcPr>
            <w:tcW w:w="927" w:type="dxa"/>
            <w:gridSpan w:val="3"/>
          </w:tcPr>
          <w:p>
            <w:pPr>
              <w:pStyle w:val="27"/>
              <w:keepNext w:val="0"/>
              <w:keepLines w:val="0"/>
              <w:pageBreakBefore w:val="0"/>
              <w:widowControl w:val="0"/>
              <w:kinsoku/>
              <w:wordWrap/>
              <w:overflowPunct/>
              <w:topLinePunct w:val="0"/>
              <w:autoSpaceDE/>
              <w:autoSpaceDN/>
              <w:bidi w:val="0"/>
              <w:adjustRightInd/>
              <w:snapToGrid/>
              <w:spacing w:before="157" w:beforeLines="5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7</w:t>
            </w:r>
          </w:p>
        </w:tc>
        <w:tc>
          <w:tcPr>
            <w:tcW w:w="1019" w:type="dxa"/>
          </w:tcPr>
          <w:p>
            <w:pPr>
              <w:pStyle w:val="27"/>
              <w:keepNext w:val="0"/>
              <w:keepLines w:val="0"/>
              <w:pageBreakBefore w:val="0"/>
              <w:widowControl w:val="0"/>
              <w:kinsoku/>
              <w:wordWrap/>
              <w:overflowPunct/>
              <w:topLinePunct w:val="0"/>
              <w:autoSpaceDE/>
              <w:autoSpaceDN/>
              <w:bidi w:val="0"/>
              <w:adjustRightInd/>
              <w:snapToGrid/>
              <w:spacing w:before="157" w:beforeLines="5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0.25</w:t>
            </w:r>
          </w:p>
        </w:tc>
        <w:tc>
          <w:tcPr>
            <w:tcW w:w="1021" w:type="dxa"/>
          </w:tcPr>
          <w:p>
            <w:pPr>
              <w:pStyle w:val="27"/>
              <w:keepNext w:val="0"/>
              <w:keepLines w:val="0"/>
              <w:pageBreakBefore w:val="0"/>
              <w:widowControl w:val="0"/>
              <w:kinsoku/>
              <w:wordWrap/>
              <w:overflowPunct/>
              <w:topLinePunct w:val="0"/>
              <w:autoSpaceDE/>
              <w:autoSpaceDN/>
              <w:bidi w:val="0"/>
              <w:adjustRightInd/>
              <w:snapToGrid/>
              <w:spacing w:before="157" w:beforeLines="50" w:line="240" w:lineRule="auto"/>
              <w:ind w:left="0" w:right="0" w:firstLine="0" w:firstLineChars="0"/>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390" w:hRule="atLeast"/>
        </w:trPr>
        <w:tc>
          <w:tcPr>
            <w:tcW w:w="497" w:type="dxa"/>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
                <w:szCs w:val="2"/>
              </w:rPr>
            </w:pPr>
          </w:p>
        </w:tc>
        <w:tc>
          <w:tcPr>
            <w:tcW w:w="1003" w:type="dxa"/>
            <w:vMerge w:val="restart"/>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环境敏感性</w:t>
            </w:r>
          </w:p>
        </w:tc>
        <w:tc>
          <w:tcPr>
            <w:tcW w:w="886" w:type="dxa"/>
            <w:vMerge w:val="restart"/>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大气</w:t>
            </w:r>
          </w:p>
        </w:tc>
        <w:tc>
          <w:tcPr>
            <w:tcW w:w="2583" w:type="dxa"/>
            <w:gridSpan w:val="6"/>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eastAsia="Times New Roman" w:cs="Times New Roman"/>
                <w:color w:val="auto"/>
                <w:sz w:val="18"/>
              </w:rPr>
              <w:t>500m</w:t>
            </w:r>
            <w:r>
              <w:rPr>
                <w:rFonts w:hint="default" w:ascii="Times New Roman" w:hAnsi="Times New Roman" w:cs="Times New Roman"/>
                <w:color w:val="auto"/>
                <w:sz w:val="18"/>
              </w:rPr>
              <w:t>范围内人口数</w:t>
            </w:r>
            <w:r>
              <w:rPr>
                <w:rFonts w:hint="default" w:ascii="Times New Roman" w:hAnsi="Times New Roman" w:eastAsia="宋体" w:cs="Times New Roman"/>
                <w:color w:val="auto"/>
                <w:sz w:val="18"/>
                <w:u w:val="single"/>
                <w:lang w:val="en-US" w:eastAsia="zh-CN"/>
              </w:rPr>
              <w:t>680</w:t>
            </w:r>
            <w:r>
              <w:rPr>
                <w:rFonts w:hint="default" w:ascii="Times New Roman" w:hAnsi="Times New Roman" w:cs="Times New Roman"/>
                <w:color w:val="auto"/>
                <w:sz w:val="18"/>
              </w:rPr>
              <w:t>人</w:t>
            </w:r>
          </w:p>
        </w:tc>
        <w:tc>
          <w:tcPr>
            <w:tcW w:w="3533" w:type="dxa"/>
            <w:gridSpan w:val="6"/>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eastAsia="Times New Roman" w:cs="Times New Roman"/>
                <w:color w:val="auto"/>
                <w:sz w:val="18"/>
              </w:rPr>
              <w:t>5km</w:t>
            </w:r>
            <w:r>
              <w:rPr>
                <w:rFonts w:hint="default" w:ascii="Times New Roman" w:hAnsi="Times New Roman" w:cs="Times New Roman"/>
                <w:color w:val="auto"/>
                <w:sz w:val="18"/>
              </w:rPr>
              <w:t>范围内人口数</w:t>
            </w:r>
            <w:r>
              <w:rPr>
                <w:rFonts w:hint="default" w:ascii="Times New Roman" w:hAnsi="Times New Roman" w:eastAsia="宋体" w:cs="Times New Roman"/>
                <w:color w:val="auto"/>
                <w:sz w:val="18"/>
                <w:lang w:val="en-US" w:eastAsia="zh-CN"/>
              </w:rPr>
              <w:t>6500</w:t>
            </w:r>
            <w:r>
              <w:rPr>
                <w:rFonts w:hint="default" w:ascii="Times New Roman" w:hAnsi="Times New Roman" w:cs="Times New Roman"/>
                <w:color w:val="auto"/>
                <w:sz w:val="18"/>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390" w:hRule="atLeast"/>
        </w:trPr>
        <w:tc>
          <w:tcPr>
            <w:tcW w:w="497" w:type="dxa"/>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
                <w:szCs w:val="2"/>
              </w:rPr>
            </w:pPr>
          </w:p>
        </w:tc>
        <w:tc>
          <w:tcPr>
            <w:tcW w:w="1003" w:type="dxa"/>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
                <w:szCs w:val="2"/>
              </w:rPr>
            </w:pPr>
          </w:p>
        </w:tc>
        <w:tc>
          <w:tcPr>
            <w:tcW w:w="886" w:type="dxa"/>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
                <w:szCs w:val="2"/>
              </w:rPr>
            </w:pPr>
          </w:p>
        </w:tc>
        <w:tc>
          <w:tcPr>
            <w:tcW w:w="3879" w:type="dxa"/>
            <w:gridSpan w:val="8"/>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每公里管段周边</w:t>
            </w:r>
            <w:r>
              <w:rPr>
                <w:rFonts w:hint="default" w:ascii="Times New Roman" w:hAnsi="Times New Roman" w:eastAsia="Times New Roman" w:cs="Times New Roman"/>
                <w:color w:val="auto"/>
                <w:sz w:val="18"/>
              </w:rPr>
              <w:t>200m</w:t>
            </w:r>
            <w:r>
              <w:rPr>
                <w:rFonts w:hint="default" w:ascii="Times New Roman" w:hAnsi="Times New Roman" w:cs="Times New Roman"/>
                <w:color w:val="auto"/>
                <w:sz w:val="18"/>
              </w:rPr>
              <w:t>范围内人口数（最大）</w:t>
            </w:r>
          </w:p>
        </w:tc>
        <w:tc>
          <w:tcPr>
            <w:tcW w:w="2237" w:type="dxa"/>
            <w:gridSpan w:val="4"/>
          </w:tcPr>
          <w:p>
            <w:pPr>
              <w:pStyle w:val="27"/>
              <w:keepNext w:val="0"/>
              <w:keepLines w:val="0"/>
              <w:pageBreakBefore w:val="0"/>
              <w:widowControl w:val="0"/>
              <w:tabs>
                <w:tab w:val="left" w:pos="1317"/>
              </w:tabs>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eastAsia="Times New Roman" w:cs="Times New Roman"/>
                <w:color w:val="auto"/>
                <w:sz w:val="18"/>
                <w:u w:val="single"/>
              </w:rPr>
              <w:tab/>
            </w:r>
            <w:r>
              <w:rPr>
                <w:rFonts w:hint="default" w:ascii="Times New Roman" w:hAnsi="Times New Roman" w:cs="Times New Roman"/>
                <w:color w:val="auto"/>
                <w:sz w:val="18"/>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623" w:hRule="atLeast"/>
        </w:trPr>
        <w:tc>
          <w:tcPr>
            <w:tcW w:w="497" w:type="dxa"/>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
                <w:szCs w:val="2"/>
              </w:rPr>
            </w:pPr>
          </w:p>
        </w:tc>
        <w:tc>
          <w:tcPr>
            <w:tcW w:w="1003" w:type="dxa"/>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
                <w:szCs w:val="2"/>
              </w:rPr>
            </w:pPr>
          </w:p>
        </w:tc>
        <w:tc>
          <w:tcPr>
            <w:tcW w:w="886" w:type="dxa"/>
            <w:vMerge w:val="restart"/>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地表水</w:t>
            </w:r>
          </w:p>
        </w:tc>
        <w:tc>
          <w:tcPr>
            <w:tcW w:w="1933" w:type="dxa"/>
            <w:gridSpan w:val="3"/>
          </w:tcPr>
          <w:p>
            <w:pPr>
              <w:pStyle w:val="27"/>
              <w:keepNext w:val="0"/>
              <w:keepLines w:val="0"/>
              <w:pageBreakBefore w:val="0"/>
              <w:widowControl w:val="0"/>
              <w:kinsoku/>
              <w:wordWrap/>
              <w:overflowPunct/>
              <w:topLinePunct w:val="0"/>
              <w:autoSpaceDE/>
              <w:autoSpaceDN/>
              <w:bidi w:val="0"/>
              <w:adjustRightInd/>
              <w:snapToGrid/>
              <w:spacing w:before="157" w:beforeLines="5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地表水功能敏感性</w:t>
            </w:r>
          </w:p>
        </w:tc>
        <w:tc>
          <w:tcPr>
            <w:tcW w:w="1216" w:type="dxa"/>
            <w:gridSpan w:val="4"/>
          </w:tcPr>
          <w:p>
            <w:pPr>
              <w:pStyle w:val="27"/>
              <w:keepNext w:val="0"/>
              <w:keepLines w:val="0"/>
              <w:pageBreakBefore w:val="0"/>
              <w:widowControl w:val="0"/>
              <w:kinsoku/>
              <w:wordWrap/>
              <w:overflowPunct/>
              <w:topLinePunct w:val="0"/>
              <w:autoSpaceDE/>
              <w:autoSpaceDN/>
              <w:bidi w:val="0"/>
              <w:adjustRightInd/>
              <w:snapToGrid/>
              <w:spacing w:before="157" w:beforeLines="5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F1</w:t>
            </w:r>
            <w:r>
              <w:rPr>
                <w:rFonts w:hint="eastAsia" w:ascii="Times New Roman" w:hAnsi="Times New Roman" w:cs="Times New Roman"/>
                <w:color w:val="auto"/>
                <w:sz w:val="18"/>
                <w:lang w:eastAsia="zh-CN"/>
              </w:rPr>
              <w:t>□</w:t>
            </w:r>
          </w:p>
        </w:tc>
        <w:tc>
          <w:tcPr>
            <w:tcW w:w="730" w:type="dxa"/>
          </w:tcPr>
          <w:p>
            <w:pPr>
              <w:pStyle w:val="27"/>
              <w:keepNext w:val="0"/>
              <w:keepLines w:val="0"/>
              <w:pageBreakBefore w:val="0"/>
              <w:widowControl w:val="0"/>
              <w:kinsoku/>
              <w:wordWrap/>
              <w:overflowPunct/>
              <w:topLinePunct w:val="0"/>
              <w:autoSpaceDE/>
              <w:autoSpaceDN/>
              <w:bidi w:val="0"/>
              <w:adjustRightInd/>
              <w:snapToGrid/>
              <w:spacing w:before="157" w:beforeLines="5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F2</w:t>
            </w:r>
            <w:r>
              <w:rPr>
                <w:rFonts w:hint="eastAsia" w:ascii="Times New Roman" w:hAnsi="Times New Roman" w:cs="Times New Roman"/>
                <w:color w:val="auto"/>
                <w:sz w:val="18"/>
                <w:lang w:eastAsia="zh-CN"/>
              </w:rPr>
              <w:t>□</w:t>
            </w:r>
          </w:p>
        </w:tc>
        <w:tc>
          <w:tcPr>
            <w:tcW w:w="2237" w:type="dxa"/>
            <w:gridSpan w:val="4"/>
          </w:tcPr>
          <w:p>
            <w:pPr>
              <w:pStyle w:val="27"/>
              <w:keepNext w:val="0"/>
              <w:keepLines w:val="0"/>
              <w:pageBreakBefore w:val="0"/>
              <w:widowControl w:val="0"/>
              <w:kinsoku/>
              <w:wordWrap/>
              <w:overflowPunct/>
              <w:topLinePunct w:val="0"/>
              <w:autoSpaceDE/>
              <w:autoSpaceDN/>
              <w:bidi w:val="0"/>
              <w:adjustRightInd/>
              <w:snapToGrid/>
              <w:spacing w:before="157" w:beforeLines="50" w:line="240" w:lineRule="auto"/>
              <w:ind w:left="0" w:right="0" w:firstLine="0" w:firstLineChars="0"/>
              <w:jc w:val="center"/>
              <w:textAlignment w:val="auto"/>
              <w:rPr>
                <w:rFonts w:hint="default" w:ascii="Times New Roman" w:hAnsi="Times New Roman" w:eastAsia="宋体" w:cs="Times New Roman"/>
                <w:color w:val="auto"/>
                <w:sz w:val="18"/>
                <w:lang w:eastAsia="zh-CN"/>
              </w:rPr>
            </w:pPr>
            <w:r>
              <w:rPr>
                <w:rFonts w:hint="default" w:ascii="Times New Roman" w:hAnsi="Times New Roman" w:cs="Times New Roman"/>
                <w:color w:val="auto"/>
                <w:sz w:val="18"/>
              </w:rPr>
              <w:t>F3</w:t>
            </w:r>
            <w:r>
              <w:rPr>
                <w:rFonts w:hint="default" w:ascii="Times New Roman" w:hAnsi="Times New Roman" w:cs="Times New Roman"/>
                <w:color w:val="auto"/>
                <w:sz w:val="1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623" w:hRule="atLeast"/>
        </w:trPr>
        <w:tc>
          <w:tcPr>
            <w:tcW w:w="497" w:type="dxa"/>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
                <w:szCs w:val="2"/>
              </w:rPr>
            </w:pPr>
          </w:p>
        </w:tc>
        <w:tc>
          <w:tcPr>
            <w:tcW w:w="1003" w:type="dxa"/>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
                <w:szCs w:val="2"/>
              </w:rPr>
            </w:pPr>
          </w:p>
        </w:tc>
        <w:tc>
          <w:tcPr>
            <w:tcW w:w="886" w:type="dxa"/>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
                <w:szCs w:val="2"/>
              </w:rPr>
            </w:pPr>
          </w:p>
        </w:tc>
        <w:tc>
          <w:tcPr>
            <w:tcW w:w="1933" w:type="dxa"/>
            <w:gridSpan w:val="3"/>
          </w:tcPr>
          <w:p>
            <w:pPr>
              <w:pStyle w:val="27"/>
              <w:keepNext w:val="0"/>
              <w:keepLines w:val="0"/>
              <w:pageBreakBefore w:val="0"/>
              <w:widowControl w:val="0"/>
              <w:kinsoku/>
              <w:wordWrap/>
              <w:overflowPunct/>
              <w:topLinePunct w:val="0"/>
              <w:autoSpaceDE/>
              <w:autoSpaceDN/>
              <w:bidi w:val="0"/>
              <w:adjustRightInd/>
              <w:snapToGrid/>
              <w:spacing w:before="157" w:beforeLines="5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环境敏感目标分级</w:t>
            </w:r>
          </w:p>
        </w:tc>
        <w:tc>
          <w:tcPr>
            <w:tcW w:w="1216" w:type="dxa"/>
            <w:gridSpan w:val="4"/>
          </w:tcPr>
          <w:p>
            <w:pPr>
              <w:pStyle w:val="27"/>
              <w:keepNext w:val="0"/>
              <w:keepLines w:val="0"/>
              <w:pageBreakBefore w:val="0"/>
              <w:widowControl w:val="0"/>
              <w:kinsoku/>
              <w:wordWrap/>
              <w:overflowPunct/>
              <w:topLinePunct w:val="0"/>
              <w:autoSpaceDE/>
              <w:autoSpaceDN/>
              <w:bidi w:val="0"/>
              <w:adjustRightInd/>
              <w:snapToGrid/>
              <w:spacing w:before="157" w:beforeLines="5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S1</w:t>
            </w:r>
            <w:r>
              <w:rPr>
                <w:rFonts w:hint="eastAsia" w:ascii="Times New Roman" w:hAnsi="Times New Roman" w:cs="Times New Roman"/>
                <w:color w:val="auto"/>
                <w:sz w:val="18"/>
                <w:lang w:eastAsia="zh-CN"/>
              </w:rPr>
              <w:t>□</w:t>
            </w:r>
          </w:p>
        </w:tc>
        <w:tc>
          <w:tcPr>
            <w:tcW w:w="730" w:type="dxa"/>
          </w:tcPr>
          <w:p>
            <w:pPr>
              <w:pStyle w:val="27"/>
              <w:keepNext w:val="0"/>
              <w:keepLines w:val="0"/>
              <w:pageBreakBefore w:val="0"/>
              <w:widowControl w:val="0"/>
              <w:kinsoku/>
              <w:wordWrap/>
              <w:overflowPunct/>
              <w:topLinePunct w:val="0"/>
              <w:autoSpaceDE/>
              <w:autoSpaceDN/>
              <w:bidi w:val="0"/>
              <w:adjustRightInd/>
              <w:snapToGrid/>
              <w:spacing w:before="157" w:beforeLines="5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S2</w:t>
            </w:r>
            <w:r>
              <w:rPr>
                <w:rFonts w:hint="eastAsia" w:ascii="Times New Roman" w:hAnsi="Times New Roman" w:cs="Times New Roman"/>
                <w:color w:val="auto"/>
                <w:sz w:val="18"/>
                <w:lang w:eastAsia="zh-CN"/>
              </w:rPr>
              <w:t>□</w:t>
            </w:r>
          </w:p>
        </w:tc>
        <w:tc>
          <w:tcPr>
            <w:tcW w:w="2237" w:type="dxa"/>
            <w:gridSpan w:val="4"/>
          </w:tcPr>
          <w:p>
            <w:pPr>
              <w:pStyle w:val="27"/>
              <w:keepNext w:val="0"/>
              <w:keepLines w:val="0"/>
              <w:pageBreakBefore w:val="0"/>
              <w:widowControl w:val="0"/>
              <w:kinsoku/>
              <w:wordWrap/>
              <w:overflowPunct/>
              <w:topLinePunct w:val="0"/>
              <w:autoSpaceDE/>
              <w:autoSpaceDN/>
              <w:bidi w:val="0"/>
              <w:adjustRightInd/>
              <w:snapToGrid/>
              <w:spacing w:before="157" w:beforeLines="50" w:line="240" w:lineRule="auto"/>
              <w:ind w:left="0" w:right="0" w:firstLine="0" w:firstLineChars="0"/>
              <w:jc w:val="center"/>
              <w:textAlignment w:val="auto"/>
              <w:rPr>
                <w:rFonts w:hint="default" w:ascii="Times New Roman" w:hAnsi="Times New Roman" w:eastAsia="宋体" w:cs="Times New Roman"/>
                <w:color w:val="auto"/>
                <w:sz w:val="18"/>
                <w:lang w:eastAsia="zh-CN"/>
              </w:rPr>
            </w:pPr>
            <w:r>
              <w:rPr>
                <w:rFonts w:hint="default" w:ascii="Times New Roman" w:hAnsi="Times New Roman" w:cs="Times New Roman"/>
                <w:color w:val="auto"/>
                <w:sz w:val="18"/>
              </w:rPr>
              <w:t>S3</w:t>
            </w:r>
            <w:r>
              <w:rPr>
                <w:rFonts w:hint="default" w:ascii="Times New Roman" w:hAnsi="Times New Roman" w:cs="Times New Roman"/>
                <w:color w:val="auto"/>
                <w:sz w:val="1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624" w:hRule="atLeast"/>
        </w:trPr>
        <w:tc>
          <w:tcPr>
            <w:tcW w:w="497" w:type="dxa"/>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
                <w:szCs w:val="2"/>
              </w:rPr>
            </w:pPr>
          </w:p>
        </w:tc>
        <w:tc>
          <w:tcPr>
            <w:tcW w:w="1003" w:type="dxa"/>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
                <w:szCs w:val="2"/>
              </w:rPr>
            </w:pPr>
          </w:p>
        </w:tc>
        <w:tc>
          <w:tcPr>
            <w:tcW w:w="886" w:type="dxa"/>
            <w:vMerge w:val="restart"/>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地下水</w:t>
            </w:r>
          </w:p>
        </w:tc>
        <w:tc>
          <w:tcPr>
            <w:tcW w:w="1933" w:type="dxa"/>
            <w:gridSpan w:val="3"/>
          </w:tcPr>
          <w:p>
            <w:pPr>
              <w:pStyle w:val="27"/>
              <w:keepNext w:val="0"/>
              <w:keepLines w:val="0"/>
              <w:pageBreakBefore w:val="0"/>
              <w:widowControl w:val="0"/>
              <w:kinsoku/>
              <w:wordWrap/>
              <w:overflowPunct/>
              <w:topLinePunct w:val="0"/>
              <w:autoSpaceDE/>
              <w:autoSpaceDN/>
              <w:bidi w:val="0"/>
              <w:adjustRightInd/>
              <w:snapToGrid/>
              <w:spacing w:before="157" w:beforeLines="5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地下水功能敏感性</w:t>
            </w:r>
          </w:p>
        </w:tc>
        <w:tc>
          <w:tcPr>
            <w:tcW w:w="1216" w:type="dxa"/>
            <w:gridSpan w:val="4"/>
          </w:tcPr>
          <w:p>
            <w:pPr>
              <w:pStyle w:val="27"/>
              <w:keepNext w:val="0"/>
              <w:keepLines w:val="0"/>
              <w:pageBreakBefore w:val="0"/>
              <w:widowControl w:val="0"/>
              <w:kinsoku/>
              <w:wordWrap/>
              <w:overflowPunct/>
              <w:topLinePunct w:val="0"/>
              <w:autoSpaceDE/>
              <w:autoSpaceDN/>
              <w:bidi w:val="0"/>
              <w:adjustRightInd/>
              <w:snapToGrid/>
              <w:spacing w:before="157" w:beforeLines="5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G1</w:t>
            </w:r>
            <w:r>
              <w:rPr>
                <w:rFonts w:hint="eastAsia" w:ascii="Times New Roman" w:hAnsi="Times New Roman" w:cs="Times New Roman"/>
                <w:color w:val="auto"/>
                <w:sz w:val="18"/>
                <w:lang w:eastAsia="zh-CN"/>
              </w:rPr>
              <w:t>□</w:t>
            </w:r>
          </w:p>
        </w:tc>
        <w:tc>
          <w:tcPr>
            <w:tcW w:w="730" w:type="dxa"/>
          </w:tcPr>
          <w:p>
            <w:pPr>
              <w:pStyle w:val="27"/>
              <w:keepNext w:val="0"/>
              <w:keepLines w:val="0"/>
              <w:pageBreakBefore w:val="0"/>
              <w:widowControl w:val="0"/>
              <w:kinsoku/>
              <w:wordWrap/>
              <w:overflowPunct/>
              <w:topLinePunct w:val="0"/>
              <w:autoSpaceDE/>
              <w:autoSpaceDN/>
              <w:bidi w:val="0"/>
              <w:adjustRightInd/>
              <w:snapToGrid/>
              <w:spacing w:before="157" w:beforeLines="5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G2</w:t>
            </w:r>
            <w:r>
              <w:rPr>
                <w:rFonts w:hint="eastAsia" w:ascii="Times New Roman" w:hAnsi="Times New Roman" w:cs="Times New Roman"/>
                <w:color w:val="auto"/>
                <w:sz w:val="18"/>
                <w:lang w:eastAsia="zh-CN"/>
              </w:rPr>
              <w:t>□</w:t>
            </w:r>
          </w:p>
        </w:tc>
        <w:tc>
          <w:tcPr>
            <w:tcW w:w="2237" w:type="dxa"/>
            <w:gridSpan w:val="4"/>
          </w:tcPr>
          <w:p>
            <w:pPr>
              <w:pStyle w:val="27"/>
              <w:keepNext w:val="0"/>
              <w:keepLines w:val="0"/>
              <w:pageBreakBefore w:val="0"/>
              <w:widowControl w:val="0"/>
              <w:kinsoku/>
              <w:wordWrap/>
              <w:overflowPunct/>
              <w:topLinePunct w:val="0"/>
              <w:autoSpaceDE/>
              <w:autoSpaceDN/>
              <w:bidi w:val="0"/>
              <w:adjustRightInd/>
              <w:snapToGrid/>
              <w:spacing w:before="157" w:beforeLines="50" w:line="240" w:lineRule="auto"/>
              <w:ind w:left="0" w:right="0" w:firstLine="0" w:firstLineChars="0"/>
              <w:jc w:val="center"/>
              <w:textAlignment w:val="auto"/>
              <w:rPr>
                <w:rFonts w:hint="default" w:ascii="Times New Roman" w:hAnsi="Times New Roman" w:eastAsia="宋体" w:cs="Times New Roman"/>
                <w:color w:val="auto"/>
                <w:sz w:val="18"/>
                <w:lang w:eastAsia="zh-CN"/>
              </w:rPr>
            </w:pPr>
            <w:r>
              <w:rPr>
                <w:rFonts w:hint="default" w:ascii="Times New Roman" w:hAnsi="Times New Roman" w:cs="Times New Roman"/>
                <w:color w:val="auto"/>
                <w:sz w:val="18"/>
              </w:rPr>
              <w:t>G3</w:t>
            </w:r>
            <w:r>
              <w:rPr>
                <w:rFonts w:hint="default" w:ascii="Times New Roman" w:hAnsi="Times New Roman" w:cs="Times New Roman"/>
                <w:color w:val="auto"/>
                <w:sz w:val="1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858" w:hRule="atLeast"/>
        </w:trPr>
        <w:tc>
          <w:tcPr>
            <w:tcW w:w="497" w:type="dxa"/>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
                <w:szCs w:val="2"/>
              </w:rPr>
            </w:pPr>
          </w:p>
        </w:tc>
        <w:tc>
          <w:tcPr>
            <w:tcW w:w="1003" w:type="dxa"/>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
                <w:szCs w:val="2"/>
              </w:rPr>
            </w:pPr>
          </w:p>
        </w:tc>
        <w:tc>
          <w:tcPr>
            <w:tcW w:w="886" w:type="dxa"/>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
                <w:szCs w:val="2"/>
              </w:rPr>
            </w:pPr>
          </w:p>
        </w:tc>
        <w:tc>
          <w:tcPr>
            <w:tcW w:w="1933" w:type="dxa"/>
            <w:gridSpan w:val="3"/>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包气带防污性能</w:t>
            </w:r>
          </w:p>
        </w:tc>
        <w:tc>
          <w:tcPr>
            <w:tcW w:w="1216" w:type="dxa"/>
            <w:gridSpan w:val="4"/>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D1</w:t>
            </w:r>
            <w:r>
              <w:rPr>
                <w:rFonts w:hint="eastAsia" w:ascii="Times New Roman" w:hAnsi="Times New Roman" w:cs="Times New Roman"/>
                <w:color w:val="auto"/>
                <w:sz w:val="18"/>
                <w:lang w:eastAsia="zh-CN"/>
              </w:rPr>
              <w:t>□</w:t>
            </w:r>
          </w:p>
        </w:tc>
        <w:tc>
          <w:tcPr>
            <w:tcW w:w="730" w:type="dxa"/>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D2</w:t>
            </w:r>
            <w:r>
              <w:rPr>
                <w:rFonts w:hint="eastAsia" w:ascii="Times New Roman" w:hAnsi="Times New Roman" w:cs="Times New Roman"/>
                <w:color w:val="auto"/>
                <w:sz w:val="18"/>
                <w:lang w:eastAsia="zh-CN"/>
              </w:rPr>
              <w:t>□</w:t>
            </w:r>
          </w:p>
        </w:tc>
        <w:tc>
          <w:tcPr>
            <w:tcW w:w="2237" w:type="dxa"/>
            <w:gridSpan w:val="4"/>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18"/>
                <w:lang w:eastAsia="zh-CN"/>
              </w:rPr>
            </w:pPr>
            <w:r>
              <w:rPr>
                <w:rFonts w:hint="default" w:ascii="Times New Roman" w:hAnsi="Times New Roman" w:cs="Times New Roman"/>
                <w:color w:val="auto"/>
                <w:sz w:val="18"/>
              </w:rPr>
              <w:t>D3</w:t>
            </w:r>
            <w:r>
              <w:rPr>
                <w:rFonts w:hint="default" w:ascii="Times New Roman" w:hAnsi="Times New Roman" w:cs="Times New Roman"/>
                <w:color w:val="auto"/>
                <w:sz w:val="1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719" w:hRule="atLeast"/>
        </w:trPr>
        <w:tc>
          <w:tcPr>
            <w:tcW w:w="1500" w:type="dxa"/>
            <w:gridSpan w:val="2"/>
            <w:vMerge w:val="restart"/>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物质及工艺系统危险性</w:t>
            </w:r>
          </w:p>
        </w:tc>
        <w:tc>
          <w:tcPr>
            <w:tcW w:w="886" w:type="dxa"/>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Times New Roman" w:cs="Times New Roman"/>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eastAsia="Times New Roman" w:cs="Times New Roman"/>
                <w:color w:val="auto"/>
                <w:sz w:val="18"/>
              </w:rPr>
              <w:t>Q</w:t>
            </w:r>
            <w:r>
              <w:rPr>
                <w:rFonts w:hint="default" w:ascii="Times New Roman" w:hAnsi="Times New Roman" w:cs="Times New Roman"/>
                <w:color w:val="auto"/>
                <w:sz w:val="18"/>
              </w:rPr>
              <w:t>值</w:t>
            </w:r>
          </w:p>
        </w:tc>
        <w:tc>
          <w:tcPr>
            <w:tcW w:w="1933" w:type="dxa"/>
            <w:gridSpan w:val="3"/>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Q&lt;1☑</w:t>
            </w:r>
          </w:p>
        </w:tc>
        <w:tc>
          <w:tcPr>
            <w:tcW w:w="1216" w:type="dxa"/>
            <w:gridSpan w:val="4"/>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18"/>
                <w:lang w:eastAsia="zh-CN"/>
              </w:rPr>
            </w:pPr>
            <w:r>
              <w:rPr>
                <w:rFonts w:hint="default" w:ascii="Times New Roman" w:hAnsi="Times New Roman" w:cs="Times New Roman"/>
                <w:color w:val="auto"/>
                <w:sz w:val="18"/>
              </w:rPr>
              <w:t>1≤Q&lt;10</w:t>
            </w:r>
            <w:r>
              <w:rPr>
                <w:rFonts w:hint="eastAsia" w:ascii="Times New Roman" w:hAnsi="Times New Roman" w:cs="Times New Roman"/>
                <w:color w:val="auto"/>
                <w:sz w:val="18"/>
                <w:lang w:eastAsia="zh-CN"/>
              </w:rPr>
              <w:t>□</w:t>
            </w:r>
          </w:p>
        </w:tc>
        <w:tc>
          <w:tcPr>
            <w:tcW w:w="730" w:type="dxa"/>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Times New Roman" w:hAnsi="Times New Roman" w:eastAsia="宋体" w:cs="Times New Roman"/>
                <w:color w:val="auto"/>
                <w:sz w:val="18"/>
                <w:lang w:eastAsia="zh-CN"/>
              </w:rPr>
            </w:pPr>
            <w:r>
              <w:rPr>
                <w:rFonts w:hint="default" w:ascii="Times New Roman" w:hAnsi="Times New Roman" w:cs="Times New Roman"/>
                <w:color w:val="auto"/>
                <w:sz w:val="18"/>
              </w:rPr>
              <w:t>10≤Q&lt;100</w:t>
            </w:r>
            <w:r>
              <w:rPr>
                <w:rFonts w:hint="eastAsia" w:ascii="Times New Roman" w:hAnsi="Times New Roman" w:cs="Times New Roman"/>
                <w:color w:val="auto"/>
                <w:sz w:val="18"/>
                <w:lang w:eastAsia="zh-CN"/>
              </w:rPr>
              <w:t>□</w:t>
            </w:r>
          </w:p>
        </w:tc>
        <w:tc>
          <w:tcPr>
            <w:tcW w:w="2237" w:type="dxa"/>
            <w:gridSpan w:val="4"/>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18"/>
                <w:lang w:eastAsia="zh-CN"/>
              </w:rPr>
            </w:pPr>
            <w:r>
              <w:rPr>
                <w:rFonts w:hint="default" w:ascii="Times New Roman" w:hAnsi="Times New Roman" w:cs="Times New Roman"/>
                <w:color w:val="auto"/>
                <w:sz w:val="18"/>
              </w:rPr>
              <w:t>Q&gt;100</w:t>
            </w:r>
            <w:r>
              <w:rPr>
                <w:rFonts w:hint="eastAsia" w:ascii="Times New Roman" w:hAnsi="Times New Roman" w:cs="Times New Roman"/>
                <w:color w:val="auto"/>
                <w:sz w:val="1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623" w:hRule="atLeast"/>
        </w:trPr>
        <w:tc>
          <w:tcPr>
            <w:tcW w:w="1500" w:type="dxa"/>
            <w:gridSpan w:val="2"/>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
                <w:szCs w:val="2"/>
              </w:rPr>
            </w:pPr>
          </w:p>
        </w:tc>
        <w:tc>
          <w:tcPr>
            <w:tcW w:w="886" w:type="dxa"/>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eastAsia="Times New Roman" w:cs="Times New Roman"/>
                <w:color w:val="auto"/>
                <w:sz w:val="18"/>
              </w:rPr>
              <w:t>M</w:t>
            </w:r>
            <w:r>
              <w:rPr>
                <w:rFonts w:hint="default" w:ascii="Times New Roman" w:hAnsi="Times New Roman" w:cs="Times New Roman"/>
                <w:color w:val="auto"/>
                <w:sz w:val="18"/>
              </w:rPr>
              <w:t>值</w:t>
            </w:r>
          </w:p>
        </w:tc>
        <w:tc>
          <w:tcPr>
            <w:tcW w:w="1933" w:type="dxa"/>
            <w:gridSpan w:val="3"/>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18"/>
                <w:lang w:eastAsia="zh-CN"/>
              </w:rPr>
            </w:pPr>
            <w:r>
              <w:rPr>
                <w:rFonts w:hint="default" w:ascii="Times New Roman" w:hAnsi="Times New Roman" w:cs="Times New Roman"/>
                <w:color w:val="auto"/>
                <w:sz w:val="18"/>
              </w:rPr>
              <w:t>M1</w:t>
            </w:r>
            <w:r>
              <w:rPr>
                <w:rFonts w:hint="eastAsia" w:ascii="Times New Roman" w:hAnsi="Times New Roman" w:cs="Times New Roman"/>
                <w:color w:val="auto"/>
                <w:sz w:val="18"/>
                <w:lang w:eastAsia="zh-CN"/>
              </w:rPr>
              <w:t>□</w:t>
            </w:r>
          </w:p>
        </w:tc>
        <w:tc>
          <w:tcPr>
            <w:tcW w:w="1216" w:type="dxa"/>
            <w:gridSpan w:val="4"/>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18"/>
                <w:lang w:eastAsia="zh-CN"/>
              </w:rPr>
            </w:pPr>
            <w:r>
              <w:rPr>
                <w:rFonts w:hint="default" w:ascii="Times New Roman" w:hAnsi="Times New Roman" w:cs="Times New Roman"/>
                <w:color w:val="auto"/>
                <w:sz w:val="18"/>
              </w:rPr>
              <w:t>M2</w:t>
            </w:r>
            <w:r>
              <w:rPr>
                <w:rFonts w:hint="eastAsia" w:ascii="Times New Roman" w:hAnsi="Times New Roman" w:cs="Times New Roman"/>
                <w:color w:val="auto"/>
                <w:sz w:val="18"/>
                <w:lang w:eastAsia="zh-CN"/>
              </w:rPr>
              <w:t>□</w:t>
            </w:r>
          </w:p>
        </w:tc>
        <w:tc>
          <w:tcPr>
            <w:tcW w:w="730" w:type="dxa"/>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18"/>
                <w:lang w:eastAsia="zh-CN"/>
              </w:rPr>
            </w:pPr>
            <w:r>
              <w:rPr>
                <w:rFonts w:hint="default" w:ascii="Times New Roman" w:hAnsi="Times New Roman" w:cs="Times New Roman"/>
                <w:color w:val="auto"/>
                <w:sz w:val="18"/>
              </w:rPr>
              <w:t>M3</w:t>
            </w:r>
            <w:r>
              <w:rPr>
                <w:rFonts w:hint="eastAsia" w:ascii="Times New Roman" w:hAnsi="Times New Roman" w:cs="Times New Roman"/>
                <w:color w:val="auto"/>
                <w:sz w:val="18"/>
                <w:lang w:eastAsia="zh-CN"/>
              </w:rPr>
              <w:t>□</w:t>
            </w:r>
          </w:p>
        </w:tc>
        <w:tc>
          <w:tcPr>
            <w:tcW w:w="2237" w:type="dxa"/>
            <w:gridSpan w:val="4"/>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18"/>
                <w:lang w:eastAsia="zh-CN"/>
              </w:rPr>
            </w:pPr>
            <w:r>
              <w:rPr>
                <w:rFonts w:hint="default" w:ascii="Times New Roman" w:hAnsi="Times New Roman" w:cs="Times New Roman"/>
                <w:color w:val="auto"/>
                <w:sz w:val="18"/>
              </w:rPr>
              <w:t>M4</w:t>
            </w:r>
            <w:r>
              <w:rPr>
                <w:rFonts w:hint="eastAsia" w:ascii="Times New Roman" w:hAnsi="Times New Roman" w:cs="Times New Roman"/>
                <w:color w:val="auto"/>
                <w:sz w:val="1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623" w:hRule="atLeast"/>
        </w:trPr>
        <w:tc>
          <w:tcPr>
            <w:tcW w:w="1500" w:type="dxa"/>
            <w:gridSpan w:val="2"/>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
                <w:szCs w:val="2"/>
              </w:rPr>
            </w:pPr>
          </w:p>
        </w:tc>
        <w:tc>
          <w:tcPr>
            <w:tcW w:w="886" w:type="dxa"/>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eastAsia="Times New Roman" w:cs="Times New Roman"/>
                <w:color w:val="auto"/>
                <w:sz w:val="18"/>
              </w:rPr>
              <w:t>P</w:t>
            </w:r>
            <w:r>
              <w:rPr>
                <w:rFonts w:hint="default" w:ascii="Times New Roman" w:hAnsi="Times New Roman" w:cs="Times New Roman"/>
                <w:color w:val="auto"/>
                <w:sz w:val="18"/>
              </w:rPr>
              <w:t>值</w:t>
            </w:r>
          </w:p>
        </w:tc>
        <w:tc>
          <w:tcPr>
            <w:tcW w:w="1933" w:type="dxa"/>
            <w:gridSpan w:val="3"/>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P1</w:t>
            </w:r>
            <w:r>
              <w:rPr>
                <w:rFonts w:hint="eastAsia" w:ascii="Times New Roman" w:hAnsi="Times New Roman" w:cs="Times New Roman"/>
                <w:color w:val="auto"/>
                <w:sz w:val="18"/>
                <w:lang w:eastAsia="zh-CN"/>
              </w:rPr>
              <w:t>□</w:t>
            </w:r>
          </w:p>
        </w:tc>
        <w:tc>
          <w:tcPr>
            <w:tcW w:w="1216" w:type="dxa"/>
            <w:gridSpan w:val="4"/>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P2</w:t>
            </w:r>
            <w:r>
              <w:rPr>
                <w:rFonts w:hint="eastAsia" w:ascii="Times New Roman" w:hAnsi="Times New Roman" w:cs="Times New Roman"/>
                <w:color w:val="auto"/>
                <w:sz w:val="18"/>
                <w:lang w:eastAsia="zh-CN"/>
              </w:rPr>
              <w:t>□</w:t>
            </w:r>
          </w:p>
        </w:tc>
        <w:tc>
          <w:tcPr>
            <w:tcW w:w="730" w:type="dxa"/>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P3</w:t>
            </w:r>
            <w:r>
              <w:rPr>
                <w:rFonts w:hint="eastAsia" w:ascii="Times New Roman" w:hAnsi="Times New Roman" w:cs="Times New Roman"/>
                <w:color w:val="auto"/>
                <w:sz w:val="18"/>
                <w:lang w:eastAsia="zh-CN"/>
              </w:rPr>
              <w:t>□</w:t>
            </w:r>
          </w:p>
        </w:tc>
        <w:tc>
          <w:tcPr>
            <w:tcW w:w="2237" w:type="dxa"/>
            <w:gridSpan w:val="4"/>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P4</w:t>
            </w:r>
            <w:r>
              <w:rPr>
                <w:rFonts w:hint="eastAsia" w:ascii="Times New Roman" w:hAnsi="Times New Roman" w:cs="Times New Roman"/>
                <w:color w:val="auto"/>
                <w:sz w:val="1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gridAfter w:val="1"/>
          <w:wAfter w:w="1" w:type="dxa"/>
          <w:trHeight w:val="391" w:hRule="atLeast"/>
        </w:trPr>
        <w:tc>
          <w:tcPr>
            <w:tcW w:w="1500" w:type="dxa"/>
            <w:gridSpan w:val="2"/>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环境敏感</w:t>
            </w:r>
          </w:p>
        </w:tc>
        <w:tc>
          <w:tcPr>
            <w:tcW w:w="886" w:type="dxa"/>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大气</w:t>
            </w:r>
          </w:p>
        </w:tc>
        <w:tc>
          <w:tcPr>
            <w:tcW w:w="1933" w:type="dxa"/>
            <w:gridSpan w:val="3"/>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E1</w:t>
            </w:r>
            <w:r>
              <w:rPr>
                <w:rFonts w:hint="eastAsia" w:ascii="Times New Roman" w:hAnsi="Times New Roman" w:cs="Times New Roman"/>
                <w:color w:val="auto"/>
                <w:sz w:val="18"/>
                <w:lang w:eastAsia="zh-CN"/>
              </w:rPr>
              <w:t>□</w:t>
            </w:r>
          </w:p>
        </w:tc>
        <w:tc>
          <w:tcPr>
            <w:tcW w:w="1946" w:type="dxa"/>
            <w:gridSpan w:val="5"/>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18"/>
                <w:lang w:eastAsia="zh-CN"/>
              </w:rPr>
            </w:pPr>
            <w:r>
              <w:rPr>
                <w:rFonts w:hint="default" w:ascii="Times New Roman" w:hAnsi="Times New Roman" w:cs="Times New Roman"/>
                <w:color w:val="auto"/>
                <w:sz w:val="18"/>
              </w:rPr>
              <w:t>E2</w:t>
            </w:r>
            <w:r>
              <w:rPr>
                <w:rFonts w:hint="default" w:ascii="Times New Roman" w:hAnsi="Times New Roman" w:cs="Times New Roman"/>
                <w:color w:val="auto"/>
                <w:sz w:val="18"/>
                <w:lang w:eastAsia="zh-CN"/>
              </w:rPr>
              <w:t>☑</w:t>
            </w:r>
          </w:p>
        </w:tc>
        <w:tc>
          <w:tcPr>
            <w:tcW w:w="2237" w:type="dxa"/>
            <w:gridSpan w:val="4"/>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宋体" w:cs="Times New Roman"/>
                <w:color w:val="auto"/>
                <w:sz w:val="18"/>
                <w:lang w:eastAsia="zh-CN"/>
              </w:rPr>
            </w:pPr>
            <w:r>
              <w:rPr>
                <w:rFonts w:hint="default" w:ascii="Times New Roman" w:hAnsi="Times New Roman" w:cs="Times New Roman"/>
                <w:color w:val="auto"/>
                <w:sz w:val="18"/>
              </w:rPr>
              <w:t>E3</w:t>
            </w:r>
            <w:r>
              <w:rPr>
                <w:rFonts w:hint="eastAsia" w:ascii="Times New Roman" w:hAnsi="Times New Roman" w:cs="Times New Roman"/>
                <w:color w:val="auto"/>
                <w:sz w:val="1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1500" w:type="dxa"/>
            <w:gridSpan w:val="2"/>
            <w:vMerge w:val="restart"/>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程度</w:t>
            </w:r>
          </w:p>
        </w:tc>
        <w:tc>
          <w:tcPr>
            <w:tcW w:w="886" w:type="dxa"/>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地表水</w:t>
            </w:r>
          </w:p>
        </w:tc>
        <w:tc>
          <w:tcPr>
            <w:tcW w:w="1934" w:type="dxa"/>
            <w:gridSpan w:val="4"/>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Times New Roman" w:hAnsi="Times New Roman" w:eastAsia="宋体" w:cs="Times New Roman"/>
                <w:color w:val="auto"/>
                <w:sz w:val="18"/>
                <w:lang w:eastAsia="zh-CN"/>
              </w:rPr>
            </w:pPr>
            <w:r>
              <w:rPr>
                <w:rFonts w:hint="default" w:ascii="Times New Roman" w:hAnsi="Times New Roman" w:cs="Times New Roman"/>
                <w:color w:val="auto"/>
                <w:sz w:val="18"/>
              </w:rPr>
              <w:t xml:space="preserve">E1 </w:t>
            </w:r>
            <w:r>
              <w:rPr>
                <w:rFonts w:hint="eastAsia" w:ascii="Times New Roman" w:hAnsi="Times New Roman" w:cs="Times New Roman"/>
                <w:color w:val="auto"/>
                <w:sz w:val="18"/>
                <w:lang w:eastAsia="zh-CN"/>
              </w:rPr>
              <w:t>□</w:t>
            </w:r>
          </w:p>
        </w:tc>
        <w:tc>
          <w:tcPr>
            <w:tcW w:w="1946" w:type="dxa"/>
            <w:gridSpan w:val="5"/>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Times New Roman" w:hAnsi="Times New Roman" w:eastAsia="宋体" w:cs="Times New Roman"/>
                <w:color w:val="auto"/>
                <w:sz w:val="18"/>
                <w:lang w:eastAsia="zh-CN"/>
              </w:rPr>
            </w:pPr>
            <w:r>
              <w:rPr>
                <w:rFonts w:hint="default" w:ascii="Times New Roman" w:hAnsi="Times New Roman" w:cs="Times New Roman"/>
                <w:color w:val="auto"/>
                <w:sz w:val="18"/>
              </w:rPr>
              <w:t xml:space="preserve">E2 </w:t>
            </w:r>
            <w:r>
              <w:rPr>
                <w:rFonts w:hint="eastAsia" w:ascii="Times New Roman" w:hAnsi="Times New Roman" w:cs="Times New Roman"/>
                <w:color w:val="auto"/>
                <w:sz w:val="18"/>
                <w:lang w:eastAsia="zh-CN"/>
              </w:rPr>
              <w:t>□</w:t>
            </w:r>
          </w:p>
        </w:tc>
        <w:tc>
          <w:tcPr>
            <w:tcW w:w="2237" w:type="dxa"/>
            <w:gridSpan w:val="4"/>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Times New Roman" w:hAnsi="Times New Roman" w:eastAsia="宋体" w:cs="Times New Roman"/>
                <w:color w:val="auto"/>
                <w:sz w:val="18"/>
                <w:lang w:eastAsia="zh-CN"/>
              </w:rPr>
            </w:pPr>
            <w:r>
              <w:rPr>
                <w:rFonts w:hint="default" w:ascii="Times New Roman" w:hAnsi="Times New Roman" w:cs="Times New Roman"/>
                <w:color w:val="auto"/>
                <w:sz w:val="18"/>
              </w:rPr>
              <w:t xml:space="preserve">E3  </w:t>
            </w:r>
            <w:r>
              <w:rPr>
                <w:rFonts w:hint="eastAsia" w:ascii="Times New Roman" w:hAnsi="Times New Roman" w:cs="Times New Roman"/>
                <w:color w:val="auto"/>
                <w:sz w:val="1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500" w:type="dxa"/>
            <w:gridSpan w:val="2"/>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
                <w:szCs w:val="2"/>
              </w:rPr>
            </w:pPr>
          </w:p>
        </w:tc>
        <w:tc>
          <w:tcPr>
            <w:tcW w:w="886" w:type="dxa"/>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地下水</w:t>
            </w:r>
          </w:p>
        </w:tc>
        <w:tc>
          <w:tcPr>
            <w:tcW w:w="1934" w:type="dxa"/>
            <w:gridSpan w:val="4"/>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Times New Roman" w:hAnsi="Times New Roman" w:eastAsia="宋体" w:cs="Times New Roman"/>
                <w:color w:val="auto"/>
                <w:sz w:val="18"/>
                <w:lang w:eastAsia="zh-CN"/>
              </w:rPr>
            </w:pPr>
            <w:r>
              <w:rPr>
                <w:rFonts w:hint="default" w:ascii="Times New Roman" w:hAnsi="Times New Roman" w:cs="Times New Roman"/>
                <w:color w:val="auto"/>
                <w:sz w:val="18"/>
              </w:rPr>
              <w:t xml:space="preserve">E1 </w:t>
            </w:r>
            <w:r>
              <w:rPr>
                <w:rFonts w:hint="eastAsia" w:ascii="Times New Roman" w:hAnsi="Times New Roman" w:cs="Times New Roman"/>
                <w:color w:val="auto"/>
                <w:sz w:val="18"/>
                <w:lang w:eastAsia="zh-CN"/>
              </w:rPr>
              <w:t>□</w:t>
            </w:r>
          </w:p>
        </w:tc>
        <w:tc>
          <w:tcPr>
            <w:tcW w:w="1946" w:type="dxa"/>
            <w:gridSpan w:val="5"/>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Times New Roman" w:hAnsi="Times New Roman" w:eastAsia="宋体" w:cs="Times New Roman"/>
                <w:color w:val="auto"/>
                <w:sz w:val="18"/>
                <w:lang w:eastAsia="zh-CN"/>
              </w:rPr>
            </w:pPr>
            <w:r>
              <w:rPr>
                <w:rFonts w:hint="default" w:ascii="Times New Roman" w:hAnsi="Times New Roman" w:cs="Times New Roman"/>
                <w:color w:val="auto"/>
                <w:sz w:val="18"/>
              </w:rPr>
              <w:t xml:space="preserve">E2 </w:t>
            </w:r>
            <w:r>
              <w:rPr>
                <w:rFonts w:hint="eastAsia" w:ascii="Times New Roman" w:hAnsi="Times New Roman" w:cs="Times New Roman"/>
                <w:color w:val="auto"/>
                <w:sz w:val="18"/>
                <w:lang w:eastAsia="zh-CN"/>
              </w:rPr>
              <w:t>□</w:t>
            </w:r>
          </w:p>
        </w:tc>
        <w:tc>
          <w:tcPr>
            <w:tcW w:w="2237" w:type="dxa"/>
            <w:gridSpan w:val="4"/>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Times New Roman" w:hAnsi="Times New Roman" w:eastAsia="宋体" w:cs="Times New Roman"/>
                <w:color w:val="auto"/>
                <w:sz w:val="18"/>
                <w:lang w:eastAsia="zh-CN"/>
              </w:rPr>
            </w:pPr>
            <w:r>
              <w:rPr>
                <w:rFonts w:hint="default" w:ascii="Times New Roman" w:hAnsi="Times New Roman" w:cs="Times New Roman"/>
                <w:color w:val="auto"/>
                <w:sz w:val="18"/>
              </w:rPr>
              <w:t xml:space="preserve">E3  </w:t>
            </w:r>
            <w:r>
              <w:rPr>
                <w:rFonts w:hint="eastAsia" w:ascii="Times New Roman" w:hAnsi="Times New Roman" w:cs="Times New Roman"/>
                <w:color w:val="auto"/>
                <w:sz w:val="1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00" w:type="dxa"/>
            <w:gridSpan w:val="2"/>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环境风险潜势</w:t>
            </w:r>
          </w:p>
        </w:tc>
        <w:tc>
          <w:tcPr>
            <w:tcW w:w="886" w:type="dxa"/>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 xml:space="preserve">Ⅳ □ </w:t>
            </w:r>
          </w:p>
        </w:tc>
        <w:tc>
          <w:tcPr>
            <w:tcW w:w="1934" w:type="dxa"/>
            <w:gridSpan w:val="4"/>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Ⅳ □</w:t>
            </w:r>
          </w:p>
        </w:tc>
        <w:tc>
          <w:tcPr>
            <w:tcW w:w="1215" w:type="dxa"/>
            <w:gridSpan w:val="3"/>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Ⅲ □</w:t>
            </w:r>
          </w:p>
        </w:tc>
        <w:tc>
          <w:tcPr>
            <w:tcW w:w="731" w:type="dxa"/>
            <w:gridSpan w:val="2"/>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Times New Roman" w:hAnsi="Times New Roman" w:eastAsia="宋体" w:cs="Times New Roman"/>
                <w:color w:val="auto"/>
                <w:sz w:val="18"/>
                <w:lang w:eastAsia="zh-CN"/>
              </w:rPr>
            </w:pPr>
            <w:r>
              <w:rPr>
                <w:rFonts w:hint="default" w:ascii="Times New Roman" w:hAnsi="Times New Roman" w:cs="Times New Roman"/>
                <w:color w:val="auto"/>
                <w:sz w:val="18"/>
              </w:rPr>
              <w:t>Ⅱ</w:t>
            </w:r>
            <w:r>
              <w:rPr>
                <w:rFonts w:hint="eastAsia" w:ascii="Times New Roman" w:hAnsi="Times New Roman" w:cs="Times New Roman"/>
                <w:color w:val="auto"/>
                <w:sz w:val="18"/>
                <w:lang w:eastAsia="zh-CN"/>
              </w:rPr>
              <w:t>□</w:t>
            </w:r>
          </w:p>
        </w:tc>
        <w:tc>
          <w:tcPr>
            <w:tcW w:w="2237" w:type="dxa"/>
            <w:gridSpan w:val="4"/>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Times New Roman" w:hAnsi="Times New Roman" w:eastAsia="宋体" w:cs="Times New Roman"/>
                <w:color w:val="auto"/>
                <w:sz w:val="18"/>
                <w:lang w:eastAsia="zh-CN"/>
              </w:rPr>
            </w:pPr>
            <w:r>
              <w:rPr>
                <w:rFonts w:hint="default" w:ascii="Times New Roman" w:hAnsi="Times New Roman" w:cs="Times New Roman"/>
                <w:color w:val="auto"/>
                <w:sz w:val="18"/>
              </w:rPr>
              <w:t xml:space="preserve">Ⅰ </w:t>
            </w:r>
            <w:r>
              <w:rPr>
                <w:rFonts w:hint="eastAsia" w:ascii="Times New Roman" w:hAnsi="Times New Roman" w:cs="Times New Roman"/>
                <w:color w:val="auto"/>
                <w:sz w:val="1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1500" w:type="dxa"/>
            <w:gridSpan w:val="2"/>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评价等级</w:t>
            </w:r>
          </w:p>
        </w:tc>
        <w:tc>
          <w:tcPr>
            <w:tcW w:w="1536" w:type="dxa"/>
            <w:gridSpan w:val="2"/>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 xml:space="preserve">一级 </w:t>
            </w:r>
            <w:r>
              <w:rPr>
                <w:rFonts w:hint="eastAsia" w:ascii="Times New Roman" w:hAnsi="Times New Roman" w:eastAsia="宋体" w:cs="Times New Roman"/>
                <w:color w:val="auto"/>
                <w:sz w:val="18"/>
                <w:lang w:eastAsia="zh-CN"/>
              </w:rPr>
              <w:t>□</w:t>
            </w:r>
            <w:r>
              <w:rPr>
                <w:rFonts w:hint="default" w:ascii="Times New Roman" w:hAnsi="Times New Roman" w:cs="Times New Roman"/>
                <w:color w:val="auto"/>
                <w:sz w:val="18"/>
              </w:rPr>
              <w:t xml:space="preserve"> </w:t>
            </w:r>
          </w:p>
        </w:tc>
        <w:tc>
          <w:tcPr>
            <w:tcW w:w="1284" w:type="dxa"/>
            <w:gridSpan w:val="3"/>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 xml:space="preserve">二级 </w:t>
            </w:r>
            <w:r>
              <w:rPr>
                <w:rFonts w:hint="eastAsia" w:ascii="Times New Roman" w:hAnsi="Times New Roman" w:eastAsia="宋体" w:cs="Times New Roman"/>
                <w:color w:val="auto"/>
                <w:sz w:val="18"/>
                <w:lang w:eastAsia="zh-CN"/>
              </w:rPr>
              <w:t>□</w:t>
            </w:r>
            <w:r>
              <w:rPr>
                <w:rFonts w:hint="default" w:ascii="Times New Roman" w:hAnsi="Times New Roman" w:cs="Times New Roman"/>
                <w:color w:val="auto"/>
                <w:sz w:val="18"/>
              </w:rPr>
              <w:t xml:space="preserve"> </w:t>
            </w:r>
          </w:p>
        </w:tc>
        <w:tc>
          <w:tcPr>
            <w:tcW w:w="1946" w:type="dxa"/>
            <w:gridSpan w:val="5"/>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 xml:space="preserve">三级 </w:t>
            </w:r>
            <w:r>
              <w:rPr>
                <w:rFonts w:hint="eastAsia" w:ascii="Times New Roman" w:hAnsi="Times New Roman" w:eastAsia="宋体" w:cs="Times New Roman"/>
                <w:color w:val="auto"/>
                <w:sz w:val="18"/>
                <w:lang w:eastAsia="zh-CN"/>
              </w:rPr>
              <w:t>□</w:t>
            </w:r>
            <w:r>
              <w:rPr>
                <w:rFonts w:hint="default" w:ascii="Times New Roman" w:hAnsi="Times New Roman" w:cs="Times New Roman"/>
                <w:color w:val="auto"/>
                <w:sz w:val="18"/>
              </w:rPr>
              <w:t xml:space="preserve"> </w:t>
            </w:r>
          </w:p>
        </w:tc>
        <w:tc>
          <w:tcPr>
            <w:tcW w:w="2237" w:type="dxa"/>
            <w:gridSpan w:val="4"/>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 xml:space="preserve">简单分析 </w:t>
            </w:r>
            <w:r>
              <w:rPr>
                <w:rFonts w:hint="default" w:ascii="Times New Roman" w:hAnsi="Times New Roman" w:eastAsia="Segoe UI Symbol" w:cs="Times New Roman"/>
                <w:color w:val="auto"/>
                <w:sz w:val="18"/>
              </w:rPr>
              <w:t>☑</w:t>
            </w:r>
            <w:r>
              <w:rPr>
                <w:rFonts w:hint="default" w:ascii="Times New Roman" w:hAnsi="Times New Roman" w:cs="Times New Roman"/>
                <w:color w:val="auto"/>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497" w:type="dxa"/>
            <w:vMerge w:val="restart"/>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b/>
                <w:color w:val="auto"/>
                <w:sz w:val="19"/>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风险识别</w:t>
            </w:r>
          </w:p>
        </w:tc>
        <w:tc>
          <w:tcPr>
            <w:tcW w:w="1003" w:type="dxa"/>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物质危险</w:t>
            </w: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性</w:t>
            </w:r>
          </w:p>
        </w:tc>
        <w:tc>
          <w:tcPr>
            <w:tcW w:w="2820" w:type="dxa"/>
            <w:gridSpan w:val="5"/>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Times New Roman" w:hAnsi="Times New Roman" w:eastAsia="宋体" w:cs="Times New Roman"/>
                <w:color w:val="auto"/>
                <w:sz w:val="18"/>
                <w:lang w:eastAsia="zh-CN"/>
              </w:rPr>
            </w:pPr>
            <w:r>
              <w:rPr>
                <w:rFonts w:hint="default" w:ascii="Times New Roman" w:hAnsi="Times New Roman" w:cs="Times New Roman"/>
                <w:color w:val="auto"/>
                <w:sz w:val="18"/>
              </w:rPr>
              <w:t xml:space="preserve">有毒有害 </w:t>
            </w:r>
            <w:r>
              <w:rPr>
                <w:rFonts w:hint="eastAsia" w:ascii="Times New Roman" w:hAnsi="Times New Roman" w:eastAsia="宋体" w:cs="Times New Roman"/>
                <w:color w:val="auto"/>
                <w:sz w:val="18"/>
                <w:lang w:eastAsia="zh-CN"/>
              </w:rPr>
              <w:t>☑</w:t>
            </w:r>
          </w:p>
        </w:tc>
        <w:tc>
          <w:tcPr>
            <w:tcW w:w="4183" w:type="dxa"/>
            <w:gridSpan w:val="9"/>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Times New Roman" w:hAnsi="Times New Roman" w:eastAsia="宋体" w:cs="Times New Roman"/>
                <w:color w:val="auto"/>
                <w:sz w:val="18"/>
                <w:lang w:eastAsia="zh-CN"/>
              </w:rPr>
            </w:pPr>
            <w:r>
              <w:rPr>
                <w:rFonts w:hint="default" w:ascii="Times New Roman" w:hAnsi="Times New Roman" w:cs="Times New Roman"/>
                <w:color w:val="auto"/>
                <w:sz w:val="18"/>
              </w:rPr>
              <w:t xml:space="preserve">易燃易爆 </w:t>
            </w:r>
            <w:r>
              <w:rPr>
                <w:rFonts w:hint="eastAsia" w:ascii="Times New Roman" w:hAnsi="Times New Roman" w:eastAsia="宋体" w:cs="Times New Roman"/>
                <w:color w:val="auto"/>
                <w:sz w:val="1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97" w:type="dxa"/>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
                <w:szCs w:val="2"/>
              </w:rPr>
            </w:pPr>
          </w:p>
        </w:tc>
        <w:tc>
          <w:tcPr>
            <w:tcW w:w="1003" w:type="dxa"/>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环境风险</w:t>
            </w: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类型</w:t>
            </w:r>
          </w:p>
        </w:tc>
        <w:tc>
          <w:tcPr>
            <w:tcW w:w="2820" w:type="dxa"/>
            <w:gridSpan w:val="5"/>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Times New Roman" w:hAnsi="Times New Roman" w:eastAsia="宋体" w:cs="Times New Roman"/>
                <w:color w:val="auto"/>
                <w:sz w:val="18"/>
                <w:lang w:eastAsia="zh-CN"/>
              </w:rPr>
            </w:pPr>
            <w:r>
              <w:rPr>
                <w:rFonts w:hint="default" w:ascii="Times New Roman" w:hAnsi="Times New Roman" w:cs="Times New Roman"/>
                <w:color w:val="auto"/>
                <w:sz w:val="18"/>
              </w:rPr>
              <w:t xml:space="preserve">泄露 </w:t>
            </w:r>
            <w:r>
              <w:rPr>
                <w:rFonts w:hint="eastAsia" w:ascii="Times New Roman" w:hAnsi="Times New Roman" w:eastAsia="宋体" w:cs="Times New Roman"/>
                <w:color w:val="auto"/>
                <w:sz w:val="18"/>
                <w:lang w:eastAsia="zh-CN"/>
              </w:rPr>
              <w:t>☑</w:t>
            </w:r>
          </w:p>
        </w:tc>
        <w:tc>
          <w:tcPr>
            <w:tcW w:w="4183" w:type="dxa"/>
            <w:gridSpan w:val="9"/>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Times New Roman" w:hAnsi="Times New Roman" w:eastAsia="宋体" w:cs="Times New Roman"/>
                <w:color w:val="auto"/>
                <w:sz w:val="18"/>
                <w:lang w:eastAsia="zh-CN"/>
              </w:rPr>
            </w:pPr>
            <w:r>
              <w:rPr>
                <w:rFonts w:hint="default" w:ascii="Times New Roman" w:hAnsi="Times New Roman" w:cs="Times New Roman"/>
                <w:color w:val="auto"/>
                <w:sz w:val="18"/>
              </w:rPr>
              <w:t>火灾、爆炸引发伴生</w:t>
            </w:r>
            <w:r>
              <w:rPr>
                <w:rFonts w:hint="default" w:ascii="Times New Roman" w:hAnsi="Times New Roman" w:eastAsia="Times New Roman" w:cs="Times New Roman"/>
                <w:color w:val="auto"/>
                <w:sz w:val="18"/>
              </w:rPr>
              <w:t>/</w:t>
            </w:r>
            <w:r>
              <w:rPr>
                <w:rFonts w:hint="default" w:ascii="Times New Roman" w:hAnsi="Times New Roman" w:cs="Times New Roman"/>
                <w:color w:val="auto"/>
                <w:sz w:val="18"/>
              </w:rPr>
              <w:t xml:space="preserve">次生污染物排放 </w:t>
            </w:r>
            <w:r>
              <w:rPr>
                <w:rFonts w:hint="eastAsia" w:ascii="Times New Roman" w:hAnsi="Times New Roman" w:eastAsia="宋体" w:cs="Times New Roman"/>
                <w:color w:val="auto"/>
                <w:sz w:val="1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497" w:type="dxa"/>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
                <w:szCs w:val="2"/>
              </w:rPr>
            </w:pPr>
          </w:p>
        </w:tc>
        <w:tc>
          <w:tcPr>
            <w:tcW w:w="1003" w:type="dxa"/>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影响途径</w:t>
            </w:r>
          </w:p>
        </w:tc>
        <w:tc>
          <w:tcPr>
            <w:tcW w:w="2820" w:type="dxa"/>
            <w:gridSpan w:val="5"/>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eastAsia" w:ascii="Times New Roman" w:hAnsi="Times New Roman" w:eastAsia="宋体" w:cs="Times New Roman"/>
                <w:color w:val="auto"/>
                <w:sz w:val="18"/>
                <w:lang w:eastAsia="zh-CN"/>
              </w:rPr>
            </w:pPr>
            <w:r>
              <w:rPr>
                <w:rFonts w:hint="default" w:ascii="Times New Roman" w:hAnsi="Times New Roman" w:cs="Times New Roman"/>
                <w:color w:val="auto"/>
                <w:sz w:val="18"/>
              </w:rPr>
              <w:t xml:space="preserve">大气 </w:t>
            </w:r>
            <w:r>
              <w:rPr>
                <w:rFonts w:hint="eastAsia" w:ascii="Times New Roman" w:hAnsi="Times New Roman" w:eastAsia="宋体" w:cs="Times New Roman"/>
                <w:color w:val="auto"/>
                <w:sz w:val="18"/>
                <w:lang w:eastAsia="zh-CN"/>
              </w:rPr>
              <w:t>☑</w:t>
            </w:r>
          </w:p>
        </w:tc>
        <w:tc>
          <w:tcPr>
            <w:tcW w:w="1946" w:type="dxa"/>
            <w:gridSpan w:val="5"/>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Segoe UI Symbol" w:cs="Times New Roman"/>
                <w:color w:val="auto"/>
                <w:sz w:val="18"/>
              </w:rPr>
            </w:pPr>
            <w:r>
              <w:rPr>
                <w:rFonts w:hint="default" w:ascii="Times New Roman" w:hAnsi="Times New Roman" w:cs="Times New Roman"/>
                <w:color w:val="auto"/>
                <w:sz w:val="18"/>
              </w:rPr>
              <w:t xml:space="preserve">地表水 </w:t>
            </w:r>
            <w:r>
              <w:rPr>
                <w:rFonts w:hint="default" w:ascii="Times New Roman" w:hAnsi="Times New Roman" w:eastAsia="Segoe UI Symbol" w:cs="Times New Roman"/>
                <w:color w:val="auto"/>
                <w:sz w:val="18"/>
              </w:rPr>
              <w:t>☑</w:t>
            </w:r>
          </w:p>
        </w:tc>
        <w:tc>
          <w:tcPr>
            <w:tcW w:w="2237" w:type="dxa"/>
            <w:gridSpan w:val="4"/>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地下水</w:t>
            </w:r>
            <w:r>
              <w:rPr>
                <w:rFonts w:hint="eastAsia" w:ascii="Times New Roman" w:hAnsi="Times New Roman" w:eastAsia="宋体" w:cs="Times New Roman"/>
                <w:color w:val="auto"/>
                <w:sz w:val="18"/>
                <w:lang w:eastAsia="zh-CN"/>
              </w:rPr>
              <w:t>□</w:t>
            </w:r>
            <w:r>
              <w:rPr>
                <w:rFonts w:hint="default" w:ascii="Times New Roman" w:hAnsi="Times New Roman" w:cs="Times New Roman"/>
                <w:color w:val="auto"/>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00" w:type="dxa"/>
            <w:gridSpan w:val="2"/>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b/>
                <w:color w:val="auto"/>
                <w:sz w:val="15"/>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事故情形分析</w:t>
            </w:r>
          </w:p>
        </w:tc>
        <w:tc>
          <w:tcPr>
            <w:tcW w:w="886" w:type="dxa"/>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源强设</w:t>
            </w: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定方法</w:t>
            </w:r>
          </w:p>
        </w:tc>
        <w:tc>
          <w:tcPr>
            <w:tcW w:w="1934" w:type="dxa"/>
            <w:gridSpan w:val="4"/>
          </w:tcPr>
          <w:p>
            <w:pPr>
              <w:pStyle w:val="27"/>
              <w:keepNext w:val="0"/>
              <w:keepLines w:val="0"/>
              <w:pageBreakBefore w:val="0"/>
              <w:widowControl w:val="0"/>
              <w:kinsoku/>
              <w:wordWrap/>
              <w:overflowPunct/>
              <w:topLinePunct w:val="0"/>
              <w:autoSpaceDE/>
              <w:autoSpaceDN/>
              <w:bidi w:val="0"/>
              <w:adjustRightInd/>
              <w:snapToGrid/>
              <w:spacing w:before="157" w:beforeLines="50" w:line="240" w:lineRule="auto"/>
              <w:ind w:left="0" w:right="0" w:firstLine="0" w:firstLineChars="0"/>
              <w:jc w:val="center"/>
              <w:textAlignment w:val="auto"/>
              <w:rPr>
                <w:rFonts w:hint="eastAsia" w:ascii="Times New Roman" w:hAnsi="Times New Roman" w:eastAsia="宋体" w:cs="Times New Roman"/>
                <w:color w:val="auto"/>
                <w:sz w:val="18"/>
                <w:lang w:eastAsia="zh-CN"/>
              </w:rPr>
            </w:pPr>
            <w:r>
              <w:rPr>
                <w:rFonts w:hint="default" w:ascii="Times New Roman" w:hAnsi="Times New Roman" w:cs="Times New Roman"/>
                <w:color w:val="auto"/>
                <w:sz w:val="18"/>
              </w:rPr>
              <w:t xml:space="preserve">计算法 </w:t>
            </w:r>
            <w:r>
              <w:rPr>
                <w:rFonts w:hint="eastAsia" w:ascii="Times New Roman" w:hAnsi="Times New Roman" w:eastAsia="宋体" w:cs="Times New Roman"/>
                <w:color w:val="auto"/>
                <w:sz w:val="18"/>
                <w:lang w:eastAsia="zh-CN"/>
              </w:rPr>
              <w:t>□</w:t>
            </w:r>
          </w:p>
        </w:tc>
        <w:tc>
          <w:tcPr>
            <w:tcW w:w="1946" w:type="dxa"/>
            <w:gridSpan w:val="5"/>
          </w:tcPr>
          <w:p>
            <w:pPr>
              <w:pStyle w:val="27"/>
              <w:keepNext w:val="0"/>
              <w:keepLines w:val="0"/>
              <w:pageBreakBefore w:val="0"/>
              <w:widowControl w:val="0"/>
              <w:kinsoku/>
              <w:wordWrap/>
              <w:overflowPunct/>
              <w:topLinePunct w:val="0"/>
              <w:autoSpaceDE/>
              <w:autoSpaceDN/>
              <w:bidi w:val="0"/>
              <w:adjustRightInd/>
              <w:snapToGrid/>
              <w:spacing w:before="157" w:beforeLines="50" w:line="240" w:lineRule="auto"/>
              <w:ind w:left="0" w:right="0" w:firstLine="0" w:firstLineChars="0"/>
              <w:jc w:val="center"/>
              <w:textAlignment w:val="auto"/>
              <w:rPr>
                <w:rFonts w:hint="eastAsia" w:ascii="Times New Roman" w:hAnsi="Times New Roman" w:eastAsia="宋体" w:cs="Times New Roman"/>
                <w:color w:val="auto"/>
                <w:sz w:val="18"/>
                <w:lang w:eastAsia="zh-CN"/>
              </w:rPr>
            </w:pPr>
            <w:r>
              <w:rPr>
                <w:rFonts w:hint="default" w:ascii="Times New Roman" w:hAnsi="Times New Roman" w:cs="Times New Roman"/>
                <w:color w:val="auto"/>
                <w:sz w:val="18"/>
              </w:rPr>
              <w:t xml:space="preserve">经验估算法 </w:t>
            </w:r>
            <w:r>
              <w:rPr>
                <w:rFonts w:hint="eastAsia" w:ascii="Times New Roman" w:hAnsi="Times New Roman" w:eastAsia="宋体" w:cs="Times New Roman"/>
                <w:color w:val="auto"/>
                <w:sz w:val="18"/>
                <w:lang w:eastAsia="zh-CN"/>
              </w:rPr>
              <w:t>□</w:t>
            </w:r>
          </w:p>
        </w:tc>
        <w:tc>
          <w:tcPr>
            <w:tcW w:w="2237" w:type="dxa"/>
            <w:gridSpan w:val="4"/>
          </w:tcPr>
          <w:p>
            <w:pPr>
              <w:pStyle w:val="27"/>
              <w:keepNext w:val="0"/>
              <w:keepLines w:val="0"/>
              <w:pageBreakBefore w:val="0"/>
              <w:widowControl w:val="0"/>
              <w:kinsoku/>
              <w:wordWrap/>
              <w:overflowPunct/>
              <w:topLinePunct w:val="0"/>
              <w:autoSpaceDE/>
              <w:autoSpaceDN/>
              <w:bidi w:val="0"/>
              <w:adjustRightInd/>
              <w:snapToGrid/>
              <w:spacing w:before="157" w:beforeLines="50" w:line="240" w:lineRule="auto"/>
              <w:ind w:left="0" w:right="0" w:firstLine="0" w:firstLineChars="0"/>
              <w:jc w:val="center"/>
              <w:textAlignment w:val="auto"/>
              <w:rPr>
                <w:rFonts w:hint="default" w:ascii="Times New Roman" w:hAnsi="Times New Roman" w:eastAsia="Times New Roman" w:cs="Times New Roman"/>
                <w:color w:val="auto"/>
                <w:sz w:val="18"/>
              </w:rPr>
            </w:pPr>
            <w:r>
              <w:rPr>
                <w:rFonts w:hint="default" w:ascii="Times New Roman" w:hAnsi="Times New Roman" w:cs="Times New Roman"/>
                <w:color w:val="auto"/>
                <w:sz w:val="18"/>
              </w:rPr>
              <w:t>其他估算法</w:t>
            </w:r>
            <w:r>
              <w:rPr>
                <w:rFonts w:hint="eastAsia" w:ascii="Times New Roman" w:hAnsi="Times New Roman" w:eastAsia="宋体" w:cs="Times New Roman"/>
                <w:color w:val="auto"/>
                <w:sz w:val="18"/>
                <w:lang w:eastAsia="zh-CN"/>
              </w:rPr>
              <w:t>□</w:t>
            </w:r>
            <w:r>
              <w:rPr>
                <w:rFonts w:hint="default" w:ascii="Times New Roman" w:hAnsi="Times New Roman" w:cs="Times New Roman"/>
                <w:color w:val="auto"/>
                <w:sz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97" w:type="dxa"/>
            <w:vMerge w:val="restart"/>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b/>
                <w:color w:val="auto"/>
                <w:sz w:val="20"/>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风险预测与评价</w:t>
            </w:r>
          </w:p>
        </w:tc>
        <w:tc>
          <w:tcPr>
            <w:tcW w:w="1003" w:type="dxa"/>
            <w:vMerge w:val="restart"/>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b/>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b/>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大气</w:t>
            </w:r>
          </w:p>
        </w:tc>
        <w:tc>
          <w:tcPr>
            <w:tcW w:w="886" w:type="dxa"/>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预测模</w:t>
            </w: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型</w:t>
            </w:r>
          </w:p>
        </w:tc>
        <w:tc>
          <w:tcPr>
            <w:tcW w:w="1934" w:type="dxa"/>
            <w:gridSpan w:val="4"/>
          </w:tcPr>
          <w:p>
            <w:pPr>
              <w:pStyle w:val="27"/>
              <w:keepNext w:val="0"/>
              <w:keepLines w:val="0"/>
              <w:pageBreakBefore w:val="0"/>
              <w:widowControl w:val="0"/>
              <w:kinsoku/>
              <w:wordWrap/>
              <w:overflowPunct/>
              <w:topLinePunct w:val="0"/>
              <w:autoSpaceDE/>
              <w:autoSpaceDN/>
              <w:bidi w:val="0"/>
              <w:adjustRightInd/>
              <w:snapToGrid/>
              <w:spacing w:before="157" w:beforeLines="50" w:line="240" w:lineRule="auto"/>
              <w:ind w:left="0" w:right="0" w:firstLine="0" w:firstLineChars="0"/>
              <w:jc w:val="center"/>
              <w:textAlignment w:val="auto"/>
              <w:rPr>
                <w:rFonts w:hint="eastAsia" w:ascii="Times New Roman" w:hAnsi="Times New Roman" w:eastAsia="宋体" w:cs="Times New Roman"/>
                <w:color w:val="auto"/>
                <w:sz w:val="18"/>
                <w:lang w:eastAsia="zh-CN"/>
              </w:rPr>
            </w:pPr>
            <w:r>
              <w:rPr>
                <w:rFonts w:hint="default" w:ascii="Times New Roman" w:hAnsi="Times New Roman" w:cs="Times New Roman"/>
                <w:color w:val="auto"/>
                <w:sz w:val="18"/>
              </w:rPr>
              <w:t xml:space="preserve">SLAB </w:t>
            </w:r>
            <w:r>
              <w:rPr>
                <w:rFonts w:hint="eastAsia" w:ascii="Times New Roman" w:hAnsi="Times New Roman" w:cs="Times New Roman"/>
                <w:color w:val="auto"/>
                <w:sz w:val="18"/>
                <w:lang w:eastAsia="zh-CN"/>
              </w:rPr>
              <w:t>□</w:t>
            </w:r>
          </w:p>
        </w:tc>
        <w:tc>
          <w:tcPr>
            <w:tcW w:w="1946" w:type="dxa"/>
            <w:gridSpan w:val="5"/>
          </w:tcPr>
          <w:p>
            <w:pPr>
              <w:pStyle w:val="27"/>
              <w:keepNext w:val="0"/>
              <w:keepLines w:val="0"/>
              <w:pageBreakBefore w:val="0"/>
              <w:widowControl w:val="0"/>
              <w:kinsoku/>
              <w:wordWrap/>
              <w:overflowPunct/>
              <w:topLinePunct w:val="0"/>
              <w:autoSpaceDE/>
              <w:autoSpaceDN/>
              <w:bidi w:val="0"/>
              <w:adjustRightInd/>
              <w:snapToGrid/>
              <w:spacing w:before="157" w:beforeLines="5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AFTOX □</w:t>
            </w:r>
          </w:p>
        </w:tc>
        <w:tc>
          <w:tcPr>
            <w:tcW w:w="2237" w:type="dxa"/>
            <w:gridSpan w:val="4"/>
          </w:tcPr>
          <w:p>
            <w:pPr>
              <w:pStyle w:val="27"/>
              <w:keepNext w:val="0"/>
              <w:keepLines w:val="0"/>
              <w:pageBreakBefore w:val="0"/>
              <w:widowControl w:val="0"/>
              <w:kinsoku/>
              <w:wordWrap/>
              <w:overflowPunct/>
              <w:topLinePunct w:val="0"/>
              <w:autoSpaceDE/>
              <w:autoSpaceDN/>
              <w:bidi w:val="0"/>
              <w:adjustRightInd/>
              <w:snapToGrid/>
              <w:spacing w:before="157" w:beforeLines="50" w:line="240" w:lineRule="auto"/>
              <w:ind w:left="0" w:right="0" w:firstLine="0" w:firstLineChars="0"/>
              <w:jc w:val="center"/>
              <w:textAlignment w:val="auto"/>
              <w:rPr>
                <w:rFonts w:hint="eastAsia" w:ascii="Times New Roman" w:hAnsi="Times New Roman" w:eastAsia="宋体" w:cs="Times New Roman"/>
                <w:color w:val="auto"/>
                <w:sz w:val="18"/>
                <w:lang w:eastAsia="zh-CN"/>
              </w:rPr>
            </w:pPr>
            <w:r>
              <w:rPr>
                <w:rFonts w:hint="default" w:ascii="Times New Roman" w:hAnsi="Times New Roman" w:cs="Times New Roman"/>
                <w:color w:val="auto"/>
                <w:sz w:val="18"/>
              </w:rPr>
              <w:t xml:space="preserve">其他 </w:t>
            </w:r>
            <w:r>
              <w:rPr>
                <w:rFonts w:hint="eastAsia" w:ascii="Times New Roman" w:hAnsi="Times New Roman" w:eastAsia="宋体" w:cs="Times New Roman"/>
                <w:color w:val="auto"/>
                <w:sz w:val="18"/>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497" w:type="dxa"/>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
                <w:szCs w:val="2"/>
              </w:rPr>
            </w:pPr>
          </w:p>
        </w:tc>
        <w:tc>
          <w:tcPr>
            <w:tcW w:w="1003" w:type="dxa"/>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
                <w:szCs w:val="2"/>
              </w:rPr>
            </w:pPr>
          </w:p>
        </w:tc>
        <w:tc>
          <w:tcPr>
            <w:tcW w:w="886" w:type="dxa"/>
            <w:vMerge w:val="restart"/>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预测结果</w:t>
            </w:r>
          </w:p>
        </w:tc>
        <w:tc>
          <w:tcPr>
            <w:tcW w:w="6117" w:type="dxa"/>
            <w:gridSpan w:val="13"/>
          </w:tcPr>
          <w:p>
            <w:pPr>
              <w:pStyle w:val="27"/>
              <w:keepNext w:val="0"/>
              <w:keepLines w:val="0"/>
              <w:pageBreakBefore w:val="0"/>
              <w:widowControl w:val="0"/>
              <w:tabs>
                <w:tab w:val="left" w:pos="4632"/>
              </w:tabs>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Times New Roman" w:cs="Times New Roman"/>
                <w:color w:val="auto"/>
                <w:sz w:val="18"/>
              </w:rPr>
            </w:pPr>
            <w:r>
              <w:rPr>
                <w:rFonts w:hint="default" w:ascii="Times New Roman" w:hAnsi="Times New Roman" w:cs="Times New Roman"/>
                <w:color w:val="auto"/>
                <w:sz w:val="18"/>
              </w:rPr>
              <w:t>大气毒性终点浓度</w:t>
            </w:r>
            <w:r>
              <w:rPr>
                <w:rFonts w:hint="default" w:ascii="Times New Roman" w:hAnsi="Times New Roman" w:eastAsia="Times New Roman" w:cs="Times New Roman"/>
                <w:color w:val="auto"/>
                <w:sz w:val="18"/>
              </w:rPr>
              <w:t xml:space="preserve">-1 </w:t>
            </w:r>
            <w:r>
              <w:rPr>
                <w:rFonts w:hint="default" w:ascii="Times New Roman" w:hAnsi="Times New Roman" w:cs="Times New Roman"/>
                <w:color w:val="auto"/>
                <w:sz w:val="18"/>
              </w:rPr>
              <w:t>最大影</w:t>
            </w:r>
            <w:r>
              <w:rPr>
                <w:rFonts w:hint="default" w:ascii="Times New Roman" w:hAnsi="Times New Roman" w:cs="Times New Roman"/>
                <w:color w:val="auto"/>
                <w:spacing w:val="-3"/>
                <w:sz w:val="18"/>
              </w:rPr>
              <w:t>响</w:t>
            </w:r>
            <w:r>
              <w:rPr>
                <w:rFonts w:hint="default" w:ascii="Times New Roman" w:hAnsi="Times New Roman" w:cs="Times New Roman"/>
                <w:color w:val="auto"/>
                <w:sz w:val="18"/>
              </w:rPr>
              <w:t>范围</w:t>
            </w:r>
            <w:r>
              <w:rPr>
                <w:rFonts w:hint="default" w:ascii="Times New Roman" w:hAnsi="Times New Roman" w:cs="Times New Roman"/>
                <w:color w:val="auto"/>
                <w:sz w:val="18"/>
                <w:u w:val="single"/>
              </w:rPr>
              <w:t xml:space="preserve"> </w:t>
            </w:r>
            <w:r>
              <w:rPr>
                <w:rFonts w:hint="default" w:ascii="Times New Roman" w:hAnsi="Times New Roman" w:cs="Times New Roman"/>
                <w:color w:val="auto"/>
                <w:sz w:val="18"/>
                <w:u w:val="single"/>
              </w:rPr>
              <w:tab/>
            </w:r>
            <w:r>
              <w:rPr>
                <w:rFonts w:hint="default" w:ascii="Times New Roman" w:hAnsi="Times New Roman" w:eastAsia="Times New Roman" w:cs="Times New Roman"/>
                <w:color w:val="auto"/>
                <w:sz w:val="18"/>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497" w:type="dxa"/>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
                <w:szCs w:val="2"/>
              </w:rPr>
            </w:pPr>
          </w:p>
        </w:tc>
        <w:tc>
          <w:tcPr>
            <w:tcW w:w="1003" w:type="dxa"/>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
                <w:szCs w:val="2"/>
              </w:rPr>
            </w:pPr>
          </w:p>
        </w:tc>
        <w:tc>
          <w:tcPr>
            <w:tcW w:w="886" w:type="dxa"/>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
                <w:szCs w:val="2"/>
              </w:rPr>
            </w:pPr>
          </w:p>
        </w:tc>
        <w:tc>
          <w:tcPr>
            <w:tcW w:w="6117" w:type="dxa"/>
            <w:gridSpan w:val="13"/>
          </w:tcPr>
          <w:p>
            <w:pPr>
              <w:pStyle w:val="27"/>
              <w:keepNext w:val="0"/>
              <w:keepLines w:val="0"/>
              <w:pageBreakBefore w:val="0"/>
              <w:widowControl w:val="0"/>
              <w:tabs>
                <w:tab w:val="left" w:pos="4632"/>
              </w:tabs>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Times New Roman" w:cs="Times New Roman"/>
                <w:color w:val="auto"/>
                <w:sz w:val="18"/>
              </w:rPr>
            </w:pPr>
            <w:r>
              <w:rPr>
                <w:rFonts w:hint="default" w:ascii="Times New Roman" w:hAnsi="Times New Roman" w:cs="Times New Roman"/>
                <w:color w:val="auto"/>
                <w:sz w:val="18"/>
              </w:rPr>
              <w:t>大气毒性终点浓度</w:t>
            </w:r>
            <w:r>
              <w:rPr>
                <w:rFonts w:hint="default" w:ascii="Times New Roman" w:hAnsi="Times New Roman" w:eastAsia="Times New Roman" w:cs="Times New Roman"/>
                <w:color w:val="auto"/>
                <w:sz w:val="18"/>
              </w:rPr>
              <w:t xml:space="preserve">-2 </w:t>
            </w:r>
            <w:r>
              <w:rPr>
                <w:rFonts w:hint="default" w:ascii="Times New Roman" w:hAnsi="Times New Roman" w:cs="Times New Roman"/>
                <w:color w:val="auto"/>
                <w:sz w:val="18"/>
              </w:rPr>
              <w:t>最大影</w:t>
            </w:r>
            <w:r>
              <w:rPr>
                <w:rFonts w:hint="default" w:ascii="Times New Roman" w:hAnsi="Times New Roman" w:cs="Times New Roman"/>
                <w:color w:val="auto"/>
                <w:spacing w:val="-3"/>
                <w:sz w:val="18"/>
              </w:rPr>
              <w:t>响</w:t>
            </w:r>
            <w:r>
              <w:rPr>
                <w:rFonts w:hint="default" w:ascii="Times New Roman" w:hAnsi="Times New Roman" w:cs="Times New Roman"/>
                <w:color w:val="auto"/>
                <w:sz w:val="18"/>
              </w:rPr>
              <w:t>范围</w:t>
            </w:r>
            <w:r>
              <w:rPr>
                <w:rFonts w:hint="default" w:ascii="Times New Roman" w:hAnsi="Times New Roman" w:cs="Times New Roman"/>
                <w:color w:val="auto"/>
                <w:sz w:val="18"/>
                <w:u w:val="single"/>
              </w:rPr>
              <w:t xml:space="preserve"> </w:t>
            </w:r>
            <w:r>
              <w:rPr>
                <w:rFonts w:hint="default" w:ascii="Times New Roman" w:hAnsi="Times New Roman" w:cs="Times New Roman"/>
                <w:color w:val="auto"/>
                <w:sz w:val="18"/>
                <w:u w:val="single"/>
              </w:rPr>
              <w:tab/>
            </w:r>
            <w:r>
              <w:rPr>
                <w:rFonts w:hint="default" w:ascii="Times New Roman" w:hAnsi="Times New Roman" w:eastAsia="Times New Roman" w:cs="Times New Roman"/>
                <w:color w:val="auto"/>
                <w:sz w:val="18"/>
              </w:rPr>
              <w:t>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497" w:type="dxa"/>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default" w:ascii="Times New Roman" w:hAnsi="Times New Roman" w:cs="Times New Roman"/>
                <w:color w:val="auto"/>
                <w:sz w:val="2"/>
                <w:szCs w:val="2"/>
              </w:rPr>
            </w:pPr>
          </w:p>
        </w:tc>
        <w:tc>
          <w:tcPr>
            <w:tcW w:w="1003" w:type="dxa"/>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cs="Times New Roman"/>
                <w:color w:val="auto"/>
                <w:sz w:val="18"/>
              </w:rPr>
            </w:pPr>
            <w:r>
              <w:rPr>
                <w:rFonts w:hint="default" w:ascii="Times New Roman" w:hAnsi="Times New Roman" w:cs="Times New Roman"/>
                <w:color w:val="auto"/>
                <w:sz w:val="18"/>
              </w:rPr>
              <w:t>地表水</w:t>
            </w:r>
          </w:p>
        </w:tc>
        <w:tc>
          <w:tcPr>
            <w:tcW w:w="7003" w:type="dxa"/>
            <w:gridSpan w:val="14"/>
          </w:tcPr>
          <w:p>
            <w:pPr>
              <w:pStyle w:val="27"/>
              <w:keepNext w:val="0"/>
              <w:keepLines w:val="0"/>
              <w:pageBreakBefore w:val="0"/>
              <w:widowControl w:val="0"/>
              <w:tabs>
                <w:tab w:val="left" w:pos="2461"/>
                <w:tab w:val="left" w:pos="3937"/>
              </w:tabs>
              <w:kinsoku/>
              <w:wordWrap/>
              <w:overflowPunct/>
              <w:topLinePunct w:val="0"/>
              <w:autoSpaceDE/>
              <w:autoSpaceDN/>
              <w:bidi w:val="0"/>
              <w:adjustRightInd/>
              <w:snapToGrid/>
              <w:spacing w:before="0" w:line="240" w:lineRule="auto"/>
              <w:ind w:left="0" w:right="0" w:firstLine="0" w:firstLineChars="0"/>
              <w:jc w:val="center"/>
              <w:textAlignment w:val="auto"/>
              <w:rPr>
                <w:rFonts w:hint="default" w:ascii="Times New Roman" w:hAnsi="Times New Roman" w:eastAsia="Times New Roman" w:cs="Times New Roman"/>
                <w:color w:val="auto"/>
                <w:sz w:val="18"/>
              </w:rPr>
            </w:pPr>
            <w:r>
              <w:rPr>
                <w:rFonts w:hint="default" w:ascii="Times New Roman" w:hAnsi="Times New Roman" w:cs="Times New Roman"/>
                <w:color w:val="auto"/>
                <w:sz w:val="18"/>
              </w:rPr>
              <w:t>最近环境敏感目标</w:t>
            </w:r>
            <w:r>
              <w:rPr>
                <w:rFonts w:hint="default" w:ascii="Times New Roman" w:hAnsi="Times New Roman" w:cs="Times New Roman"/>
                <w:color w:val="auto"/>
                <w:sz w:val="18"/>
                <w:u w:val="single"/>
              </w:rPr>
              <w:t xml:space="preserve"> </w:t>
            </w:r>
            <w:r>
              <w:rPr>
                <w:rFonts w:hint="default" w:ascii="Times New Roman" w:hAnsi="Times New Roman" w:cs="Times New Roman"/>
                <w:color w:val="auto"/>
                <w:sz w:val="18"/>
                <w:u w:val="single"/>
              </w:rPr>
              <w:tab/>
            </w:r>
            <w:r>
              <w:rPr>
                <w:rFonts w:hint="default" w:ascii="Times New Roman" w:hAnsi="Times New Roman" w:cs="Times New Roman"/>
                <w:color w:val="auto"/>
                <w:sz w:val="18"/>
              </w:rPr>
              <w:t>，到达时间</w:t>
            </w:r>
            <w:r>
              <w:rPr>
                <w:rFonts w:hint="default" w:ascii="Times New Roman" w:hAnsi="Times New Roman" w:cs="Times New Roman"/>
                <w:color w:val="auto"/>
                <w:sz w:val="18"/>
                <w:u w:val="single"/>
              </w:rPr>
              <w:t xml:space="preserve"> </w:t>
            </w:r>
            <w:r>
              <w:rPr>
                <w:rFonts w:hint="default" w:ascii="Times New Roman" w:hAnsi="Times New Roman" w:cs="Times New Roman"/>
                <w:color w:val="auto"/>
                <w:sz w:val="18"/>
                <w:u w:val="single"/>
              </w:rPr>
              <w:tab/>
            </w:r>
            <w:r>
              <w:rPr>
                <w:rFonts w:hint="default" w:ascii="Times New Roman" w:hAnsi="Times New Roman" w:eastAsia="Times New Roman" w:cs="Times New Roman"/>
                <w:color w:val="auto"/>
                <w:sz w:val="18"/>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497" w:type="dxa"/>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
                <w:szCs w:val="2"/>
              </w:rPr>
            </w:pPr>
          </w:p>
        </w:tc>
        <w:tc>
          <w:tcPr>
            <w:tcW w:w="1003" w:type="dxa"/>
            <w:vMerge w:val="restart"/>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b/>
                <w:color w:val="auto"/>
                <w:sz w:val="22"/>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color w:val="auto"/>
                <w:sz w:val="18"/>
              </w:rPr>
            </w:pPr>
            <w:r>
              <w:rPr>
                <w:color w:val="auto"/>
                <w:sz w:val="18"/>
              </w:rPr>
              <w:t>地下水</w:t>
            </w:r>
          </w:p>
        </w:tc>
        <w:tc>
          <w:tcPr>
            <w:tcW w:w="7003" w:type="dxa"/>
            <w:gridSpan w:val="14"/>
          </w:tcPr>
          <w:p>
            <w:pPr>
              <w:pStyle w:val="27"/>
              <w:keepNext w:val="0"/>
              <w:keepLines w:val="0"/>
              <w:pageBreakBefore w:val="0"/>
              <w:widowControl w:val="0"/>
              <w:tabs>
                <w:tab w:val="left" w:pos="2386"/>
              </w:tabs>
              <w:kinsoku/>
              <w:wordWrap/>
              <w:overflowPunct/>
              <w:topLinePunct w:val="0"/>
              <w:autoSpaceDE/>
              <w:autoSpaceDN/>
              <w:bidi w:val="0"/>
              <w:adjustRightInd/>
              <w:snapToGrid/>
              <w:spacing w:before="0" w:line="240" w:lineRule="auto"/>
              <w:ind w:left="0" w:right="0" w:firstLine="0" w:firstLineChars="0"/>
              <w:jc w:val="center"/>
              <w:textAlignment w:val="auto"/>
              <w:rPr>
                <w:rFonts w:ascii="Times New Roman" w:eastAsia="Times New Roman"/>
                <w:color w:val="auto"/>
                <w:sz w:val="18"/>
              </w:rPr>
            </w:pPr>
            <w:r>
              <w:rPr>
                <w:color w:val="auto"/>
                <w:sz w:val="18"/>
              </w:rPr>
              <w:t>下游厂区边界到达时间</w:t>
            </w:r>
            <w:r>
              <w:rPr>
                <w:color w:val="auto"/>
                <w:sz w:val="18"/>
                <w:u w:val="single"/>
              </w:rPr>
              <w:t xml:space="preserve"> </w:t>
            </w:r>
            <w:r>
              <w:rPr>
                <w:color w:val="auto"/>
                <w:sz w:val="18"/>
                <w:u w:val="single"/>
              </w:rPr>
              <w:tab/>
            </w:r>
            <w:r>
              <w:rPr>
                <w:rFonts w:ascii="Times New Roman" w:eastAsia="Times New Roman"/>
                <w:color w:val="auto"/>
                <w:sz w:val="18"/>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3" w:hRule="atLeast"/>
        </w:trPr>
        <w:tc>
          <w:tcPr>
            <w:tcW w:w="497" w:type="dxa"/>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
                <w:szCs w:val="2"/>
              </w:rPr>
            </w:pPr>
          </w:p>
        </w:tc>
        <w:tc>
          <w:tcPr>
            <w:tcW w:w="1003" w:type="dxa"/>
            <w:vMerge w:val="continue"/>
            <w:tcBorders>
              <w:top w:val="nil"/>
            </w:tcBorders>
          </w:tcPr>
          <w:p>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color w:val="auto"/>
                <w:sz w:val="2"/>
                <w:szCs w:val="2"/>
              </w:rPr>
            </w:pPr>
          </w:p>
        </w:tc>
        <w:tc>
          <w:tcPr>
            <w:tcW w:w="7003" w:type="dxa"/>
            <w:gridSpan w:val="14"/>
          </w:tcPr>
          <w:p>
            <w:pPr>
              <w:pStyle w:val="27"/>
              <w:keepNext w:val="0"/>
              <w:keepLines w:val="0"/>
              <w:pageBreakBefore w:val="0"/>
              <w:widowControl w:val="0"/>
              <w:tabs>
                <w:tab w:val="left" w:pos="2461"/>
                <w:tab w:val="left" w:pos="3937"/>
              </w:tabs>
              <w:kinsoku/>
              <w:wordWrap/>
              <w:overflowPunct/>
              <w:topLinePunct w:val="0"/>
              <w:autoSpaceDE/>
              <w:autoSpaceDN/>
              <w:bidi w:val="0"/>
              <w:adjustRightInd/>
              <w:snapToGrid/>
              <w:spacing w:before="0" w:line="240" w:lineRule="auto"/>
              <w:ind w:left="0" w:right="0" w:firstLine="0" w:firstLineChars="0"/>
              <w:jc w:val="center"/>
              <w:textAlignment w:val="auto"/>
              <w:rPr>
                <w:rFonts w:ascii="Times New Roman" w:eastAsia="Times New Roman"/>
                <w:color w:val="auto"/>
                <w:sz w:val="18"/>
              </w:rPr>
            </w:pPr>
            <w:r>
              <w:rPr>
                <w:color w:val="auto"/>
                <w:sz w:val="18"/>
              </w:rPr>
              <w:t>最近环境敏感目标</w:t>
            </w:r>
            <w:r>
              <w:rPr>
                <w:color w:val="auto"/>
                <w:sz w:val="18"/>
                <w:u w:val="single"/>
              </w:rPr>
              <w:t xml:space="preserve"> </w:t>
            </w:r>
            <w:r>
              <w:rPr>
                <w:color w:val="auto"/>
                <w:sz w:val="18"/>
                <w:u w:val="single"/>
              </w:rPr>
              <w:tab/>
            </w:r>
            <w:r>
              <w:rPr>
                <w:color w:val="auto"/>
                <w:sz w:val="18"/>
              </w:rPr>
              <w:t>，到达时间</w:t>
            </w:r>
            <w:r>
              <w:rPr>
                <w:color w:val="auto"/>
                <w:sz w:val="18"/>
                <w:u w:val="single"/>
              </w:rPr>
              <w:t xml:space="preserve"> </w:t>
            </w:r>
            <w:r>
              <w:rPr>
                <w:color w:val="auto"/>
                <w:sz w:val="18"/>
                <w:u w:val="single"/>
              </w:rPr>
              <w:tab/>
            </w:r>
            <w:r>
              <w:rPr>
                <w:rFonts w:ascii="Times New Roman" w:eastAsia="Times New Roman"/>
                <w:color w:val="auto"/>
                <w:sz w:val="18"/>
              </w:rPr>
              <w: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500" w:type="dxa"/>
            <w:gridSpan w:val="2"/>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b/>
                <w:color w:val="auto"/>
                <w:sz w:val="15"/>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color w:val="auto"/>
                <w:sz w:val="18"/>
              </w:rPr>
            </w:pPr>
            <w:r>
              <w:rPr>
                <w:color w:val="auto"/>
                <w:sz w:val="18"/>
              </w:rPr>
              <w:t>重点风险防范措施</w:t>
            </w:r>
          </w:p>
        </w:tc>
        <w:tc>
          <w:tcPr>
            <w:tcW w:w="7003" w:type="dxa"/>
            <w:gridSpan w:val="14"/>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color w:val="auto"/>
                <w:sz w:val="18"/>
              </w:rPr>
            </w:pPr>
            <w:r>
              <w:rPr>
                <w:color w:val="auto"/>
                <w:sz w:val="18"/>
              </w:rPr>
              <w:t>本项目企业应针对上述环境风险事故，制定相应的环境风险防范措施和环境风险应急预案，同时应配备相应的应急物质和应急设备。制定应急预案，并定期演练和修编，</w:t>
            </w: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color w:val="auto"/>
                <w:sz w:val="18"/>
              </w:rPr>
            </w:pPr>
            <w:r>
              <w:rPr>
                <w:color w:val="auto"/>
                <w:sz w:val="18"/>
              </w:rPr>
              <w:t>以使得应急措施不断完善和及时有效地处置发的环境风险事故。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4" w:hRule="atLeast"/>
        </w:trPr>
        <w:tc>
          <w:tcPr>
            <w:tcW w:w="1500" w:type="dxa"/>
            <w:gridSpan w:val="2"/>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b/>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b/>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b/>
                <w:color w:val="auto"/>
                <w:sz w:val="18"/>
              </w:rPr>
            </w:pP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color w:val="auto"/>
                <w:sz w:val="18"/>
              </w:rPr>
            </w:pPr>
            <w:r>
              <w:rPr>
                <w:color w:val="auto"/>
                <w:sz w:val="18"/>
              </w:rPr>
              <w:t>评价结论与建议</w:t>
            </w:r>
          </w:p>
        </w:tc>
        <w:tc>
          <w:tcPr>
            <w:tcW w:w="7003" w:type="dxa"/>
            <w:gridSpan w:val="14"/>
          </w:tcPr>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center"/>
              <w:textAlignment w:val="auto"/>
              <w:rPr>
                <w:color w:val="auto"/>
                <w:spacing w:val="-1"/>
                <w:sz w:val="18"/>
              </w:rPr>
            </w:pPr>
            <w:r>
              <w:rPr>
                <w:color w:val="auto"/>
                <w:spacing w:val="-1"/>
                <w:sz w:val="18"/>
              </w:rPr>
              <w:t>本项目环境风险潜势为I，进行简单分析。本项目环境风险主要是化学品贮存、使用风险；</w:t>
            </w:r>
          </w:p>
          <w:p>
            <w:pPr>
              <w:pStyle w:val="27"/>
              <w:keepNext w:val="0"/>
              <w:keepLines w:val="0"/>
              <w:pageBreakBefore w:val="0"/>
              <w:widowControl w:val="0"/>
              <w:kinsoku/>
              <w:wordWrap/>
              <w:overflowPunct/>
              <w:topLinePunct w:val="0"/>
              <w:autoSpaceDE/>
              <w:autoSpaceDN/>
              <w:bidi w:val="0"/>
              <w:adjustRightInd/>
              <w:snapToGrid/>
              <w:spacing w:before="0" w:line="240" w:lineRule="auto"/>
              <w:ind w:left="0" w:right="0" w:firstLine="0" w:firstLineChars="0"/>
              <w:jc w:val="both"/>
              <w:textAlignment w:val="auto"/>
              <w:rPr>
                <w:color w:val="auto"/>
                <w:sz w:val="18"/>
              </w:rPr>
            </w:pPr>
            <w:r>
              <w:rPr>
                <w:color w:val="auto"/>
                <w:spacing w:val="-1"/>
                <w:sz w:val="18"/>
              </w:rPr>
              <w:t>污水处理站事故排放、二氧化氯发生器风险、微生物实验室致病微生物的传播。企业要积极采取防护措施，加强风险管理，通过相应的技术手段降低风险发生概率，并在风险事故发生后，及时采取风险防范措施及应急预案，可以使风险事故对环境的危害得到有效控制，将事故风险控制在可</w:t>
            </w:r>
            <w:r>
              <w:rPr>
                <w:color w:val="auto"/>
                <w:sz w:val="18"/>
              </w:rPr>
              <w:t>以接受的范围内。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 w:hRule="atLeast"/>
        </w:trPr>
        <w:tc>
          <w:tcPr>
            <w:tcW w:w="8503" w:type="dxa"/>
            <w:gridSpan w:val="16"/>
          </w:tcPr>
          <w:p>
            <w:pPr>
              <w:pStyle w:val="27"/>
              <w:keepNext w:val="0"/>
              <w:keepLines w:val="0"/>
              <w:pageBreakBefore w:val="0"/>
              <w:widowControl w:val="0"/>
              <w:tabs>
                <w:tab w:val="left" w:pos="2265"/>
              </w:tabs>
              <w:kinsoku/>
              <w:wordWrap/>
              <w:overflowPunct/>
              <w:topLinePunct w:val="0"/>
              <w:autoSpaceDE/>
              <w:autoSpaceDN/>
              <w:bidi w:val="0"/>
              <w:adjustRightInd/>
              <w:snapToGrid/>
              <w:spacing w:before="0" w:line="240" w:lineRule="auto"/>
              <w:ind w:left="0" w:right="0" w:firstLine="0" w:firstLineChars="0"/>
              <w:jc w:val="center"/>
              <w:textAlignment w:val="auto"/>
              <w:rPr>
                <w:color w:val="auto"/>
                <w:sz w:val="18"/>
              </w:rPr>
            </w:pPr>
            <w:r>
              <w:rPr>
                <w:color w:val="auto"/>
                <w:sz w:val="18"/>
              </w:rPr>
              <w:t>注：</w:t>
            </w:r>
            <w:r>
              <w:rPr>
                <w:rFonts w:ascii="Times New Roman" w:hAnsi="Times New Roman" w:eastAsia="Times New Roman"/>
                <w:color w:val="auto"/>
                <w:sz w:val="18"/>
              </w:rPr>
              <w:t>“</w:t>
            </w:r>
            <w:r>
              <w:rPr>
                <w:rFonts w:ascii="Times New Roman" w:hAnsi="Times New Roman" w:eastAsia="Times New Roman"/>
                <w:color w:val="auto"/>
                <w:spacing w:val="-3"/>
                <w:sz w:val="18"/>
              </w:rPr>
              <w:t xml:space="preserve"> </w:t>
            </w:r>
            <w:r>
              <w:rPr>
                <w:rFonts w:ascii="Times New Roman" w:hAnsi="Times New Roman" w:eastAsia="Times New Roman"/>
                <w:color w:val="auto"/>
                <w:sz w:val="18"/>
              </w:rPr>
              <w:t>□”</w:t>
            </w:r>
            <w:r>
              <w:rPr>
                <w:color w:val="auto"/>
                <w:sz w:val="18"/>
              </w:rPr>
              <w:t>为勾选项，</w:t>
            </w:r>
            <w:r>
              <w:rPr>
                <w:rFonts w:ascii="Times New Roman" w:hAnsi="Times New Roman" w:eastAsia="Times New Roman"/>
                <w:color w:val="auto"/>
                <w:sz w:val="18"/>
              </w:rPr>
              <w:t>“</w:t>
            </w:r>
            <w:r>
              <w:rPr>
                <w:rFonts w:ascii="Times New Roman" w:hAnsi="Times New Roman" w:eastAsia="Times New Roman"/>
                <w:color w:val="auto"/>
                <w:sz w:val="18"/>
                <w:u w:val="single"/>
              </w:rPr>
              <w:t xml:space="preserve"> </w:t>
            </w:r>
            <w:r>
              <w:rPr>
                <w:rFonts w:ascii="Times New Roman" w:hAnsi="Times New Roman" w:eastAsia="Times New Roman"/>
                <w:color w:val="auto"/>
                <w:sz w:val="18"/>
                <w:u w:val="single"/>
              </w:rPr>
              <w:tab/>
            </w:r>
            <w:r>
              <w:rPr>
                <w:rFonts w:ascii="Times New Roman" w:hAnsi="Times New Roman" w:eastAsia="Times New Roman"/>
                <w:color w:val="auto"/>
                <w:sz w:val="18"/>
              </w:rPr>
              <w:t>”</w:t>
            </w:r>
            <w:r>
              <w:rPr>
                <w:color w:val="auto"/>
                <w:sz w:val="18"/>
              </w:rPr>
              <w:t>为填写项。</w:t>
            </w:r>
          </w:p>
        </w:tc>
      </w:tr>
    </w:tbl>
    <w:p>
      <w:pPr>
        <w:rPr>
          <w:color w:val="auto"/>
        </w:rPr>
      </w:pPr>
      <w:r>
        <w:rPr>
          <w:color w:val="auto"/>
        </w:rPr>
        <w:br w:type="page"/>
      </w:r>
    </w:p>
    <w:p>
      <w:pPr>
        <w:pStyle w:val="4"/>
        <w:bidi w:val="0"/>
        <w:rPr>
          <w:rFonts w:hint="eastAsia"/>
          <w:color w:val="auto"/>
          <w:lang w:val="en-US" w:eastAsia="zh-CN"/>
        </w:rPr>
      </w:pPr>
      <w:bookmarkStart w:id="110" w:name="_Toc15678"/>
      <w:r>
        <w:rPr>
          <w:rFonts w:hint="eastAsia"/>
          <w:color w:val="auto"/>
          <w:lang w:val="en-US" w:eastAsia="zh-CN"/>
        </w:rPr>
        <w:t>6施工期环保措施分析</w:t>
      </w:r>
      <w:bookmarkEnd w:id="110"/>
    </w:p>
    <w:p>
      <w:pPr>
        <w:pStyle w:val="5"/>
        <w:bidi w:val="0"/>
        <w:outlineLvl w:val="0"/>
        <w:rPr>
          <w:color w:val="auto"/>
        </w:rPr>
      </w:pPr>
      <w:bookmarkStart w:id="111" w:name="_Toc10141"/>
      <w:r>
        <w:rPr>
          <w:color w:val="auto"/>
        </w:rPr>
        <w:t>6.1施工期污染防治措施</w:t>
      </w:r>
      <w:bookmarkEnd w:id="111"/>
    </w:p>
    <w:p>
      <w:pPr>
        <w:rPr>
          <w:color w:val="auto"/>
        </w:rPr>
      </w:pPr>
      <w:r>
        <w:rPr>
          <w:rFonts w:hint="eastAsia"/>
          <w:color w:val="auto"/>
          <w:lang w:val="en-US" w:eastAsia="zh-CN"/>
        </w:rPr>
        <w:t>由于本项目现已施工完毕，故施工期环境影响分析以回顾性评价为主。本项目施工期经现场调查无环保遗留问题。</w:t>
      </w:r>
    </w:p>
    <w:p>
      <w:pPr>
        <w:pStyle w:val="6"/>
        <w:bidi w:val="0"/>
        <w:outlineLvl w:val="1"/>
        <w:rPr>
          <w:color w:val="auto"/>
        </w:rPr>
      </w:pPr>
      <w:bookmarkStart w:id="112" w:name="_Toc28394"/>
      <w:r>
        <w:rPr>
          <w:color w:val="auto"/>
        </w:rPr>
        <w:t>6.1.1施工期废气污染防治措施</w:t>
      </w:r>
      <w:bookmarkEnd w:id="112"/>
    </w:p>
    <w:p>
      <w:pPr>
        <w:bidi w:val="0"/>
        <w:rPr>
          <w:color w:val="auto"/>
        </w:rPr>
      </w:pPr>
      <w:r>
        <w:rPr>
          <w:color w:val="auto"/>
        </w:rPr>
        <w:t>（1）扬尘污染防治措施</w:t>
      </w:r>
    </w:p>
    <w:p>
      <w:pPr>
        <w:bidi w:val="0"/>
        <w:rPr>
          <w:color w:val="auto"/>
        </w:rPr>
      </w:pPr>
      <w:r>
        <w:rPr>
          <w:color w:val="auto"/>
        </w:rPr>
        <w:t>施工单位应根据《建设工程施工现场管理规定》的规定设置现场平面布置图、工程概况牌、安全生产牌、消防保卫牌、文明施工牌、环境保护牌、管理人员名单及监督电话牌等。</w:t>
      </w:r>
    </w:p>
    <w:p>
      <w:pPr>
        <w:bidi w:val="0"/>
        <w:rPr>
          <w:color w:val="auto"/>
        </w:rPr>
      </w:pPr>
      <w:r>
        <w:rPr>
          <w:color w:val="auto"/>
        </w:rPr>
        <w:t>施工扬尘产生量主要取决于风速及地表干湿状况。若在干燥天气施工，风速较大，地表干燥，扬尘量必然很大，将对项目周围特别是下风向区域空气环境产生一定程度污染。而潮湿天气施工，因地表较湿，不易产生扬尘，对区域空气环境质量的影响也相对较小。针对施工期扬尘的问题，根据《新疆维吾尔自治区大气污染条例》，本工程在施工期拟采取如下控制措施：</w:t>
      </w:r>
    </w:p>
    <w:p>
      <w:pPr>
        <w:bidi w:val="0"/>
        <w:rPr>
          <w:color w:val="auto"/>
        </w:rPr>
      </w:pPr>
      <w:r>
        <w:rPr>
          <w:color w:val="auto"/>
        </w:rPr>
        <w:t>①开挖产生的弃土、弃料及其他建筑垃圾，应及时清运。</w:t>
      </w:r>
    </w:p>
    <w:p>
      <w:pPr>
        <w:bidi w:val="0"/>
        <w:rPr>
          <w:color w:val="auto"/>
        </w:rPr>
      </w:pPr>
      <w:r>
        <w:rPr>
          <w:color w:val="auto"/>
        </w:rPr>
        <w:t>若在工地内堆置超过一周的，则应覆盖防尘布，防止风蚀起尘及水蚀迁移。防尘布孔密度不低于2000目/100cm</w:t>
      </w:r>
      <w:r>
        <w:rPr>
          <w:color w:val="auto"/>
          <w:vertAlign w:val="superscript"/>
        </w:rPr>
        <w:t>2</w:t>
      </w:r>
      <w:r>
        <w:rPr>
          <w:color w:val="auto"/>
        </w:rPr>
        <w:t>，防尘网面积约2000m</w:t>
      </w:r>
      <w:r>
        <w:rPr>
          <w:color w:val="auto"/>
          <w:vertAlign w:val="superscript"/>
        </w:rPr>
        <w:t>2</w:t>
      </w:r>
      <w:r>
        <w:rPr>
          <w:color w:val="auto"/>
        </w:rPr>
        <w:t>，对土方进行集中堆放，并采取覆盖或者密闭等措施。</w:t>
      </w:r>
    </w:p>
    <w:p>
      <w:pPr>
        <w:bidi w:val="0"/>
        <w:rPr>
          <w:color w:val="auto"/>
        </w:rPr>
      </w:pPr>
      <w:r>
        <w:rPr>
          <w:color w:val="auto"/>
        </w:rPr>
        <w:t>土方工程防尘措施。土方工程包括土的开挖、运输和填筑等施工过程，有时还需进行排水、降水、土壁支撑等准备工作。遇到干燥、易起尘的土方工程作业时，应辅以洒水压尘，尽量缩短起尘操作时间。遇到四级或四级以上大风天气，应停止土方作业，同时作业处覆以防尘网。</w:t>
      </w:r>
    </w:p>
    <w:p>
      <w:pPr>
        <w:bidi w:val="0"/>
        <w:rPr>
          <w:color w:val="auto"/>
        </w:rPr>
      </w:pPr>
      <w:r>
        <w:rPr>
          <w:color w:val="auto"/>
        </w:rPr>
        <w:t>建筑材料和建筑垃圾的防尘管理措施。施工过程中使用水泥、砂石、涂料、铺装材料等易产生扬尘的建筑材料，应采取采用防尘布苫盖。施工工程中产生的弃土、弃料及其他建筑垃圾，应及时清运。若在工地内堆置超过一周的，则应采取定期喷水压尘，防止风蚀起尘及水蚀迁移。及时对施工现场进行清理和平整，不得从高处向下倾倒或者抛洒各类物料和建筑垃圾。</w:t>
      </w:r>
    </w:p>
    <w:p>
      <w:pPr>
        <w:bidi w:val="0"/>
        <w:rPr>
          <w:color w:val="auto"/>
        </w:rPr>
      </w:pPr>
      <w:r>
        <w:rPr>
          <w:color w:val="auto"/>
        </w:rPr>
        <w:t>②在施工场地安排员工定期对施工场地洒水以减少扬尘量，洒水次数根据天气状况而定，一般每天洒水1~2次，若遇到大风或干燥天气可适当增加洒水次数。施工场地洒水与否对扬尘的影响较大，场地洒水后，扬尘量将减低28%~75%，大大减少了其对环境的影响，不得在未实施洒水等抑尘措施情况下进行直接清扫。</w:t>
      </w:r>
    </w:p>
    <w:p>
      <w:pPr>
        <w:bidi w:val="0"/>
        <w:rPr>
          <w:color w:val="auto"/>
        </w:rPr>
      </w:pPr>
      <w:r>
        <w:rPr>
          <w:color w:val="auto"/>
        </w:rPr>
        <w:t>③施工工地内部裸地防尘措施。施工期间，对施工现场内主要道路和物料堆放场地进行硬化，对于工地内裸露地面，应覆盖防尘布或防尘网或者临时绿化。</w:t>
      </w:r>
    </w:p>
    <w:p>
      <w:pPr>
        <w:bidi w:val="0"/>
        <w:rPr>
          <w:color w:val="auto"/>
        </w:rPr>
      </w:pPr>
      <w:r>
        <w:rPr>
          <w:color w:val="auto"/>
        </w:rPr>
        <w:t>④运输车辆的防尘措施。施工期间，</w:t>
      </w:r>
      <w:r>
        <w:rPr>
          <w:rFonts w:hint="eastAsia"/>
          <w:color w:val="auto"/>
          <w:lang w:val="en-US" w:eastAsia="zh-CN"/>
        </w:rPr>
        <w:t>皮山农场</w:t>
      </w:r>
      <w:r>
        <w:rPr>
          <w:color w:val="auto"/>
        </w:rPr>
        <w:t>污水处理厂施工工地在运输车辆的出口内侧设置一个洗车平台。必须配备清洗水枪和清洗员2名（一边一人），洗车作业地面和连接进出口的道路必须采取水泥硬化，道路硬化宽度大于5m。车辆驶离工地前，应在洗车平台清洗轮胎及车身。洗车平台四周设置防溢座、废水导流渠、废水收集池、沉砂池</w:t>
      </w:r>
      <w:r>
        <w:rPr>
          <w:rFonts w:hint="eastAsia"/>
          <w:color w:val="auto"/>
          <w:lang w:eastAsia="zh-CN"/>
        </w:rPr>
        <w:t>及其他</w:t>
      </w:r>
      <w:r>
        <w:rPr>
          <w:color w:val="auto"/>
        </w:rPr>
        <w:t>防治设施，收集洗车、施工以及降水过程中产生的废水和泥浆。工地出口处铺装道路上可见粘带泥土不得超过10m，并应及时清扫冲洗。根据施工规划，进出工地的物料、渣土、垃圾运输车辆，应尽可能采用密闭车斗，并保证物料不遗撒外漏。若无密闭车斗，物料、垃圾、渣土的装载高度不得超过车辆槽帮上沿，车斗应用苫布遮盖严实。苫布边缘至少要遮住槽帮上沿以下15cm，保证物料、渣土、垃圾等不露出。车辆应按照批准的路线和时间进行物料、渣土、垃圾的运输。</w:t>
      </w:r>
    </w:p>
    <w:p>
      <w:pPr>
        <w:bidi w:val="0"/>
        <w:rPr>
          <w:color w:val="auto"/>
        </w:rPr>
      </w:pPr>
      <w:r>
        <w:rPr>
          <w:color w:val="auto"/>
        </w:rPr>
        <w:t>⑤施工工地道路防尘措施。施工期间，施工工地内及工地出口至铺装道路间的车行道路，应铺设钢板，并保持路面清洁，防止机动车扬尘。</w:t>
      </w:r>
    </w:p>
    <w:p>
      <w:pPr>
        <w:bidi w:val="0"/>
        <w:rPr>
          <w:color w:val="auto"/>
        </w:rPr>
      </w:pPr>
      <w:r>
        <w:rPr>
          <w:color w:val="auto"/>
        </w:rPr>
        <w:t>⑥对易产生扬尘的物料堆、渣土堆、废渣、建材等，应采用防尘网和防尘布覆盖。临时性废弃物堆、物料堆、散货堆场，应设置高于废弃物堆的围挡、防风网、挡风屏等。</w:t>
      </w:r>
    </w:p>
    <w:p>
      <w:pPr>
        <w:bidi w:val="0"/>
        <w:rPr>
          <w:color w:val="auto"/>
        </w:rPr>
      </w:pPr>
      <w:r>
        <w:rPr>
          <w:color w:val="auto"/>
        </w:rPr>
        <w:t>⑦装修期油漆及涂料产生的装修废气挥发产生的大气污染物可通过选择环保水性墙面漆、加强通风等措施缓解。</w:t>
      </w:r>
    </w:p>
    <w:p>
      <w:pPr>
        <w:bidi w:val="0"/>
        <w:rPr>
          <w:color w:val="auto"/>
        </w:rPr>
      </w:pPr>
      <w:r>
        <w:rPr>
          <w:color w:val="auto"/>
        </w:rPr>
        <w:t>在施工现场出入口公示施工现场负责人、环保监督员、扬尘污染主要控制措施、举报电话等信息。</w:t>
      </w:r>
    </w:p>
    <w:p>
      <w:pPr>
        <w:bidi w:val="0"/>
        <w:rPr>
          <w:color w:val="auto"/>
        </w:rPr>
      </w:pPr>
      <w:r>
        <w:rPr>
          <w:color w:val="auto"/>
        </w:rPr>
        <w:t>（2）车辆和机械尾气污染保护措施</w:t>
      </w:r>
    </w:p>
    <w:p>
      <w:pPr>
        <w:bidi w:val="0"/>
        <w:rPr>
          <w:color w:val="auto"/>
        </w:rPr>
      </w:pPr>
      <w:r>
        <w:rPr>
          <w:color w:val="auto"/>
        </w:rPr>
        <w:t>①加强大型施工机械和车辆的管理，执行定期检查维护制度。施工机械使用无铅汽油等优质燃料。发动机耗油多、效率低、排放尾气严重超标的老旧车辆，应予更新，禁止尾气排放不达标的车辆和施工机械运行作业。</w:t>
      </w:r>
    </w:p>
    <w:p>
      <w:pPr>
        <w:bidi w:val="0"/>
        <w:rPr>
          <w:color w:val="auto"/>
        </w:rPr>
      </w:pPr>
      <w:r>
        <w:rPr>
          <w:color w:val="auto"/>
        </w:rPr>
        <w:t>②运输车辆和施工机械发生故障和损坏，必须及时维修或更新，防止设备带病运行从而加大废气对环境空气的污染。</w:t>
      </w:r>
    </w:p>
    <w:p>
      <w:pPr>
        <w:pStyle w:val="6"/>
        <w:bidi w:val="0"/>
        <w:outlineLvl w:val="1"/>
        <w:rPr>
          <w:color w:val="auto"/>
        </w:rPr>
      </w:pPr>
      <w:bookmarkStart w:id="113" w:name="_Toc23791"/>
      <w:r>
        <w:rPr>
          <w:color w:val="auto"/>
        </w:rPr>
        <w:t>6.1.2水污染防治措施</w:t>
      </w:r>
      <w:bookmarkEnd w:id="113"/>
    </w:p>
    <w:p>
      <w:pPr>
        <w:bidi w:val="0"/>
        <w:rPr>
          <w:color w:val="auto"/>
        </w:rPr>
      </w:pPr>
      <w:r>
        <w:rPr>
          <w:color w:val="auto"/>
        </w:rPr>
        <w:t>（1）施工废水处理措施</w:t>
      </w:r>
    </w:p>
    <w:p>
      <w:pPr>
        <w:bidi w:val="0"/>
        <w:rPr>
          <w:color w:val="auto"/>
        </w:rPr>
      </w:pPr>
      <w:r>
        <w:rPr>
          <w:color w:val="auto"/>
        </w:rPr>
        <w:t>①施工期间，应对地面水的排放进行组织设计，严禁乱排、乱流污染道路、环境或淹没市政设施；施工上要尽量求得土石方工程的平衡，减少弃土，做好各项排水、截水、防止水土流失的设计。工程施工区设置完善的配套排水系统、泥浆沉淀设施，施工场地的渣土车辆经过冲洗干净后方可出行，冲洗废水经过沉淀处理后回用。</w:t>
      </w:r>
    </w:p>
    <w:p>
      <w:pPr>
        <w:bidi w:val="0"/>
        <w:rPr>
          <w:color w:val="auto"/>
        </w:rPr>
      </w:pPr>
      <w:r>
        <w:rPr>
          <w:color w:val="auto"/>
        </w:rPr>
        <w:t>②在施工中，应合理安排施工计划、施工程序，协调好各个施工步骤，下雨时尽量减少地面坡度，减少开挖面，并争取土料随挖、随运，减少堆土裸土的暴露时间，以避免受降雨的直接冲刷，在暴雨时，还应采取应急措施，尽量用覆盖物覆盖新开挖的陡坡，防止冲刷和塌崩。</w:t>
      </w:r>
    </w:p>
    <w:p>
      <w:pPr>
        <w:bidi w:val="0"/>
        <w:rPr>
          <w:color w:val="auto"/>
        </w:rPr>
      </w:pPr>
      <w:r>
        <w:rPr>
          <w:color w:val="auto"/>
        </w:rPr>
        <w:t>③在厂区以及道路施工场地，争取做到土料随填随压，不留松土。同时，要开边沟，边坡要用石块铺砌，填土场的上游要设置导流沟，防止上游的径流通过，填土作业应尽量集中和避开暴雨期。</w:t>
      </w:r>
    </w:p>
    <w:p>
      <w:pPr>
        <w:bidi w:val="0"/>
        <w:rPr>
          <w:color w:val="auto"/>
        </w:rPr>
      </w:pPr>
      <w:r>
        <w:rPr>
          <w:color w:val="auto"/>
        </w:rPr>
        <w:t>④本项目不设置施工机械维修点，施工机械机修由当地施工机修点定期维修。</w:t>
      </w:r>
    </w:p>
    <w:p>
      <w:pPr>
        <w:bidi w:val="0"/>
        <w:rPr>
          <w:color w:val="auto"/>
        </w:rPr>
      </w:pPr>
      <w:r>
        <w:rPr>
          <w:color w:val="auto"/>
        </w:rPr>
        <w:t>（2）施工期生活污水处理措施</w:t>
      </w:r>
    </w:p>
    <w:p>
      <w:pPr>
        <w:bidi w:val="0"/>
        <w:rPr>
          <w:color w:val="auto"/>
        </w:rPr>
      </w:pPr>
      <w:r>
        <w:rPr>
          <w:color w:val="auto"/>
        </w:rPr>
        <w:t>施工临时生活区高峰期总人数约为20人，每天产生2m</w:t>
      </w:r>
      <w:r>
        <w:rPr>
          <w:color w:val="auto"/>
          <w:vertAlign w:val="superscript"/>
        </w:rPr>
        <w:t>3</w:t>
      </w:r>
      <w:r>
        <w:rPr>
          <w:color w:val="auto"/>
        </w:rPr>
        <w:t>生活污水，施工生活废水排入市政下水管网。</w:t>
      </w:r>
    </w:p>
    <w:p>
      <w:pPr>
        <w:pStyle w:val="6"/>
        <w:bidi w:val="0"/>
        <w:outlineLvl w:val="1"/>
        <w:rPr>
          <w:color w:val="auto"/>
        </w:rPr>
      </w:pPr>
      <w:bookmarkStart w:id="114" w:name="_Toc397"/>
      <w:r>
        <w:rPr>
          <w:color w:val="auto"/>
        </w:rPr>
        <w:t>6.1.3噪声污染防治措施</w:t>
      </w:r>
      <w:bookmarkEnd w:id="114"/>
    </w:p>
    <w:p>
      <w:pPr>
        <w:bidi w:val="0"/>
        <w:rPr>
          <w:color w:val="auto"/>
        </w:rPr>
      </w:pPr>
      <w:r>
        <w:rPr>
          <w:color w:val="auto"/>
        </w:rPr>
        <w:t>虽然施工作业噪声不可避免，但为减小其噪声对周围环境的影响，施工单位应采取相应的噪声防治措施，最大限度地减少噪声对环境的影响。</w:t>
      </w:r>
    </w:p>
    <w:p>
      <w:pPr>
        <w:bidi w:val="0"/>
        <w:rPr>
          <w:color w:val="auto"/>
        </w:rPr>
      </w:pPr>
      <w:r>
        <w:rPr>
          <w:color w:val="auto"/>
        </w:rPr>
        <w:t>①施工部门应合理安排施工时间和施工场所。制订科学的施工计划，尽可能避免大量高噪声设备同时使用，高噪声设备的施工时间尽量安排在昼间，减少夜间施工。对设备定期保养，严格操作规范。</w:t>
      </w:r>
    </w:p>
    <w:p>
      <w:pPr>
        <w:bidi w:val="0"/>
        <w:rPr>
          <w:color w:val="auto"/>
        </w:rPr>
      </w:pPr>
      <w:r>
        <w:rPr>
          <w:color w:val="auto"/>
        </w:rPr>
        <w:t>②合理布局施工现场，避免在同一地点安排多个高噪声设备。</w:t>
      </w:r>
    </w:p>
    <w:p>
      <w:pPr>
        <w:bidi w:val="0"/>
        <w:rPr>
          <w:color w:val="auto"/>
        </w:rPr>
      </w:pPr>
      <w:r>
        <w:rPr>
          <w:color w:val="auto"/>
        </w:rPr>
        <w:t>③尽量选用低噪声机械设备或带隔声、消声的设备。设备选型上尽量采用低噪声设备，如以液压机械代替燃油机械，低频振捣器代替高频振捣器等。固定机械设备与挖土、运土机械，如挖土机、推土机等，可以通过排气管</w:t>
      </w:r>
      <w:r>
        <w:rPr>
          <w:rFonts w:hint="eastAsia"/>
          <w:color w:val="auto"/>
          <w:lang w:eastAsia="zh-CN"/>
        </w:rPr>
        <w:t>消声器</w:t>
      </w:r>
      <w:r>
        <w:rPr>
          <w:color w:val="auto"/>
        </w:rPr>
        <w:t>和隔离</w:t>
      </w:r>
      <w:r>
        <w:rPr>
          <w:rFonts w:hint="eastAsia"/>
          <w:color w:val="auto"/>
          <w:lang w:eastAsia="zh-CN"/>
        </w:rPr>
        <w:t>发动</w:t>
      </w:r>
      <w:r>
        <w:rPr>
          <w:color w:val="auto"/>
        </w:rPr>
        <w:t>机振动部件的方法降低噪声。对动力机械设备应进行定期的维修、养护。闲置不用的设备应立即关闭，运输车辆进入现场应减速，并减少鸣笛。</w:t>
      </w:r>
    </w:p>
    <w:p>
      <w:pPr>
        <w:bidi w:val="0"/>
        <w:rPr>
          <w:color w:val="auto"/>
        </w:rPr>
      </w:pPr>
      <w:r>
        <w:rPr>
          <w:color w:val="auto"/>
        </w:rPr>
        <w:t>④降低人为噪声。按照规定操作机械设备，在挡板、支架拆卸过程中，应遵守作业规定，减少碰撞噪声。</w:t>
      </w:r>
    </w:p>
    <w:p>
      <w:pPr>
        <w:bidi w:val="0"/>
        <w:rPr>
          <w:color w:val="auto"/>
        </w:rPr>
      </w:pPr>
      <w:r>
        <w:rPr>
          <w:color w:val="auto"/>
        </w:rPr>
        <w:t>⑤施工运输车辆进出应合理安排，尽量避开噪声敏感区。</w:t>
      </w:r>
    </w:p>
    <w:p>
      <w:pPr>
        <w:bidi w:val="0"/>
        <w:rPr>
          <w:rFonts w:ascii="宋体" w:hAnsi="宋体" w:eastAsia="宋体" w:cs="宋体"/>
          <w:color w:val="auto"/>
          <w:szCs w:val="32"/>
        </w:rPr>
      </w:pPr>
      <w:r>
        <w:rPr>
          <w:color w:val="auto"/>
        </w:rPr>
        <w:t>对施工场地噪声除采取以上减噪措施以外，还应与沿线周围单位、居民建立良好的社区关系，对受施工干扰的单位和居民应在作业前予以通知，并随时向他们汇报施工进度及施工中对降低噪声采取的措施，求得公众的共同理解。此外，施工期间应设热线投诉电话，接受噪声扰民的投诉，并对投诉情况进行积极治理。</w:t>
      </w:r>
      <w:r>
        <w:rPr>
          <w:rStyle w:val="36"/>
          <w:color w:val="auto"/>
        </w:rPr>
        <w:t>6.1.4固体废物污染防治措施</w:t>
      </w:r>
    </w:p>
    <w:p>
      <w:pPr>
        <w:bidi w:val="0"/>
        <w:rPr>
          <w:color w:val="auto"/>
        </w:rPr>
      </w:pPr>
      <w:r>
        <w:rPr>
          <w:color w:val="auto"/>
        </w:rPr>
        <w:t>施工单位要向当地市容卫生管理部门提出建筑垃圾处置的请示报告，经批准后将建筑垃圾清运到指定地点合理消纳，防止水土流失和破坏当地景观。</w:t>
      </w:r>
    </w:p>
    <w:p>
      <w:pPr>
        <w:bidi w:val="0"/>
        <w:rPr>
          <w:color w:val="auto"/>
        </w:rPr>
      </w:pPr>
      <w:r>
        <w:rPr>
          <w:color w:val="auto"/>
        </w:rPr>
        <w:t>对施工期间产生的建筑垃圾进行分类收集、分类暂存，能够回收利用的尽量回收综合利用，以节约宝贵的资源。</w:t>
      </w:r>
    </w:p>
    <w:p>
      <w:pPr>
        <w:bidi w:val="0"/>
        <w:rPr>
          <w:color w:val="auto"/>
        </w:rPr>
      </w:pPr>
      <w:r>
        <w:rPr>
          <w:color w:val="auto"/>
        </w:rPr>
        <w:t>施工单位对建筑垃圾要进行收集并固定地点集中暂存，及时回填，争取日产日清。同时要做好建筑垃圾暂存点的防护工作，避免风吹、雨淋散失或流失。</w:t>
      </w:r>
    </w:p>
    <w:p>
      <w:pPr>
        <w:bidi w:val="0"/>
        <w:rPr>
          <w:color w:val="auto"/>
        </w:rPr>
      </w:pPr>
      <w:r>
        <w:rPr>
          <w:color w:val="auto"/>
        </w:rPr>
        <w:t>施工营地应该配置垃圾收集箱，由市政环卫部门及时清运至当地垃圾中转站统一集中处置。</w:t>
      </w:r>
    </w:p>
    <w:p>
      <w:pPr>
        <w:bidi w:val="0"/>
        <w:rPr>
          <w:color w:val="auto"/>
        </w:rPr>
      </w:pPr>
      <w:r>
        <w:rPr>
          <w:color w:val="auto"/>
        </w:rPr>
        <w:t>施工单位不准将各种固体废物随意丢弃和随意排放。</w:t>
      </w:r>
    </w:p>
    <w:p>
      <w:pPr>
        <w:bidi w:val="0"/>
        <w:rPr>
          <w:color w:val="auto"/>
        </w:rPr>
      </w:pPr>
      <w:r>
        <w:rPr>
          <w:color w:val="auto"/>
        </w:rPr>
        <w:t>一般情况下，项目建设施工过程会对施工场地及周围地区的环境质量产生一定的影响，必须引起建设单位及施工单位的高度重视，切实做好防护措施，使其对环境的影响减至最低限度，且随着工程的完成，此类影响随即消失。</w:t>
      </w:r>
    </w:p>
    <w:p>
      <w:pPr>
        <w:pStyle w:val="5"/>
        <w:bidi w:val="0"/>
        <w:outlineLvl w:val="0"/>
        <w:rPr>
          <w:color w:val="auto"/>
        </w:rPr>
      </w:pPr>
      <w:bookmarkStart w:id="115" w:name="_Toc22624"/>
      <w:r>
        <w:rPr>
          <w:color w:val="auto"/>
        </w:rPr>
        <w:t>6.2运营期环保措施分析</w:t>
      </w:r>
      <w:bookmarkEnd w:id="115"/>
    </w:p>
    <w:p>
      <w:pPr>
        <w:pStyle w:val="6"/>
        <w:bidi w:val="0"/>
        <w:outlineLvl w:val="1"/>
        <w:rPr>
          <w:color w:val="auto"/>
        </w:rPr>
      </w:pPr>
      <w:bookmarkStart w:id="116" w:name="_Toc5079"/>
      <w:r>
        <w:rPr>
          <w:color w:val="auto"/>
        </w:rPr>
        <w:t>6.2.1大气污染防治措施</w:t>
      </w:r>
      <w:bookmarkEnd w:id="116"/>
    </w:p>
    <w:p>
      <w:pPr>
        <w:bidi w:val="0"/>
        <w:rPr>
          <w:color w:val="auto"/>
        </w:rPr>
      </w:pPr>
      <w:r>
        <w:rPr>
          <w:color w:val="auto"/>
        </w:rPr>
        <w:t>项目区冬季供热由</w:t>
      </w:r>
      <w:r>
        <w:rPr>
          <w:rFonts w:hint="eastAsia"/>
          <w:color w:val="auto"/>
          <w:lang w:val="en-US" w:eastAsia="zh-CN"/>
        </w:rPr>
        <w:t>皮山农场</w:t>
      </w:r>
      <w:r>
        <w:rPr>
          <w:color w:val="auto"/>
        </w:rPr>
        <w:t>热力公司提供实行集中供热，不建供热锅炉，实验室检验设施消毒所用蒸汽为电。</w:t>
      </w:r>
    </w:p>
    <w:p>
      <w:pPr>
        <w:bidi w:val="0"/>
        <w:rPr>
          <w:color w:val="auto"/>
        </w:rPr>
      </w:pPr>
      <w:r>
        <w:rPr>
          <w:color w:val="auto"/>
        </w:rPr>
        <w:t>（1）消毒异味</w:t>
      </w:r>
    </w:p>
    <w:p>
      <w:pPr>
        <w:bidi w:val="0"/>
        <w:rPr>
          <w:color w:val="auto"/>
        </w:rPr>
      </w:pPr>
      <w:r>
        <w:rPr>
          <w:color w:val="auto"/>
        </w:rPr>
        <w:t>为降低空气中的含菌量，疾控中心经常使用过氧乙酸等消毒剂对楼道、卫生间等进行消毒处理，在此过程中会有少量异味产生。疾控中心为了减轻消毒异味对就员及的影响，疾控中心制定详细消毒打扫时间（每天早1次，早上8点消毒打扫卫生），合理的避开人流量较大时段，通过加强室内通风换气量及频次后，疾控中心消毒异味对病人及周边环境的影响不大。</w:t>
      </w:r>
    </w:p>
    <w:p>
      <w:pPr>
        <w:bidi w:val="0"/>
        <w:rPr>
          <w:color w:val="auto"/>
        </w:rPr>
      </w:pPr>
      <w:r>
        <w:rPr>
          <w:color w:val="auto"/>
        </w:rPr>
        <w:t>（2）实验室废气</w:t>
      </w:r>
    </w:p>
    <w:p>
      <w:pPr>
        <w:bidi w:val="0"/>
        <w:rPr>
          <w:color w:val="auto"/>
        </w:rPr>
      </w:pPr>
      <w:r>
        <w:rPr>
          <w:rFonts w:hint="eastAsia" w:ascii="Times New Roman" w:eastAsia="宋体"/>
          <w:color w:val="auto"/>
          <w:lang w:val="en-US" w:eastAsia="zh-CN"/>
        </w:rPr>
        <w:t>①</w:t>
      </w:r>
      <w:r>
        <w:rPr>
          <w:color w:val="auto"/>
        </w:rPr>
        <w:t>理化实验室</w:t>
      </w:r>
    </w:p>
    <w:p>
      <w:pPr>
        <w:bidi w:val="0"/>
        <w:rPr>
          <w:color w:val="auto"/>
        </w:rPr>
      </w:pPr>
      <w:r>
        <w:rPr>
          <w:color w:val="auto"/>
        </w:rPr>
        <w:t>实验室主要功能：进行公共场所环境卫生、车间空气、生活饮用水、食品等样品的理化项目的检验检测。</w:t>
      </w:r>
    </w:p>
    <w:p>
      <w:pPr>
        <w:bidi w:val="0"/>
        <w:rPr>
          <w:color w:val="auto"/>
        </w:rPr>
      </w:pPr>
      <w:r>
        <w:rPr>
          <w:color w:val="auto"/>
        </w:rPr>
        <w:t>根据建设单位提供的实验用试剂</w:t>
      </w:r>
      <w:r>
        <w:rPr>
          <w:rFonts w:hint="eastAsia"/>
          <w:color w:val="auto"/>
          <w:lang w:val="en-US" w:eastAsia="zh-CN"/>
        </w:rPr>
        <w:t>消耗</w:t>
      </w:r>
      <w:r>
        <w:rPr>
          <w:color w:val="auto"/>
        </w:rPr>
        <w:t>情况，无机酸、碱类试剂、有机溶剂、有机试剂年用量均较小，产生的废气量也较小，废气经处理后对周围大气环境影响较小。</w:t>
      </w:r>
    </w:p>
    <w:p>
      <w:pPr>
        <w:bidi w:val="0"/>
        <w:rPr>
          <w:color w:val="auto"/>
        </w:rPr>
      </w:pPr>
      <w:r>
        <w:rPr>
          <w:color w:val="auto"/>
        </w:rPr>
        <w:t>环评措施为集气罩+经活性炭吸附后由专用电控风道排放，疾控中心设置集气罩，安装在实验台上方，实验过程产生的废气通过不低于1000m</w:t>
      </w:r>
      <w:r>
        <w:rPr>
          <w:color w:val="auto"/>
          <w:vertAlign w:val="superscript"/>
        </w:rPr>
        <w:t>3</w:t>
      </w:r>
      <w:r>
        <w:rPr>
          <w:color w:val="auto"/>
        </w:rPr>
        <w:t>/h的风机抽取，通过风道排放，风道出口位于疾控中心楼顶。</w:t>
      </w:r>
    </w:p>
    <w:p>
      <w:pPr>
        <w:bidi w:val="0"/>
        <w:rPr>
          <w:color w:val="auto"/>
        </w:rPr>
      </w:pPr>
      <w:r>
        <w:rPr>
          <w:color w:val="auto"/>
        </w:rPr>
        <w:t>本次环评要求在理化实验室废气收集装置末端加装活性炭吸附装置。</w:t>
      </w:r>
    </w:p>
    <w:p>
      <w:pPr>
        <w:bidi w:val="0"/>
        <w:rPr>
          <w:color w:val="auto"/>
        </w:rPr>
      </w:pPr>
      <w:r>
        <w:rPr>
          <w:color w:val="auto"/>
        </w:rPr>
        <w:t>活性炭是一种很细小的炭粒</w:t>
      </w:r>
      <w:r>
        <w:rPr>
          <w:rFonts w:hint="eastAsia" w:eastAsia="宋体"/>
          <w:color w:val="auto"/>
          <w:lang w:eastAsia="zh-CN"/>
        </w:rPr>
        <w:t>，</w:t>
      </w:r>
      <w:r>
        <w:rPr>
          <w:color w:val="auto"/>
        </w:rPr>
        <w:t>有很大的表面积</w:t>
      </w:r>
      <w:r>
        <w:rPr>
          <w:rFonts w:hint="eastAsia" w:eastAsia="宋体"/>
          <w:color w:val="auto"/>
          <w:lang w:eastAsia="zh-CN"/>
        </w:rPr>
        <w:t>，</w:t>
      </w:r>
      <w:r>
        <w:rPr>
          <w:color w:val="auto"/>
        </w:rPr>
        <w:t>而且炭粒中还有更细小的孔毛细管.这种毛细管具有很强的吸附能力</w:t>
      </w:r>
      <w:r>
        <w:rPr>
          <w:rFonts w:hint="eastAsia" w:eastAsia="宋体"/>
          <w:color w:val="auto"/>
          <w:lang w:eastAsia="zh-CN"/>
        </w:rPr>
        <w:t>，</w:t>
      </w:r>
      <w:r>
        <w:rPr>
          <w:color w:val="auto"/>
        </w:rPr>
        <w:t>由于炭粒的表面积很大</w:t>
      </w:r>
      <w:r>
        <w:rPr>
          <w:rFonts w:hint="eastAsia" w:eastAsia="宋体"/>
          <w:color w:val="auto"/>
          <w:lang w:eastAsia="zh-CN"/>
        </w:rPr>
        <w:t>，</w:t>
      </w:r>
      <w:r>
        <w:rPr>
          <w:color w:val="auto"/>
        </w:rPr>
        <w:t>所以能与气体</w:t>
      </w:r>
      <w:r>
        <w:rPr>
          <w:rFonts w:hint="eastAsia" w:eastAsia="宋体"/>
          <w:color w:val="auto"/>
          <w:lang w:eastAsia="zh-CN"/>
        </w:rPr>
        <w:t>（</w:t>
      </w:r>
      <w:r>
        <w:rPr>
          <w:color w:val="auto"/>
        </w:rPr>
        <w:t>杂质</w:t>
      </w:r>
      <w:r>
        <w:rPr>
          <w:rFonts w:hint="eastAsia" w:eastAsia="宋体"/>
          <w:color w:val="auto"/>
          <w:lang w:eastAsia="zh-CN"/>
        </w:rPr>
        <w:t>）</w:t>
      </w:r>
      <w:r>
        <w:rPr>
          <w:color w:val="auto"/>
        </w:rPr>
        <w:t>充分接触</w:t>
      </w:r>
      <w:r>
        <w:rPr>
          <w:rFonts w:hint="eastAsia" w:eastAsia="宋体"/>
          <w:color w:val="auto"/>
          <w:lang w:eastAsia="zh-CN"/>
        </w:rPr>
        <w:t>，</w:t>
      </w:r>
      <w:r>
        <w:rPr>
          <w:color w:val="auto"/>
        </w:rPr>
        <w:t>当这些气体</w:t>
      </w:r>
      <w:r>
        <w:rPr>
          <w:rFonts w:hint="eastAsia" w:eastAsia="宋体"/>
          <w:color w:val="auto"/>
          <w:lang w:eastAsia="zh-CN"/>
        </w:rPr>
        <w:t>（</w:t>
      </w:r>
      <w:r>
        <w:rPr>
          <w:color w:val="auto"/>
        </w:rPr>
        <w:t>杂质</w:t>
      </w:r>
      <w:r>
        <w:rPr>
          <w:rFonts w:hint="eastAsia" w:eastAsia="宋体"/>
          <w:color w:val="auto"/>
          <w:lang w:eastAsia="zh-CN"/>
        </w:rPr>
        <w:t>）</w:t>
      </w:r>
      <w:r>
        <w:rPr>
          <w:color w:val="auto"/>
        </w:rPr>
        <w:t>碰到毛细管就被吸附</w:t>
      </w:r>
      <w:r>
        <w:rPr>
          <w:rFonts w:hint="eastAsia" w:eastAsia="宋体"/>
          <w:color w:val="auto"/>
          <w:lang w:eastAsia="zh-CN"/>
        </w:rPr>
        <w:t>，</w:t>
      </w:r>
      <w:r>
        <w:rPr>
          <w:color w:val="auto"/>
        </w:rPr>
        <w:t>起净化作用。活性炭吸附的实质是利用活性炭吸附的特性把低浓度大风量废气中的有机溶剂吸附到活性炭中。处理效率按</w:t>
      </w:r>
      <w:r>
        <w:rPr>
          <w:rFonts w:hint="eastAsia" w:ascii="Times New Roman" w:eastAsia="宋体"/>
          <w:color w:val="auto"/>
          <w:lang w:val="en-US" w:eastAsia="zh-CN"/>
        </w:rPr>
        <w:t>8</w:t>
      </w:r>
      <w:r>
        <w:rPr>
          <w:color w:val="auto"/>
        </w:rPr>
        <w:t>0%计，经处理的废气排放对周边环境不大。</w:t>
      </w:r>
    </w:p>
    <w:p>
      <w:pPr>
        <w:bidi w:val="0"/>
        <w:rPr>
          <w:color w:val="auto"/>
        </w:rPr>
      </w:pPr>
      <w:r>
        <w:rPr>
          <w:color w:val="auto"/>
        </w:rPr>
        <w:t>④微生物实验室</w:t>
      </w:r>
    </w:p>
    <w:p>
      <w:pPr>
        <w:bidi w:val="0"/>
        <w:rPr>
          <w:color w:val="auto"/>
        </w:rPr>
      </w:pPr>
      <w:r>
        <w:rPr>
          <w:color w:val="auto"/>
        </w:rPr>
        <w:t>主要检验项目：细菌总数、大肠菌群等、食源性致病菌。</w:t>
      </w:r>
    </w:p>
    <w:p>
      <w:pPr>
        <w:bidi w:val="0"/>
        <w:rPr>
          <w:color w:val="auto"/>
        </w:rPr>
      </w:pPr>
      <w:r>
        <w:rPr>
          <w:color w:val="auto"/>
        </w:rPr>
        <w:t>本项目主要进行食源性致病菌、大肠菌群等检验，本项目主要为P2类实验室，不进行传染病研究等，所检测菌种一般致病性较弱，传染性较低。</w:t>
      </w:r>
    </w:p>
    <w:p>
      <w:pPr>
        <w:bidi w:val="0"/>
        <w:rPr>
          <w:color w:val="auto"/>
        </w:rPr>
      </w:pPr>
      <w:r>
        <w:rPr>
          <w:color w:val="auto"/>
        </w:rPr>
        <w:t>处理措施：实验室与病原微生物有关的实验在生物安全柜内操作。</w:t>
      </w:r>
    </w:p>
    <w:p>
      <w:pPr>
        <w:bidi w:val="0"/>
        <w:rPr>
          <w:color w:val="auto"/>
        </w:rPr>
      </w:pPr>
      <w:r>
        <w:rPr>
          <w:color w:val="auto"/>
        </w:rPr>
        <w:t>生物安全柜</w:t>
      </w:r>
      <w:r>
        <w:rPr>
          <w:rFonts w:hint="eastAsia" w:eastAsia="宋体"/>
          <w:color w:val="auto"/>
          <w:lang w:eastAsia="zh-CN"/>
        </w:rPr>
        <w:t>（</w:t>
      </w:r>
      <w:r>
        <w:rPr>
          <w:color w:val="auto"/>
        </w:rPr>
        <w:t>biologicalsafetycabin.BSC</w:t>
      </w:r>
      <w:r>
        <w:rPr>
          <w:rFonts w:hint="eastAsia" w:eastAsia="宋体"/>
          <w:color w:val="auto"/>
          <w:lang w:eastAsia="zh-CN"/>
        </w:rPr>
        <w:t>）</w:t>
      </w:r>
      <w:r>
        <w:rPr>
          <w:color w:val="auto"/>
        </w:rPr>
        <w:t>是能防止实验操作处理过程中某些含有危险性或未知性生物微粒发生气溶胶散逸的箱型空气净化负压安全装置。其广泛应用于微生物学、生物医学、基因工程、生物制品等领域的科研、教学、临床检验和生产中，是实验室生物安全中一级防护屏障中最基本的安全防护设备。</w:t>
      </w:r>
    </w:p>
    <w:p>
      <w:pPr>
        <w:bidi w:val="0"/>
        <w:rPr>
          <w:color w:val="auto"/>
        </w:rPr>
      </w:pPr>
      <w:r>
        <w:rPr>
          <w:color w:val="auto"/>
        </w:rPr>
        <w:t>项目使用的生物安全柜（H生物安全柜）为二级生物安全柜。主要组成及工作原理如下：</w:t>
      </w:r>
    </w:p>
    <w:p>
      <w:pPr>
        <w:bidi w:val="0"/>
        <w:rPr>
          <w:color w:val="auto"/>
        </w:rPr>
      </w:pPr>
      <w:r>
        <w:rPr>
          <w:color w:val="auto"/>
        </w:rPr>
        <w:t>Ⅰ空气过滤系统</w:t>
      </w:r>
    </w:p>
    <w:p>
      <w:pPr>
        <w:bidi w:val="0"/>
        <w:rPr>
          <w:color w:val="auto"/>
        </w:rPr>
      </w:pPr>
      <w:r>
        <w:rPr>
          <w:color w:val="auto"/>
        </w:rPr>
        <w:t>空气过滤系统是保证本设备性能最主要的系统，它由驱动风机、风道、循环空气过滤器和外排空气过滤器组成。其最主要的功能是不断地使洁净空气进入工作室，使工作区的下沉气流</w:t>
      </w:r>
      <w:r>
        <w:rPr>
          <w:rFonts w:hint="eastAsia" w:eastAsia="宋体"/>
          <w:color w:val="auto"/>
          <w:lang w:eastAsia="zh-CN"/>
        </w:rPr>
        <w:t>（</w:t>
      </w:r>
      <w:r>
        <w:rPr>
          <w:color w:val="auto"/>
        </w:rPr>
        <w:t>垂直气流</w:t>
      </w:r>
      <w:r>
        <w:rPr>
          <w:rFonts w:hint="eastAsia" w:eastAsia="宋体"/>
          <w:color w:val="auto"/>
          <w:lang w:eastAsia="zh-CN"/>
        </w:rPr>
        <w:t>）</w:t>
      </w:r>
      <w:r>
        <w:rPr>
          <w:color w:val="auto"/>
        </w:rPr>
        <w:t>流速不小于0.3m/s，保证工作区内的洁净度达到100级。同时使外排气流也被净化，防止污染环境。</w:t>
      </w:r>
    </w:p>
    <w:p>
      <w:pPr>
        <w:bidi w:val="0"/>
        <w:rPr>
          <w:color w:val="auto"/>
        </w:rPr>
      </w:pPr>
      <w:r>
        <w:rPr>
          <w:color w:val="auto"/>
        </w:rPr>
        <w:t>该系统的核心部件为HEPA过滤器，其采用特殊防火材料为框架，框内用波纹状的铝片分隔成栅状，里面填充乳化玻璃纤维亚微粒，其过滤效率可达到99.99%~100%。进风口的预过滤罩或预过滤器，使空气预过滤净化后再进入HEPA过滤器中，可延长HEPA过滤器的使用寿命。</w:t>
      </w:r>
    </w:p>
    <w:p>
      <w:pPr>
        <w:bidi w:val="0"/>
        <w:rPr>
          <w:color w:val="auto"/>
        </w:rPr>
      </w:pPr>
      <w:r>
        <w:rPr>
          <w:color w:val="auto"/>
        </w:rPr>
        <w:t>Ⅱ外排风箱系统</w:t>
      </w:r>
    </w:p>
    <w:p>
      <w:pPr>
        <w:bidi w:val="0"/>
        <w:rPr>
          <w:color w:val="auto"/>
        </w:rPr>
      </w:pPr>
      <w:r>
        <w:rPr>
          <w:color w:val="auto"/>
        </w:rPr>
        <w:t>外排风箱系统由外排风箱壳体、风机和排风管道组成。外排风机提供排气的动力，将工作室内不洁净的空气抽出，并由外排过滤器净化而起到保护样品和柜内实验物品的作用，由于外排作用，工作室内为负压，防止工作区空气</w:t>
      </w:r>
      <w:r>
        <w:rPr>
          <w:rFonts w:hint="eastAsia" w:eastAsia="宋体"/>
          <w:color w:val="auto"/>
          <w:lang w:eastAsia="zh-CN"/>
        </w:rPr>
        <w:t>外溢</w:t>
      </w:r>
      <w:r>
        <w:rPr>
          <w:color w:val="auto"/>
        </w:rPr>
        <w:t>，起到保护操作者的目的。</w:t>
      </w:r>
    </w:p>
    <w:p>
      <w:pPr>
        <w:bidi w:val="0"/>
        <w:rPr>
          <w:color w:val="auto"/>
        </w:rPr>
      </w:pPr>
      <w:r>
        <w:rPr>
          <w:color w:val="auto"/>
        </w:rPr>
        <w:t>Ⅲ滑动前窗驱动系统</w:t>
      </w:r>
    </w:p>
    <w:p>
      <w:pPr>
        <w:bidi w:val="0"/>
        <w:rPr>
          <w:color w:val="auto"/>
        </w:rPr>
      </w:pPr>
      <w:r>
        <w:rPr>
          <w:color w:val="auto"/>
        </w:rPr>
        <w:t>滑动前窗驱动系统由前玻璃门、门电机、牵引机构、传动轴和限位开关等组成，主要作用是驱动或牵引各个门轴，使设备在运行过程中，前玻璃门处于正常位置。</w:t>
      </w:r>
    </w:p>
    <w:p>
      <w:pPr>
        <w:bidi w:val="0"/>
        <w:rPr>
          <w:color w:val="auto"/>
        </w:rPr>
      </w:pPr>
      <w:r>
        <w:rPr>
          <w:color w:val="auto"/>
        </w:rPr>
        <w:t>Ⅳ照明光源和紫外光源位于玻璃门内侧以保证工作室内有一定的亮度和用于工作室内的台面及空气的消毒。</w:t>
      </w:r>
    </w:p>
    <w:p>
      <w:pPr>
        <w:bidi w:val="0"/>
        <w:rPr>
          <w:color w:val="auto"/>
        </w:rPr>
      </w:pPr>
      <w:r>
        <w:rPr>
          <w:color w:val="auto"/>
        </w:rPr>
        <w:t>Ⅴ.控制面板上有电源、紫外灯、照明灯、风机开关、控制前玻璃门移动等装置，主要作用是设定及显示系统状态。</w:t>
      </w:r>
    </w:p>
    <w:p>
      <w:pPr>
        <w:bidi w:val="0"/>
        <w:rPr>
          <w:color w:val="auto"/>
        </w:rPr>
      </w:pPr>
      <w:r>
        <w:rPr>
          <w:color w:val="auto"/>
        </w:rPr>
        <w:t>经处理后，其过滤效率可达到99.99%~100%，微生物实验室废气对周边环境影响不大。</w:t>
      </w:r>
    </w:p>
    <w:p>
      <w:pPr>
        <w:bidi w:val="0"/>
        <w:rPr>
          <w:color w:val="auto"/>
        </w:rPr>
      </w:pPr>
      <w:r>
        <w:rPr>
          <w:color w:val="auto"/>
        </w:rPr>
        <w:t>实验室废气排放浓度均能满足《大气污染物综合排放标准》（GB16297-1996）中要，实验废气对周边环境影响不大。</w:t>
      </w:r>
    </w:p>
    <w:p>
      <w:pPr>
        <w:bidi w:val="0"/>
        <w:rPr>
          <w:color w:val="auto"/>
        </w:rPr>
      </w:pPr>
      <w:r>
        <w:rPr>
          <w:color w:val="auto"/>
        </w:rPr>
        <w:t>（3）污水站恶臭</w:t>
      </w:r>
    </w:p>
    <w:p>
      <w:pPr>
        <w:bidi w:val="0"/>
        <w:rPr>
          <w:color w:val="auto"/>
        </w:rPr>
      </w:pPr>
      <w:r>
        <w:rPr>
          <w:color w:val="auto"/>
        </w:rPr>
        <w:t>本次环评要求污水处理设施置于密闭空间中，同时设置活性炭吸附装置，恶臭经活性炭吸附后由污水处理设备房通风窗口无组织排放对环境影响不大。</w:t>
      </w:r>
    </w:p>
    <w:p>
      <w:pPr>
        <w:bidi w:val="0"/>
        <w:rPr>
          <w:color w:val="auto"/>
        </w:rPr>
      </w:pPr>
      <w:r>
        <w:rPr>
          <w:rFonts w:hint="eastAsia" w:eastAsia="宋体"/>
          <w:color w:val="auto"/>
          <w:lang w:eastAsia="zh-CN"/>
        </w:rPr>
        <w:t>（</w:t>
      </w:r>
      <w:r>
        <w:rPr>
          <w:rFonts w:hint="eastAsia" w:ascii="Times New Roman" w:eastAsia="宋体"/>
          <w:color w:val="auto"/>
          <w:lang w:val="en-US" w:eastAsia="zh-CN"/>
        </w:rPr>
        <w:t>4</w:t>
      </w:r>
      <w:r>
        <w:rPr>
          <w:rFonts w:hint="eastAsia" w:eastAsia="宋体"/>
          <w:color w:val="auto"/>
          <w:lang w:eastAsia="zh-CN"/>
        </w:rPr>
        <w:t>）</w:t>
      </w:r>
      <w:r>
        <w:rPr>
          <w:color w:val="auto"/>
        </w:rPr>
        <w:t>医疗废物暂存间废气</w:t>
      </w:r>
    </w:p>
    <w:p>
      <w:pPr>
        <w:bidi w:val="0"/>
        <w:rPr>
          <w:rFonts w:hint="eastAsia" w:eastAsia="宋体"/>
          <w:color w:val="auto"/>
          <w:lang w:eastAsia="zh-CN"/>
        </w:rPr>
      </w:pPr>
      <w:r>
        <w:rPr>
          <w:color w:val="auto"/>
        </w:rPr>
        <w:t>医疗废物暂存间废气主要由医疗废物散发而来，废气产生量较小，但可能携带有一定量的病菌。本项目医疗废物暂存间严格按照《医疗卫生机构医疗废物管理办法》（中华人民共和国卫生部令第36号）设置，医疗废物的堆放不超过24小时，采取每天喷洒适量84消毒液对地面和墙体等进行消毒处理，暂存间有严密的封闭措施，消毒处理后通过排气扇将暂存间废气排出，加速废气扩散。</w:t>
      </w:r>
    </w:p>
    <w:p>
      <w:pPr>
        <w:bidi w:val="0"/>
        <w:rPr>
          <w:color w:val="auto"/>
        </w:rPr>
      </w:pPr>
      <w:r>
        <w:rPr>
          <w:color w:val="auto"/>
        </w:rPr>
        <w:t>综上分析可以看出，项目运营期产生的大气污染物浓度均较低，能够达标排放，运营期废气不会对项目所在区域大气环境质量造成明显不利影响。</w:t>
      </w:r>
    </w:p>
    <w:p>
      <w:pPr>
        <w:bidi w:val="0"/>
        <w:rPr>
          <w:color w:val="auto"/>
        </w:rPr>
      </w:pPr>
      <w:r>
        <w:rPr>
          <w:color w:val="auto"/>
        </w:rPr>
        <w:t>本项目废气治理措施经济技术可行。</w:t>
      </w:r>
    </w:p>
    <w:p>
      <w:pPr>
        <w:pStyle w:val="6"/>
        <w:bidi w:val="0"/>
        <w:outlineLvl w:val="1"/>
        <w:rPr>
          <w:color w:val="auto"/>
        </w:rPr>
      </w:pPr>
      <w:bookmarkStart w:id="117" w:name="_Toc14289"/>
      <w:r>
        <w:rPr>
          <w:color w:val="auto"/>
        </w:rPr>
        <w:t>6.2.2水污染防治措施</w:t>
      </w:r>
      <w:bookmarkEnd w:id="117"/>
    </w:p>
    <w:p>
      <w:pPr>
        <w:pStyle w:val="7"/>
        <w:bidi w:val="0"/>
        <w:rPr>
          <w:color w:val="auto"/>
        </w:rPr>
      </w:pPr>
      <w:r>
        <w:rPr>
          <w:color w:val="auto"/>
        </w:rPr>
        <w:t>6.2.2.1废水治理原则</w:t>
      </w:r>
    </w:p>
    <w:p>
      <w:pPr>
        <w:bidi w:val="0"/>
        <w:rPr>
          <w:color w:val="auto"/>
        </w:rPr>
      </w:pPr>
      <w:r>
        <w:rPr>
          <w:color w:val="auto"/>
        </w:rPr>
        <w:t>（1）首先要防止传染病病菌的排放和对环境的污染，对含有病原菌的废水进行严格的消毒处理，达到相应的排放标准后方可排放。在可能的情况下，受传染病原菌污染的污水应与其他污水分开，以减少消毒剂用量及增强消毒效果；</w:t>
      </w:r>
    </w:p>
    <w:p>
      <w:pPr>
        <w:bidi w:val="0"/>
        <w:rPr>
          <w:color w:val="auto"/>
        </w:rPr>
      </w:pPr>
      <w:r>
        <w:rPr>
          <w:color w:val="auto"/>
        </w:rPr>
        <w:t>（2）含菌污水消毒所选用的消毒剂尽量安全可靠，操作简单，费用低，效率高。</w:t>
      </w:r>
    </w:p>
    <w:p>
      <w:pPr>
        <w:pStyle w:val="7"/>
        <w:bidi w:val="0"/>
        <w:rPr>
          <w:color w:val="auto"/>
        </w:rPr>
      </w:pPr>
      <w:r>
        <w:rPr>
          <w:color w:val="auto"/>
        </w:rPr>
        <w:t>6.2.2.2废水治理措施</w:t>
      </w:r>
    </w:p>
    <w:p>
      <w:pPr>
        <w:bidi w:val="0"/>
        <w:rPr>
          <w:color w:val="auto"/>
        </w:rPr>
      </w:pPr>
      <w:r>
        <w:rPr>
          <w:color w:val="auto"/>
        </w:rPr>
        <w:t>根据项目废水特性及污染因子组成，分别采取不同的治理措施，详见如下：</w:t>
      </w:r>
    </w:p>
    <w:p>
      <w:pPr>
        <w:bidi w:val="0"/>
        <w:rPr>
          <w:color w:val="auto"/>
        </w:rPr>
      </w:pPr>
      <w:r>
        <w:rPr>
          <w:color w:val="auto"/>
        </w:rPr>
        <w:t>（1）生活废水</w:t>
      </w:r>
    </w:p>
    <w:p>
      <w:pPr>
        <w:bidi w:val="0"/>
        <w:rPr>
          <w:color w:val="auto"/>
        </w:rPr>
      </w:pPr>
      <w:r>
        <w:rPr>
          <w:color w:val="auto"/>
        </w:rPr>
        <w:t>项目生活污水主要为行政办公人员在工作期间产生的污水及培训人员废水，该部分污水可直接排入下水管网，最终进入</w:t>
      </w:r>
      <w:r>
        <w:rPr>
          <w:rFonts w:hint="eastAsia"/>
          <w:color w:val="auto"/>
          <w:lang w:val="en-US" w:eastAsia="zh-CN"/>
        </w:rPr>
        <w:t>皮山农场</w:t>
      </w:r>
      <w:r>
        <w:rPr>
          <w:color w:val="auto"/>
        </w:rPr>
        <w:t>污水处理厂。</w:t>
      </w:r>
    </w:p>
    <w:p>
      <w:pPr>
        <w:bidi w:val="0"/>
        <w:rPr>
          <w:color w:val="auto"/>
        </w:rPr>
      </w:pPr>
      <w:r>
        <w:rPr>
          <w:color w:val="auto"/>
        </w:rPr>
        <w:t>（2）实验废水</w:t>
      </w:r>
    </w:p>
    <w:p>
      <w:pPr>
        <w:bidi w:val="0"/>
        <w:rPr>
          <w:color w:val="auto"/>
        </w:rPr>
      </w:pPr>
      <w:r>
        <w:rPr>
          <w:color w:val="auto"/>
        </w:rPr>
        <w:t>实验废水包括实验清洗废水和生物实验室高压灭菌柜定期外排废水，项目建设一座经疾控中心污水处理站，实验清洗废水和生物实验室高压灭菌柜定期外排废水经处理后满足《医疗机构水污染物排放标准》（GB18466-2005）表2中的预处理排放标准，方可排入市政管网。</w:t>
      </w:r>
    </w:p>
    <w:p>
      <w:pPr>
        <w:bidi w:val="0"/>
        <w:rPr>
          <w:color w:val="auto"/>
        </w:rPr>
      </w:pPr>
      <w:r>
        <w:rPr>
          <w:color w:val="auto"/>
        </w:rPr>
        <w:t>实验室废水排入实验室废水排水管网，实现生活和生产废水分流排放。微生物实验室、理化实验室设置专用排水口统一沿独立管道接入地下室污水处理设备，废水进入收集池，开始处理流程。处理过的废水排入城市下水管网，实验废水排放口最终流入院内污水井，进入城市下水管网。</w:t>
      </w:r>
    </w:p>
    <w:p>
      <w:pPr>
        <w:bidi w:val="0"/>
        <w:rPr>
          <w:color w:val="auto"/>
        </w:rPr>
      </w:pPr>
      <w:r>
        <w:rPr>
          <w:color w:val="auto"/>
        </w:rPr>
        <w:t>（3）纯水制备产生的高盐废水</w:t>
      </w:r>
    </w:p>
    <w:p>
      <w:pPr>
        <w:bidi w:val="0"/>
        <w:rPr>
          <w:color w:val="auto"/>
        </w:rPr>
      </w:pPr>
      <w:r>
        <w:rPr>
          <w:color w:val="auto"/>
        </w:rPr>
        <w:t>检验室实验仪器设备清洗时需要用纯水，项目生产用的纯水采用过滤+两级反渗透工艺制备，制备纯水所需新鲜水总量约1.0m</w:t>
      </w:r>
      <w:r>
        <w:rPr>
          <w:rFonts w:hint="eastAsia"/>
          <w:color w:val="auto"/>
          <w:vertAlign w:val="superscript"/>
          <w:lang w:val="en-US" w:eastAsia="zh-CN"/>
        </w:rPr>
        <w:t>3</w:t>
      </w:r>
      <w:r>
        <w:rPr>
          <w:color w:val="auto"/>
        </w:rPr>
        <w:t>/d，300m</w:t>
      </w:r>
      <w:r>
        <w:rPr>
          <w:rFonts w:hint="eastAsia"/>
          <w:color w:val="auto"/>
          <w:vertAlign w:val="superscript"/>
          <w:lang w:val="en-US" w:eastAsia="zh-CN"/>
        </w:rPr>
        <w:t>3</w:t>
      </w:r>
      <w:r>
        <w:rPr>
          <w:color w:val="auto"/>
        </w:rPr>
        <w:t>/a，产生的高盐废水为0.2m</w:t>
      </w:r>
      <w:r>
        <w:rPr>
          <w:rFonts w:hint="eastAsia"/>
          <w:color w:val="auto"/>
          <w:vertAlign w:val="superscript"/>
          <w:lang w:val="en-US" w:eastAsia="zh-CN"/>
        </w:rPr>
        <w:t>3</w:t>
      </w:r>
      <w:r>
        <w:rPr>
          <w:color w:val="auto"/>
        </w:rPr>
        <w:t>/d，属清下水，直接进入市政下水管网。</w:t>
      </w:r>
    </w:p>
    <w:p>
      <w:pPr>
        <w:pStyle w:val="7"/>
        <w:bidi w:val="0"/>
        <w:rPr>
          <w:color w:val="auto"/>
        </w:rPr>
      </w:pPr>
      <w:r>
        <w:rPr>
          <w:color w:val="auto"/>
        </w:rPr>
        <w:t>6.2.2.3废水处理设施达标排放的可行性和可靠性</w:t>
      </w:r>
    </w:p>
    <w:p>
      <w:pPr>
        <w:bidi w:val="0"/>
        <w:rPr>
          <w:color w:val="auto"/>
        </w:rPr>
      </w:pPr>
      <w:r>
        <w:rPr>
          <w:color w:val="auto"/>
        </w:rPr>
        <w:t>本项目污水处理规模按</w:t>
      </w:r>
      <w:r>
        <w:rPr>
          <w:rFonts w:hint="eastAsia" w:ascii="Times New Roman" w:eastAsia="宋体"/>
          <w:color w:val="auto"/>
          <w:lang w:val="en-US" w:eastAsia="zh-CN"/>
        </w:rPr>
        <w:t>5</w:t>
      </w:r>
      <w:r>
        <w:rPr>
          <w:color w:val="auto"/>
        </w:rPr>
        <w:t>m</w:t>
      </w:r>
      <w:r>
        <w:rPr>
          <w:color w:val="auto"/>
          <w:vertAlign w:val="superscript"/>
        </w:rPr>
        <w:t>3</w:t>
      </w:r>
      <w:r>
        <w:rPr>
          <w:color w:val="auto"/>
        </w:rPr>
        <w:t>/d设计，可满足项目投运后的污水处理需求。疾控中心污水处理站出水达到《医疗机构水污染物排放标准》（GB18466-2005）表2预处理标准后经市政污水管网排入</w:t>
      </w:r>
      <w:r>
        <w:rPr>
          <w:rFonts w:hint="eastAsia"/>
          <w:color w:val="auto"/>
          <w:lang w:val="en-US" w:eastAsia="zh-CN"/>
        </w:rPr>
        <w:t>皮山农场</w:t>
      </w:r>
      <w:r>
        <w:rPr>
          <w:color w:val="auto"/>
        </w:rPr>
        <w:t>污水处理厂进行进一步处理后用于绿化灌溉。</w:t>
      </w:r>
    </w:p>
    <w:p>
      <w:pPr>
        <w:bidi w:val="0"/>
        <w:rPr>
          <w:color w:val="auto"/>
        </w:rPr>
      </w:pPr>
      <w:r>
        <w:rPr>
          <w:color w:val="auto"/>
        </w:rPr>
        <w:t>（1）污水处理工艺比选分析</w:t>
      </w:r>
    </w:p>
    <w:p>
      <w:pPr>
        <w:bidi w:val="0"/>
        <w:rPr>
          <w:color w:val="auto"/>
        </w:rPr>
      </w:pPr>
      <w:r>
        <w:rPr>
          <w:color w:val="auto"/>
        </w:rPr>
        <w:t>本项目为疾病预防控制中心建设项目，废水排放具有如下特点：①污水的可生化降解性好，生化降解速度快，适于生物处理；②污水排放为间歇排放，排水时间集中，水量水质不均匀，污水处理过程须加强调节以稳定污水水质水量，避免冲击负荷对生物处理设施的影响；③污水中含有细菌、病毒、寄生虫卵和一些有毒有害物质，在排放之前必须经过消毒处理。因此，本项目废水处理适合采用生物处理方法。</w:t>
      </w:r>
    </w:p>
    <w:p>
      <w:pPr>
        <w:bidi w:val="0"/>
        <w:rPr>
          <w:color w:val="auto"/>
        </w:rPr>
      </w:pPr>
      <w:r>
        <w:rPr>
          <w:color w:val="auto"/>
        </w:rPr>
        <w:t>几种生物处理方法的对比：</w:t>
      </w:r>
    </w:p>
    <w:p>
      <w:pPr>
        <w:bidi w:val="0"/>
        <w:rPr>
          <w:color w:val="auto"/>
        </w:rPr>
      </w:pPr>
      <w:r>
        <w:rPr>
          <w:color w:val="auto"/>
        </w:rPr>
        <w:t>①常规活性污泥法：常规活性污泥法在大型污水处理中使用广泛，但由于常规性污泥法负荷低，易产生污泥膨胀，不易控制管理，故近年来在小型污水处理站中的使用越来越少。</w:t>
      </w:r>
    </w:p>
    <w:p>
      <w:pPr>
        <w:bidi w:val="0"/>
        <w:rPr>
          <w:color w:val="auto"/>
        </w:rPr>
      </w:pPr>
      <w:r>
        <w:rPr>
          <w:color w:val="auto"/>
        </w:rPr>
        <w:t>②A/O工艺：A/O工艺是以活性污泥作为生物载体，通过风机供氧曝气的作用使污水达到充氧的目的。A池内设机械搅拌，从O池的回流液回流至A池，在A进行反硝化反应，将大部分硝酸盐氮还原成氮气，并通过搅拌使氮气从废水中溢出，达到去除氨氮的目的；A池出水至O池，O池内设鼓风曝气，去除大部分有机污染物，并将进水中的大部分氨氮转化成硝酸盐氮；可以根据废水的需要，调整O段池中的活性污泥浓度，通过活性污泥中的菌胶团，吸附、氧化并分解废水中的有机物；有机物、氨氮去除率高。然而，由于没有独立的污泥回流系统，从而不能培养出具有独特功能的污泥，难降解物质的降解率较低；同时，若要提高脱氮效率，必须加大内循环比，因而加大了运行费用。另外，内循环液来自曝气池，含有一定的DO，使A段难以保持理想的缺氧状态，影响反硝化效果，脱氮率很难达到90%。</w:t>
      </w:r>
    </w:p>
    <w:p>
      <w:pPr>
        <w:bidi w:val="0"/>
        <w:rPr>
          <w:color w:val="auto"/>
        </w:rPr>
      </w:pPr>
      <w:r>
        <w:rPr>
          <w:color w:val="auto"/>
        </w:rPr>
        <w:t>③SBR法：该处理工艺集曝气池、沉淀池为一体，连续进水，间歇曝气，停气时污水沉淀撇除上清液，成为一个周期，周而复始。SBR法不设沉淀池，无污泥回流设备，但SBR法为间歇运行，需设多个处理单元，进水和曝气相互切换，造成控制较为复杂。为了保证溢流率，SBR法对滗水器设备制造要求高，制作时必须精益求精，否则极易造成最终出水水质不达标。国内目前还没有质量较好的滗水设备，进口设备采购麻烦，且价格昂贵，同时今后维修费用也高。SBR法池内污泥浓度由浓度仪测定以便控制排出多余污泥量，目前国内浓度仪技术不成熟等原因易造成SBR污泥排放控制困难等问题。</w:t>
      </w:r>
    </w:p>
    <w:p>
      <w:pPr>
        <w:bidi w:val="0"/>
        <w:rPr>
          <w:color w:val="auto"/>
        </w:rPr>
      </w:pPr>
      <w:r>
        <w:rPr>
          <w:color w:val="auto"/>
        </w:rPr>
        <w:t>④接触氧化法：生物接触氧化法是传统的生化处理方法，生物填料为固定床上的半软性填料。利用半软性填料作为微生物的附着载体。生物均匀分布在生物填料上，这样就避免了微生物分布不均的现象，同时，生物附着在填料表面，不随水流动，因生物膜直接受到上升气流的强烈搅动，不断更新，从而提高了净化效果。接触氧化法具有处理时间短、体积小、净化效果好、出水水质好而稳定、污泥不需回流也不膨胀、耗电小等优点。其特点主要有：容积负荷高，耐冲击负荷能力强；具有膜法的优点，剩余污泥量少；具有活性污泥法的优点，辅以机械设备供氧，生物活性高，泥龄短；能分解其它生物处理难分解的物质；容易管理，消除污泥上浮和膨胀等弊端。</w:t>
      </w:r>
    </w:p>
    <w:p>
      <w:pPr>
        <w:bidi w:val="0"/>
        <w:rPr>
          <w:color w:val="auto"/>
        </w:rPr>
      </w:pPr>
      <w:r>
        <w:rPr>
          <w:color w:val="auto"/>
        </w:rPr>
        <w:t>综上所述，本工程生物处理拟采用“水解酸化+接触氧化法”。</w:t>
      </w:r>
    </w:p>
    <w:p>
      <w:pPr>
        <w:bidi w:val="0"/>
        <w:rPr>
          <w:color w:val="auto"/>
        </w:rPr>
      </w:pPr>
      <w:r>
        <w:rPr>
          <w:color w:val="auto"/>
        </w:rPr>
        <w:t>（2）医疗废水消毒工艺比选</w:t>
      </w:r>
    </w:p>
    <w:p>
      <w:pPr>
        <w:bidi w:val="0"/>
        <w:rPr>
          <w:color w:val="auto"/>
        </w:rPr>
      </w:pPr>
      <w:r>
        <w:rPr>
          <w:color w:val="auto"/>
        </w:rPr>
        <w:t>医疗机构污水消毒常用的消毒工艺有氯消毒（如氯气、二氧化氯、次氯酸钠）、氧化剂消毒（如臭氧、过氧乙酸）、辐射消毒（如紫外线）。本评价对常用的氯消毒、臭氧消毒、二氧化氯消毒、次氯酸钠消毒和紫外线消毒的优缺点进行了归纳和比较，结果见表6</w:t>
      </w:r>
      <w:r>
        <w:rPr>
          <w:rFonts w:hint="eastAsia" w:ascii="Times New Roman" w:eastAsia="宋体"/>
          <w:color w:val="auto"/>
          <w:lang w:val="en-US" w:eastAsia="zh-CN"/>
        </w:rPr>
        <w:t>.2</w:t>
      </w:r>
      <w:r>
        <w:rPr>
          <w:color w:val="auto"/>
        </w:rPr>
        <w:t>-1。</w:t>
      </w:r>
    </w:p>
    <w:p>
      <w:pPr>
        <w:pStyle w:val="22"/>
        <w:bidi w:val="0"/>
        <w:rPr>
          <w:b/>
          <w:bCs/>
          <w:color w:val="auto"/>
        </w:rPr>
      </w:pPr>
      <w:r>
        <w:rPr>
          <w:b/>
          <w:bCs/>
          <w:color w:val="auto"/>
        </w:rPr>
        <w:t>表6</w:t>
      </w:r>
      <w:r>
        <w:rPr>
          <w:rFonts w:hint="eastAsia"/>
          <w:b/>
          <w:bCs/>
          <w:color w:val="auto"/>
          <w:lang w:val="en-US" w:eastAsia="zh-CN"/>
        </w:rPr>
        <w:t>.2</w:t>
      </w:r>
      <w:r>
        <w:rPr>
          <w:b/>
          <w:bCs/>
          <w:color w:val="auto"/>
        </w:rPr>
        <w:t>-1几种常用消毒工艺比较</w:t>
      </w:r>
    </w:p>
    <w:p>
      <w:pPr>
        <w:spacing w:line="35" w:lineRule="exact"/>
        <w:rPr>
          <w:color w:val="auto"/>
        </w:rPr>
      </w:pPr>
    </w:p>
    <w:tbl>
      <w:tblPr>
        <w:tblStyle w:val="23"/>
        <w:tblW w:w="852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05"/>
        <w:gridCol w:w="2833"/>
        <w:gridCol w:w="3116"/>
        <w:gridCol w:w="147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1" w:hRule="atLeast"/>
        </w:trPr>
        <w:tc>
          <w:tcPr>
            <w:tcW w:w="1105" w:type="dxa"/>
            <w:vAlign w:val="center"/>
          </w:tcPr>
          <w:p>
            <w:pPr>
              <w:pStyle w:val="22"/>
              <w:bidi w:val="0"/>
              <w:jc w:val="center"/>
              <w:rPr>
                <w:b/>
                <w:bCs/>
                <w:color w:val="auto"/>
              </w:rPr>
            </w:pPr>
            <w:r>
              <w:rPr>
                <w:b/>
                <w:bCs/>
                <w:color w:val="auto"/>
              </w:rPr>
              <w:t>消毒剂</w:t>
            </w:r>
          </w:p>
        </w:tc>
        <w:tc>
          <w:tcPr>
            <w:tcW w:w="2833" w:type="dxa"/>
            <w:vAlign w:val="center"/>
          </w:tcPr>
          <w:p>
            <w:pPr>
              <w:pStyle w:val="22"/>
              <w:bidi w:val="0"/>
              <w:jc w:val="center"/>
              <w:rPr>
                <w:b/>
                <w:bCs/>
                <w:color w:val="auto"/>
              </w:rPr>
            </w:pPr>
            <w:r>
              <w:rPr>
                <w:b/>
                <w:bCs/>
                <w:color w:val="auto"/>
              </w:rPr>
              <w:t>优点</w:t>
            </w:r>
          </w:p>
        </w:tc>
        <w:tc>
          <w:tcPr>
            <w:tcW w:w="3116" w:type="dxa"/>
            <w:vAlign w:val="center"/>
          </w:tcPr>
          <w:p>
            <w:pPr>
              <w:pStyle w:val="22"/>
              <w:bidi w:val="0"/>
              <w:jc w:val="center"/>
              <w:rPr>
                <w:b/>
                <w:bCs/>
                <w:color w:val="auto"/>
              </w:rPr>
            </w:pPr>
            <w:r>
              <w:rPr>
                <w:b/>
                <w:bCs/>
                <w:color w:val="auto"/>
              </w:rPr>
              <w:t>缺点</w:t>
            </w:r>
          </w:p>
        </w:tc>
        <w:tc>
          <w:tcPr>
            <w:tcW w:w="1472" w:type="dxa"/>
            <w:vAlign w:val="center"/>
          </w:tcPr>
          <w:p>
            <w:pPr>
              <w:pStyle w:val="22"/>
              <w:bidi w:val="0"/>
              <w:jc w:val="center"/>
              <w:rPr>
                <w:b/>
                <w:bCs/>
                <w:color w:val="auto"/>
              </w:rPr>
            </w:pPr>
            <w:r>
              <w:rPr>
                <w:b/>
                <w:bCs/>
                <w:color w:val="auto"/>
              </w:rPr>
              <w:t>消毒效果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105" w:type="dxa"/>
            <w:vAlign w:val="center"/>
          </w:tcPr>
          <w:p>
            <w:pPr>
              <w:pStyle w:val="22"/>
              <w:bidi w:val="0"/>
              <w:jc w:val="center"/>
              <w:rPr>
                <w:color w:val="auto"/>
              </w:rPr>
            </w:pPr>
            <w:r>
              <w:rPr>
                <w:color w:val="auto"/>
              </w:rPr>
              <w:t>氯Cl</w:t>
            </w:r>
            <w:r>
              <w:rPr>
                <w:color w:val="auto"/>
                <w:vertAlign w:val="subscript"/>
              </w:rPr>
              <w:t>2</w:t>
            </w:r>
          </w:p>
        </w:tc>
        <w:tc>
          <w:tcPr>
            <w:tcW w:w="2833" w:type="dxa"/>
            <w:vAlign w:val="center"/>
          </w:tcPr>
          <w:p>
            <w:pPr>
              <w:pStyle w:val="22"/>
              <w:bidi w:val="0"/>
              <w:jc w:val="center"/>
              <w:rPr>
                <w:color w:val="auto"/>
              </w:rPr>
            </w:pPr>
            <w:r>
              <w:rPr>
                <w:color w:val="auto"/>
              </w:rPr>
              <w:t>具有持续消毒作用，工艺简单，技术成熟，操作简单，投量准确。</w:t>
            </w:r>
          </w:p>
        </w:tc>
        <w:tc>
          <w:tcPr>
            <w:tcW w:w="3116" w:type="dxa"/>
            <w:vAlign w:val="center"/>
          </w:tcPr>
          <w:p>
            <w:pPr>
              <w:pStyle w:val="22"/>
              <w:bidi w:val="0"/>
              <w:jc w:val="center"/>
              <w:rPr>
                <w:color w:val="auto"/>
              </w:rPr>
            </w:pPr>
            <w:r>
              <w:rPr>
                <w:color w:val="auto"/>
              </w:rPr>
              <w:t>产生</w:t>
            </w:r>
            <w:r>
              <w:rPr>
                <w:rFonts w:hint="eastAsia"/>
                <w:color w:val="auto"/>
                <w:lang w:eastAsia="zh-CN"/>
              </w:rPr>
              <w:t>具有</w:t>
            </w:r>
            <w:r>
              <w:rPr>
                <w:color w:val="auto"/>
              </w:rPr>
              <w:t>致癌、致畸作用的有机氯化物（THMs）；处理水有氯或氯酚味；氯气腐蚀性强；运行管理有一定的危险性。</w:t>
            </w:r>
          </w:p>
        </w:tc>
        <w:tc>
          <w:tcPr>
            <w:tcW w:w="1472" w:type="dxa"/>
            <w:vAlign w:val="center"/>
          </w:tcPr>
          <w:p>
            <w:pPr>
              <w:pStyle w:val="22"/>
              <w:bidi w:val="0"/>
              <w:jc w:val="center"/>
              <w:rPr>
                <w:color w:val="auto"/>
              </w:rPr>
            </w:pPr>
            <w:r>
              <w:rPr>
                <w:color w:val="auto"/>
              </w:rPr>
              <w:t>能有效杀菌，但杀灭病毒效果较差。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trPr>
        <w:tc>
          <w:tcPr>
            <w:tcW w:w="1105" w:type="dxa"/>
            <w:vAlign w:val="center"/>
          </w:tcPr>
          <w:p>
            <w:pPr>
              <w:pStyle w:val="22"/>
              <w:bidi w:val="0"/>
              <w:jc w:val="center"/>
              <w:rPr>
                <w:color w:val="auto"/>
              </w:rPr>
            </w:pPr>
            <w:r>
              <w:rPr>
                <w:color w:val="auto"/>
              </w:rPr>
              <w:t>次氯酸钠NaOCl</w:t>
            </w:r>
          </w:p>
        </w:tc>
        <w:tc>
          <w:tcPr>
            <w:tcW w:w="2833" w:type="dxa"/>
            <w:vAlign w:val="center"/>
          </w:tcPr>
          <w:p>
            <w:pPr>
              <w:pStyle w:val="22"/>
              <w:bidi w:val="0"/>
              <w:jc w:val="center"/>
              <w:rPr>
                <w:color w:val="auto"/>
              </w:rPr>
            </w:pPr>
            <w:r>
              <w:rPr>
                <w:color w:val="auto"/>
              </w:rPr>
              <w:t>无毒，运行、管理无危险性。</w:t>
            </w:r>
          </w:p>
        </w:tc>
        <w:tc>
          <w:tcPr>
            <w:tcW w:w="3116" w:type="dxa"/>
            <w:vAlign w:val="center"/>
          </w:tcPr>
          <w:p>
            <w:pPr>
              <w:pStyle w:val="22"/>
              <w:bidi w:val="0"/>
              <w:jc w:val="center"/>
              <w:rPr>
                <w:color w:val="auto"/>
              </w:rPr>
            </w:pPr>
            <w:r>
              <w:rPr>
                <w:color w:val="auto"/>
              </w:rPr>
              <w:t>产生具致癌、致畸作用的有机氯化物（THMs）；使水的pH升高。</w:t>
            </w:r>
          </w:p>
        </w:tc>
        <w:tc>
          <w:tcPr>
            <w:tcW w:w="1472" w:type="dxa"/>
            <w:vAlign w:val="center"/>
          </w:tcPr>
          <w:p>
            <w:pPr>
              <w:pStyle w:val="22"/>
              <w:bidi w:val="0"/>
              <w:jc w:val="center"/>
              <w:rPr>
                <w:color w:val="auto"/>
              </w:rPr>
            </w:pPr>
            <w:r>
              <w:rPr>
                <w:color w:val="auto"/>
              </w:rPr>
              <w:t>与Cl</w:t>
            </w:r>
            <w:r>
              <w:rPr>
                <w:color w:val="auto"/>
                <w:vertAlign w:val="subscript"/>
              </w:rPr>
              <w:t>2</w:t>
            </w:r>
            <w:r>
              <w:rPr>
                <w:color w:val="auto"/>
              </w:rPr>
              <w:t>杀菌效果相同。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105" w:type="dxa"/>
            <w:vAlign w:val="center"/>
          </w:tcPr>
          <w:p>
            <w:pPr>
              <w:pStyle w:val="22"/>
              <w:bidi w:val="0"/>
              <w:jc w:val="center"/>
              <w:rPr>
                <w:color w:val="auto"/>
              </w:rPr>
            </w:pPr>
            <w:r>
              <w:rPr>
                <w:color w:val="auto"/>
              </w:rPr>
              <w:t>二氧化氯ClO</w:t>
            </w:r>
            <w:r>
              <w:rPr>
                <w:color w:val="auto"/>
                <w:vertAlign w:val="subscript"/>
              </w:rPr>
              <w:t>2</w:t>
            </w:r>
          </w:p>
        </w:tc>
        <w:tc>
          <w:tcPr>
            <w:tcW w:w="2833" w:type="dxa"/>
            <w:vAlign w:val="center"/>
          </w:tcPr>
          <w:p>
            <w:pPr>
              <w:pStyle w:val="22"/>
              <w:bidi w:val="0"/>
              <w:jc w:val="center"/>
              <w:rPr>
                <w:color w:val="auto"/>
              </w:rPr>
            </w:pPr>
            <w:r>
              <w:rPr>
                <w:color w:val="auto"/>
              </w:rPr>
              <w:t>具有强烈的氧化作用，不产生有机氯化物（THMs）；投放简单方便；不受pH影响。</w:t>
            </w:r>
          </w:p>
        </w:tc>
        <w:tc>
          <w:tcPr>
            <w:tcW w:w="3116" w:type="dxa"/>
            <w:vAlign w:val="center"/>
          </w:tcPr>
          <w:p>
            <w:pPr>
              <w:pStyle w:val="22"/>
              <w:bidi w:val="0"/>
              <w:jc w:val="center"/>
              <w:rPr>
                <w:color w:val="auto"/>
              </w:rPr>
            </w:pPr>
            <w:r>
              <w:rPr>
                <w:color w:val="auto"/>
              </w:rPr>
              <w:t>ClO</w:t>
            </w:r>
            <w:r>
              <w:rPr>
                <w:color w:val="auto"/>
                <w:vertAlign w:val="subscript"/>
              </w:rPr>
              <w:t>2</w:t>
            </w:r>
            <w:r>
              <w:rPr>
                <w:color w:val="auto"/>
              </w:rPr>
              <w:t>运行、管理有一定的危险性；只能就地生产，就地使用；制取设备复杂；操作管理要求高。</w:t>
            </w:r>
          </w:p>
        </w:tc>
        <w:tc>
          <w:tcPr>
            <w:tcW w:w="1472" w:type="dxa"/>
            <w:vAlign w:val="center"/>
          </w:tcPr>
          <w:p>
            <w:pPr>
              <w:pStyle w:val="22"/>
              <w:bidi w:val="0"/>
              <w:jc w:val="center"/>
              <w:rPr>
                <w:color w:val="auto"/>
              </w:rPr>
            </w:pPr>
            <w:r>
              <w:rPr>
                <w:color w:val="auto"/>
              </w:rPr>
              <w:t>较Cl</w:t>
            </w:r>
            <w:r>
              <w:rPr>
                <w:color w:val="auto"/>
                <w:vertAlign w:val="subscript"/>
              </w:rPr>
              <w:t>2</w:t>
            </w:r>
            <w:r>
              <w:rPr>
                <w:color w:val="auto"/>
              </w:rPr>
              <w:t>杀菌效果好。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2" w:hRule="atLeast"/>
        </w:trPr>
        <w:tc>
          <w:tcPr>
            <w:tcW w:w="1105" w:type="dxa"/>
            <w:vAlign w:val="center"/>
          </w:tcPr>
          <w:p>
            <w:pPr>
              <w:pStyle w:val="22"/>
              <w:bidi w:val="0"/>
              <w:jc w:val="center"/>
              <w:rPr>
                <w:color w:val="auto"/>
              </w:rPr>
            </w:pPr>
            <w:r>
              <w:rPr>
                <w:color w:val="auto"/>
              </w:rPr>
              <w:t>臭氧O</w:t>
            </w:r>
            <w:r>
              <w:rPr>
                <w:color w:val="auto"/>
                <w:vertAlign w:val="subscript"/>
              </w:rPr>
              <w:t>3</w:t>
            </w:r>
          </w:p>
        </w:tc>
        <w:tc>
          <w:tcPr>
            <w:tcW w:w="2833" w:type="dxa"/>
            <w:vAlign w:val="center"/>
          </w:tcPr>
          <w:p>
            <w:pPr>
              <w:pStyle w:val="22"/>
              <w:bidi w:val="0"/>
              <w:jc w:val="center"/>
              <w:rPr>
                <w:color w:val="auto"/>
              </w:rPr>
            </w:pPr>
            <w:r>
              <w:rPr>
                <w:color w:val="auto"/>
              </w:rPr>
              <w:t>有强氧化能力，接触时间短；不产生有机氯化物（THMs）；不受pH影响；能增加水中溶解氧。</w:t>
            </w:r>
          </w:p>
        </w:tc>
        <w:tc>
          <w:tcPr>
            <w:tcW w:w="3116" w:type="dxa"/>
            <w:vAlign w:val="center"/>
          </w:tcPr>
          <w:p>
            <w:pPr>
              <w:pStyle w:val="22"/>
              <w:bidi w:val="0"/>
              <w:jc w:val="center"/>
              <w:rPr>
                <w:color w:val="auto"/>
              </w:rPr>
            </w:pPr>
            <w:r>
              <w:rPr>
                <w:color w:val="auto"/>
              </w:rPr>
              <w:t>臭氧运行、管理有一定的危险性；操作复杂；制取臭氧的产率低；电能消耗大。</w:t>
            </w:r>
          </w:p>
        </w:tc>
        <w:tc>
          <w:tcPr>
            <w:tcW w:w="1472" w:type="dxa"/>
            <w:vAlign w:val="center"/>
          </w:tcPr>
          <w:p>
            <w:pPr>
              <w:pStyle w:val="22"/>
              <w:bidi w:val="0"/>
              <w:jc w:val="center"/>
              <w:rPr>
                <w:color w:val="auto"/>
              </w:rPr>
            </w:pPr>
            <w:r>
              <w:rPr>
                <w:color w:val="auto"/>
              </w:rPr>
              <w:t>杀菌和杀灭病毒的效果均很好。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7" w:hRule="atLeast"/>
        </w:trPr>
        <w:tc>
          <w:tcPr>
            <w:tcW w:w="1105" w:type="dxa"/>
            <w:vAlign w:val="center"/>
          </w:tcPr>
          <w:p>
            <w:pPr>
              <w:pStyle w:val="22"/>
              <w:bidi w:val="0"/>
              <w:jc w:val="center"/>
              <w:rPr>
                <w:color w:val="auto"/>
              </w:rPr>
            </w:pPr>
            <w:r>
              <w:rPr>
                <w:color w:val="auto"/>
              </w:rPr>
              <w:t>紫外线</w:t>
            </w:r>
          </w:p>
        </w:tc>
        <w:tc>
          <w:tcPr>
            <w:tcW w:w="2833" w:type="dxa"/>
            <w:vAlign w:val="center"/>
          </w:tcPr>
          <w:p>
            <w:pPr>
              <w:pStyle w:val="22"/>
              <w:bidi w:val="0"/>
              <w:jc w:val="center"/>
              <w:rPr>
                <w:color w:val="auto"/>
              </w:rPr>
            </w:pPr>
            <w:r>
              <w:rPr>
                <w:color w:val="auto"/>
              </w:rPr>
              <w:t>无有害的残余物质；无臭味；操作简单，易实现自动化运行管理和维修费用低。</w:t>
            </w:r>
          </w:p>
        </w:tc>
        <w:tc>
          <w:tcPr>
            <w:tcW w:w="3116" w:type="dxa"/>
            <w:vAlign w:val="center"/>
          </w:tcPr>
          <w:p>
            <w:pPr>
              <w:pStyle w:val="22"/>
              <w:bidi w:val="0"/>
              <w:jc w:val="center"/>
              <w:rPr>
                <w:color w:val="auto"/>
              </w:rPr>
            </w:pPr>
            <w:r>
              <w:rPr>
                <w:color w:val="auto"/>
              </w:rPr>
              <w:t>紫外灯管与石英套管需定期更换；对处理水的水质要求较高；无后续杀菌作用；对SS浓度哟偶要求；电能消耗大。</w:t>
            </w:r>
          </w:p>
        </w:tc>
        <w:tc>
          <w:tcPr>
            <w:tcW w:w="1472" w:type="dxa"/>
            <w:vAlign w:val="center"/>
          </w:tcPr>
          <w:p>
            <w:pPr>
              <w:pStyle w:val="22"/>
              <w:bidi w:val="0"/>
              <w:jc w:val="center"/>
              <w:rPr>
                <w:color w:val="auto"/>
              </w:rPr>
            </w:pPr>
            <w:r>
              <w:rPr>
                <w:color w:val="auto"/>
              </w:rPr>
              <w:t>杀菌和杀灭病毒的效果均很好。</w:t>
            </w:r>
          </w:p>
        </w:tc>
      </w:tr>
    </w:tbl>
    <w:p>
      <w:pPr>
        <w:bidi w:val="0"/>
        <w:rPr>
          <w:color w:val="auto"/>
        </w:rPr>
      </w:pPr>
      <w:r>
        <w:rPr>
          <w:color w:val="auto"/>
        </w:rPr>
        <w:t>二氧化氯是一种广谱、高效的氧化杀菌剂，它的杀菌效果明显优于液氯，而与液氯相比投加量少，杀灭速度快。其杀菌能力与臭氧相当，其氧化能力是液氯的2.5倍；对于各种细菌、病毒都具有极佳的杀灭能力，是细菌、病毒的克星；二氧化氯在很宽的pH值范围内都有很强的杀菌能力，较其他消毒剂相比有更宽的适用范围；二氧化氯在水中很稳定，滞留时间长，具有持久杀菌能力，不污染环境，不会与水中腐殖物反应生成三卤甲烷、卤仿等致癌物质，对人体无害，被世界卫生组织确认为A级高效安全消毒杀菌剂。</w:t>
      </w:r>
    </w:p>
    <w:p>
      <w:pPr>
        <w:bidi w:val="0"/>
        <w:rPr>
          <w:color w:val="auto"/>
        </w:rPr>
      </w:pPr>
      <w:r>
        <w:rPr>
          <w:color w:val="auto"/>
        </w:rPr>
        <w:t>考虑到次氯酸钠对人体有一定的伤害，同时紫外线消毒有一定的不稳定性，因此，经综合考虑，本项目污水处理选择二氧化氯消毒工艺。</w:t>
      </w:r>
    </w:p>
    <w:p>
      <w:pPr>
        <w:bidi w:val="0"/>
        <w:rPr>
          <w:color w:val="auto"/>
        </w:rPr>
      </w:pPr>
      <w:r>
        <w:rPr>
          <w:color w:val="auto"/>
        </w:rPr>
        <w:t>本项目污水处理工艺流程见图6</w:t>
      </w:r>
      <w:r>
        <w:rPr>
          <w:rFonts w:hint="eastAsia" w:ascii="Times New Roman" w:eastAsia="宋体"/>
          <w:color w:val="auto"/>
          <w:lang w:val="en-US" w:eastAsia="zh-CN"/>
        </w:rPr>
        <w:t>.2-1</w:t>
      </w:r>
      <w:r>
        <w:rPr>
          <w:color w:val="auto"/>
        </w:rPr>
        <w:t>。</w:t>
      </w:r>
    </w:p>
    <w:p>
      <w:pPr>
        <w:spacing w:before="150" w:line="184" w:lineRule="auto"/>
        <w:ind w:firstLine="2089"/>
        <w:jc w:val="center"/>
        <w:rPr>
          <w:rStyle w:val="32"/>
          <w:rFonts w:hint="eastAsia" w:eastAsia="宋体" w:cs="Times New Roman"/>
          <w:b/>
          <w:bCs/>
          <w:color w:val="auto"/>
          <w:lang w:eastAsia="zh-CN"/>
        </w:rPr>
      </w:pPr>
      <w:r>
        <w:rPr>
          <w:rStyle w:val="32"/>
          <w:rFonts w:hint="eastAsia" w:eastAsia="宋体" w:cs="Times New Roman"/>
          <w:b/>
          <w:bCs/>
          <w:color w:val="auto"/>
          <w:lang w:eastAsia="zh-CN"/>
        </w:rPr>
        <w:drawing>
          <wp:inline distT="0" distB="0" distL="114300" distR="114300">
            <wp:extent cx="5271770" cy="3739515"/>
            <wp:effectExtent l="0" t="0" r="5080" b="13335"/>
            <wp:docPr id="2" name="图片 2" descr="1b9a11fec56a387991468fb995e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b9a11fec56a387991468fb995effee"/>
                    <pic:cNvPicPr>
                      <a:picLocks noChangeAspect="1"/>
                    </pic:cNvPicPr>
                  </pic:nvPicPr>
                  <pic:blipFill>
                    <a:blip r:embed="rId18"/>
                    <a:stretch>
                      <a:fillRect/>
                    </a:stretch>
                  </pic:blipFill>
                  <pic:spPr>
                    <a:xfrm>
                      <a:off x="0" y="0"/>
                      <a:ext cx="5271770" cy="3739515"/>
                    </a:xfrm>
                    <a:prstGeom prst="rect">
                      <a:avLst/>
                    </a:prstGeom>
                  </pic:spPr>
                </pic:pic>
              </a:graphicData>
            </a:graphic>
          </wp:inline>
        </w:drawing>
      </w:r>
    </w:p>
    <w:p>
      <w:pPr>
        <w:spacing w:before="150" w:line="184" w:lineRule="auto"/>
        <w:ind w:firstLine="2089"/>
        <w:jc w:val="center"/>
        <w:rPr>
          <w:rStyle w:val="32"/>
          <w:b/>
          <w:bCs/>
          <w:color w:val="auto"/>
        </w:rPr>
      </w:pPr>
      <w:r>
        <w:rPr>
          <w:rStyle w:val="32"/>
          <w:rFonts w:cs="Times New Roman"/>
          <w:b/>
          <w:bCs/>
          <w:color w:val="auto"/>
        </w:rPr>
        <w:t>图6</w:t>
      </w:r>
      <w:r>
        <w:rPr>
          <w:rStyle w:val="32"/>
          <w:rFonts w:hint="eastAsia" w:cs="Times New Roman"/>
          <w:b/>
          <w:bCs/>
          <w:color w:val="auto"/>
          <w:lang w:val="en-US" w:eastAsia="zh-CN"/>
        </w:rPr>
        <w:t>.2-1</w:t>
      </w:r>
      <w:r>
        <w:rPr>
          <w:rStyle w:val="32"/>
          <w:rFonts w:cs="Times New Roman"/>
          <w:b/>
          <w:bCs/>
          <w:color w:val="auto"/>
        </w:rPr>
        <w:t>自建污水处理站处理工艺流程图</w:t>
      </w:r>
    </w:p>
    <w:p>
      <w:pPr>
        <w:bidi w:val="0"/>
        <w:rPr>
          <w:color w:val="auto"/>
        </w:rPr>
      </w:pPr>
      <w:r>
        <w:rPr>
          <w:color w:val="auto"/>
        </w:rPr>
        <w:t>（3）处理效果分析</w:t>
      </w:r>
    </w:p>
    <w:p>
      <w:pPr>
        <w:bidi w:val="0"/>
        <w:rPr>
          <w:color w:val="auto"/>
        </w:rPr>
      </w:pPr>
      <w:r>
        <w:rPr>
          <w:color w:val="auto"/>
        </w:rPr>
        <w:t>根据工程分析，本项目污水处理站出水水质能够满足《医疗机构水污染物排放标准》（GB18466-2005）表2预处理标准，同时满足</w:t>
      </w:r>
      <w:r>
        <w:rPr>
          <w:rFonts w:hint="eastAsia"/>
          <w:color w:val="auto"/>
          <w:lang w:val="en-US" w:eastAsia="zh-CN"/>
        </w:rPr>
        <w:t>皮山农场</w:t>
      </w:r>
      <w:r>
        <w:rPr>
          <w:color w:val="auto"/>
        </w:rPr>
        <w:t>污水处理厂进水水质要求，因此，本项目污水处理设施处理工艺可行。</w:t>
      </w:r>
    </w:p>
    <w:p>
      <w:pPr>
        <w:pStyle w:val="6"/>
        <w:bidi w:val="0"/>
        <w:outlineLvl w:val="1"/>
        <w:rPr>
          <w:color w:val="auto"/>
        </w:rPr>
      </w:pPr>
      <w:bookmarkStart w:id="118" w:name="_Toc17969"/>
      <w:r>
        <w:rPr>
          <w:color w:val="auto"/>
        </w:rPr>
        <w:t>6.2.3噪声污染防治措施</w:t>
      </w:r>
      <w:bookmarkEnd w:id="118"/>
    </w:p>
    <w:p>
      <w:pPr>
        <w:bidi w:val="0"/>
        <w:rPr>
          <w:color w:val="auto"/>
        </w:rPr>
      </w:pPr>
      <w:r>
        <w:rPr>
          <w:color w:val="auto"/>
        </w:rPr>
        <w:t>本项目运营期噪声主要为污水处理站水泵和风机等设备噪声、人群噪声及来往车辆噪声。污水处理站水泵和风机等设备均布置在室内，通过隔声、减振、消声等措施后对声环境影响较小；人群噪声采取张贴禁止喧哗标语的措施；车辆噪声采取限速、禁止鸣笛的措施，经采取上述措施后，各边界噪声值均能满足《声环境质量标准》（GB3096-2008）1类【昼间≤55dB(A)、夜间≤45dB(A)】要求；项目噪声对外环境影响较小。</w:t>
      </w:r>
    </w:p>
    <w:p>
      <w:pPr>
        <w:bidi w:val="0"/>
        <w:rPr>
          <w:color w:val="auto"/>
        </w:rPr>
      </w:pPr>
      <w:r>
        <w:rPr>
          <w:color w:val="auto"/>
        </w:rPr>
        <w:t>因此，本项目噪声污染防治措施可行。</w:t>
      </w:r>
    </w:p>
    <w:p>
      <w:pPr>
        <w:pStyle w:val="6"/>
        <w:bidi w:val="0"/>
        <w:outlineLvl w:val="1"/>
        <w:rPr>
          <w:color w:val="auto"/>
        </w:rPr>
      </w:pPr>
      <w:bookmarkStart w:id="119" w:name="_Toc29654"/>
      <w:r>
        <w:rPr>
          <w:color w:val="auto"/>
        </w:rPr>
        <w:t>6.2.4固体废弃物污染防治措施</w:t>
      </w:r>
      <w:bookmarkEnd w:id="119"/>
    </w:p>
    <w:p>
      <w:pPr>
        <w:pStyle w:val="7"/>
        <w:bidi w:val="0"/>
        <w:rPr>
          <w:rFonts w:hint="default"/>
          <w:color w:val="auto"/>
          <w:lang w:val="en-US" w:eastAsia="zh-CN"/>
        </w:rPr>
      </w:pPr>
      <w:r>
        <w:rPr>
          <w:rFonts w:hint="eastAsia"/>
          <w:color w:val="auto"/>
          <w:lang w:val="en-US" w:eastAsia="zh-CN"/>
        </w:rPr>
        <w:t>6.2.4.1固废治理措施</w:t>
      </w:r>
    </w:p>
    <w:p>
      <w:pPr>
        <w:pStyle w:val="22"/>
        <w:bidi w:val="0"/>
        <w:rPr>
          <w:b/>
          <w:bCs/>
          <w:color w:val="auto"/>
        </w:rPr>
      </w:pPr>
    </w:p>
    <w:p>
      <w:pPr>
        <w:pStyle w:val="22"/>
        <w:bidi w:val="0"/>
        <w:rPr>
          <w:b/>
          <w:bCs/>
          <w:color w:val="auto"/>
        </w:rPr>
      </w:pPr>
      <w:r>
        <w:rPr>
          <w:b/>
          <w:bCs/>
          <w:color w:val="auto"/>
        </w:rPr>
        <w:t>表</w:t>
      </w:r>
      <w:r>
        <w:rPr>
          <w:rFonts w:hint="eastAsia"/>
          <w:b/>
          <w:bCs/>
          <w:color w:val="auto"/>
          <w:lang w:val="en-US" w:eastAsia="zh-CN"/>
        </w:rPr>
        <w:t>6</w:t>
      </w:r>
      <w:r>
        <w:rPr>
          <w:b/>
          <w:bCs/>
          <w:color w:val="auto"/>
        </w:rPr>
        <w:t>.</w:t>
      </w:r>
      <w:r>
        <w:rPr>
          <w:rFonts w:hint="eastAsia"/>
          <w:b/>
          <w:bCs/>
          <w:color w:val="auto"/>
          <w:lang w:val="en-US" w:eastAsia="zh-CN"/>
        </w:rPr>
        <w:t>2</w:t>
      </w:r>
      <w:r>
        <w:rPr>
          <w:b/>
          <w:bCs/>
          <w:color w:val="auto"/>
        </w:rPr>
        <w:t>-</w:t>
      </w:r>
      <w:r>
        <w:rPr>
          <w:rFonts w:hint="eastAsia"/>
          <w:b/>
          <w:bCs/>
          <w:color w:val="auto"/>
          <w:lang w:val="en-US" w:eastAsia="zh-CN"/>
        </w:rPr>
        <w:t>2</w:t>
      </w:r>
      <w:r>
        <w:rPr>
          <w:b/>
          <w:bCs/>
          <w:color w:val="auto"/>
        </w:rPr>
        <w:t>本项目固体废物一览表</w:t>
      </w:r>
    </w:p>
    <w:tbl>
      <w:tblPr>
        <w:tblStyle w:val="23"/>
        <w:tblW w:w="852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513"/>
        <w:gridCol w:w="2"/>
        <w:gridCol w:w="774"/>
        <w:gridCol w:w="1206"/>
        <w:gridCol w:w="2"/>
        <w:gridCol w:w="1185"/>
        <w:gridCol w:w="2"/>
        <w:gridCol w:w="3325"/>
        <w:gridCol w:w="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gridAfter w:val="1"/>
          <w:wAfter w:w="2" w:type="dxa"/>
          <w:trHeight w:val="571" w:hRule="atLeast"/>
          <w:jc w:val="center"/>
        </w:trPr>
        <w:tc>
          <w:tcPr>
            <w:tcW w:w="510" w:type="dxa"/>
            <w:tcBorders>
              <w:tl2br w:val="nil"/>
              <w:tr2bl w:val="nil"/>
            </w:tcBorders>
            <w:textDirection w:val="tbRlV"/>
            <w:vAlign w:val="center"/>
          </w:tcPr>
          <w:p>
            <w:pPr>
              <w:pStyle w:val="22"/>
              <w:bidi w:val="0"/>
              <w:jc w:val="center"/>
              <w:rPr>
                <w:b/>
                <w:bCs/>
                <w:color w:val="auto"/>
                <w:highlight w:val="none"/>
              </w:rPr>
            </w:pPr>
            <w:r>
              <w:rPr>
                <w:b/>
                <w:bCs/>
                <w:color w:val="auto"/>
                <w:highlight w:val="none"/>
              </w:rPr>
              <w:t>序号</w:t>
            </w:r>
          </w:p>
        </w:tc>
        <w:tc>
          <w:tcPr>
            <w:tcW w:w="1513" w:type="dxa"/>
            <w:tcBorders>
              <w:tl2br w:val="nil"/>
              <w:tr2bl w:val="nil"/>
            </w:tcBorders>
            <w:vAlign w:val="center"/>
          </w:tcPr>
          <w:p>
            <w:pPr>
              <w:pStyle w:val="22"/>
              <w:bidi w:val="0"/>
              <w:jc w:val="center"/>
              <w:rPr>
                <w:b/>
                <w:bCs/>
                <w:color w:val="auto"/>
                <w:highlight w:val="none"/>
              </w:rPr>
            </w:pPr>
            <w:r>
              <w:rPr>
                <w:b/>
                <w:bCs/>
                <w:color w:val="auto"/>
                <w:highlight w:val="none"/>
              </w:rPr>
              <w:t>名称</w:t>
            </w:r>
          </w:p>
        </w:tc>
        <w:tc>
          <w:tcPr>
            <w:tcW w:w="776" w:type="dxa"/>
            <w:gridSpan w:val="2"/>
            <w:tcBorders>
              <w:tl2br w:val="nil"/>
              <w:tr2bl w:val="nil"/>
            </w:tcBorders>
            <w:vAlign w:val="center"/>
          </w:tcPr>
          <w:p>
            <w:pPr>
              <w:pStyle w:val="22"/>
              <w:bidi w:val="0"/>
              <w:jc w:val="center"/>
              <w:rPr>
                <w:b/>
                <w:bCs/>
                <w:color w:val="auto"/>
                <w:highlight w:val="none"/>
              </w:rPr>
            </w:pPr>
            <w:r>
              <w:rPr>
                <w:b/>
                <w:bCs/>
                <w:color w:val="auto"/>
                <w:highlight w:val="none"/>
              </w:rPr>
              <w:t>排放量</w:t>
            </w:r>
          </w:p>
          <w:p>
            <w:pPr>
              <w:pStyle w:val="22"/>
              <w:bidi w:val="0"/>
              <w:jc w:val="center"/>
              <w:rPr>
                <w:b/>
                <w:bCs/>
                <w:color w:val="auto"/>
                <w:highlight w:val="none"/>
              </w:rPr>
            </w:pPr>
            <w:r>
              <w:rPr>
                <w:b/>
                <w:bCs/>
                <w:color w:val="auto"/>
                <w:highlight w:val="none"/>
              </w:rPr>
              <w:t>（t/a）</w:t>
            </w:r>
          </w:p>
        </w:tc>
        <w:tc>
          <w:tcPr>
            <w:tcW w:w="1206" w:type="dxa"/>
            <w:tcBorders>
              <w:tl2br w:val="nil"/>
              <w:tr2bl w:val="nil"/>
            </w:tcBorders>
            <w:vAlign w:val="center"/>
          </w:tcPr>
          <w:p>
            <w:pPr>
              <w:pStyle w:val="22"/>
              <w:bidi w:val="0"/>
              <w:jc w:val="center"/>
              <w:rPr>
                <w:b/>
                <w:bCs/>
                <w:color w:val="auto"/>
                <w:highlight w:val="none"/>
              </w:rPr>
            </w:pPr>
            <w:r>
              <w:rPr>
                <w:b/>
                <w:bCs/>
                <w:color w:val="auto"/>
                <w:highlight w:val="none"/>
              </w:rPr>
              <w:t>固废性质</w:t>
            </w:r>
          </w:p>
        </w:tc>
        <w:tc>
          <w:tcPr>
            <w:tcW w:w="1187" w:type="dxa"/>
            <w:gridSpan w:val="2"/>
            <w:tcBorders>
              <w:tl2br w:val="nil"/>
              <w:tr2bl w:val="nil"/>
            </w:tcBorders>
            <w:vAlign w:val="center"/>
          </w:tcPr>
          <w:p>
            <w:pPr>
              <w:pStyle w:val="22"/>
              <w:bidi w:val="0"/>
              <w:jc w:val="center"/>
              <w:rPr>
                <w:b/>
                <w:bCs/>
                <w:color w:val="auto"/>
                <w:highlight w:val="none"/>
              </w:rPr>
            </w:pPr>
            <w:r>
              <w:rPr>
                <w:b/>
                <w:bCs/>
                <w:color w:val="auto"/>
                <w:highlight w:val="none"/>
              </w:rPr>
              <w:t>废物代码</w:t>
            </w:r>
          </w:p>
        </w:tc>
        <w:tc>
          <w:tcPr>
            <w:tcW w:w="3327" w:type="dxa"/>
            <w:gridSpan w:val="2"/>
            <w:tcBorders>
              <w:tl2br w:val="nil"/>
              <w:tr2bl w:val="nil"/>
            </w:tcBorders>
            <w:vAlign w:val="center"/>
          </w:tcPr>
          <w:p>
            <w:pPr>
              <w:pStyle w:val="22"/>
              <w:bidi w:val="0"/>
              <w:jc w:val="center"/>
              <w:rPr>
                <w:b/>
                <w:bCs/>
                <w:color w:val="auto"/>
                <w:highlight w:val="none"/>
              </w:rPr>
            </w:pPr>
            <w:r>
              <w:rPr>
                <w:b/>
                <w:bCs/>
                <w:color w:val="auto"/>
                <w:highlight w:val="none"/>
              </w:rPr>
              <w:t>采取的处置措施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jc w:val="center"/>
        </w:trPr>
        <w:tc>
          <w:tcPr>
            <w:tcW w:w="510" w:type="dxa"/>
            <w:tcBorders>
              <w:tl2br w:val="nil"/>
              <w:tr2bl w:val="nil"/>
            </w:tcBorders>
            <w:vAlign w:val="center"/>
          </w:tcPr>
          <w:p>
            <w:pPr>
              <w:pStyle w:val="22"/>
              <w:bidi w:val="0"/>
              <w:jc w:val="center"/>
              <w:rPr>
                <w:rFonts w:hint="eastAsia"/>
                <w:color w:val="auto"/>
                <w:highlight w:val="none"/>
                <w:lang w:eastAsia="zh-CN"/>
              </w:rPr>
            </w:pPr>
            <w:r>
              <w:rPr>
                <w:rFonts w:hint="eastAsia"/>
                <w:color w:val="auto"/>
                <w:highlight w:val="none"/>
                <w:lang w:val="en-US" w:eastAsia="zh-CN"/>
              </w:rPr>
              <w:t>1</w:t>
            </w:r>
          </w:p>
        </w:tc>
        <w:tc>
          <w:tcPr>
            <w:tcW w:w="1515" w:type="dxa"/>
            <w:gridSpan w:val="2"/>
            <w:tcBorders>
              <w:tl2br w:val="nil"/>
              <w:tr2bl w:val="nil"/>
            </w:tcBorders>
            <w:vAlign w:val="center"/>
          </w:tcPr>
          <w:p>
            <w:pPr>
              <w:pStyle w:val="22"/>
              <w:bidi w:val="0"/>
              <w:jc w:val="center"/>
              <w:rPr>
                <w:color w:val="auto"/>
                <w:highlight w:val="none"/>
              </w:rPr>
            </w:pPr>
            <w:r>
              <w:rPr>
                <w:color w:val="auto"/>
                <w:highlight w:val="none"/>
              </w:rPr>
              <w:t>生活办公垃圾</w:t>
            </w:r>
          </w:p>
        </w:tc>
        <w:tc>
          <w:tcPr>
            <w:tcW w:w="774"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7.5</w:t>
            </w:r>
          </w:p>
        </w:tc>
        <w:tc>
          <w:tcPr>
            <w:tcW w:w="1208" w:type="dxa"/>
            <w:gridSpan w:val="2"/>
            <w:tcBorders>
              <w:tl2br w:val="nil"/>
              <w:tr2bl w:val="nil"/>
            </w:tcBorders>
            <w:vAlign w:val="center"/>
          </w:tcPr>
          <w:p>
            <w:pPr>
              <w:pStyle w:val="22"/>
              <w:bidi w:val="0"/>
              <w:jc w:val="center"/>
              <w:rPr>
                <w:color w:val="auto"/>
                <w:highlight w:val="none"/>
              </w:rPr>
            </w:pPr>
            <w:r>
              <w:rPr>
                <w:color w:val="auto"/>
                <w:highlight w:val="none"/>
              </w:rPr>
              <w:t>一般固废</w:t>
            </w:r>
          </w:p>
        </w:tc>
        <w:tc>
          <w:tcPr>
            <w:tcW w:w="1187" w:type="dxa"/>
            <w:gridSpan w:val="2"/>
            <w:tcBorders>
              <w:tl2br w:val="nil"/>
              <w:tr2bl w:val="nil"/>
            </w:tcBorders>
            <w:vAlign w:val="center"/>
          </w:tcPr>
          <w:p>
            <w:pPr>
              <w:pStyle w:val="22"/>
              <w:bidi w:val="0"/>
              <w:jc w:val="center"/>
              <w:rPr>
                <w:color w:val="auto"/>
                <w:highlight w:val="none"/>
              </w:rPr>
            </w:pPr>
            <w:r>
              <w:rPr>
                <w:color w:val="auto"/>
                <w:highlight w:val="none"/>
              </w:rPr>
              <w:t>——</w:t>
            </w:r>
          </w:p>
        </w:tc>
        <w:tc>
          <w:tcPr>
            <w:tcW w:w="3327" w:type="dxa"/>
            <w:gridSpan w:val="2"/>
            <w:tcBorders>
              <w:tl2br w:val="nil"/>
              <w:tr2bl w:val="nil"/>
            </w:tcBorders>
            <w:vAlign w:val="center"/>
          </w:tcPr>
          <w:p>
            <w:pPr>
              <w:pStyle w:val="22"/>
              <w:bidi w:val="0"/>
              <w:jc w:val="center"/>
              <w:rPr>
                <w:color w:val="auto"/>
                <w:highlight w:val="none"/>
              </w:rPr>
            </w:pPr>
            <w:r>
              <w:rPr>
                <w:color w:val="auto"/>
                <w:highlight w:val="none"/>
              </w:rPr>
              <w:t>在项目区设置垃圾箱集中收集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jc w:val="center"/>
        </w:trPr>
        <w:tc>
          <w:tcPr>
            <w:tcW w:w="510"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2</w:t>
            </w:r>
          </w:p>
        </w:tc>
        <w:tc>
          <w:tcPr>
            <w:tcW w:w="1515" w:type="dxa"/>
            <w:gridSpan w:val="2"/>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医疗废物</w:t>
            </w:r>
          </w:p>
        </w:tc>
        <w:tc>
          <w:tcPr>
            <w:tcW w:w="774" w:type="dxa"/>
            <w:tcBorders>
              <w:tl2br w:val="nil"/>
              <w:tr2bl w:val="nil"/>
            </w:tcBorders>
            <w:vAlign w:val="center"/>
          </w:tcPr>
          <w:p>
            <w:pPr>
              <w:pStyle w:val="22"/>
              <w:bidi w:val="0"/>
              <w:jc w:val="center"/>
              <w:rPr>
                <w:rFonts w:hint="default"/>
                <w:color w:val="auto"/>
                <w:highlight w:val="none"/>
                <w:lang w:val="en-US" w:eastAsia="zh-CN"/>
              </w:rPr>
            </w:pPr>
            <w:r>
              <w:rPr>
                <w:rFonts w:hint="eastAsia"/>
                <w:color w:val="auto"/>
                <w:highlight w:val="none"/>
                <w:lang w:val="en-US" w:eastAsia="zh-CN"/>
              </w:rPr>
              <w:t>0.75</w:t>
            </w:r>
          </w:p>
        </w:tc>
        <w:tc>
          <w:tcPr>
            <w:tcW w:w="1208" w:type="dxa"/>
            <w:gridSpan w:val="2"/>
            <w:tcBorders>
              <w:tl2br w:val="nil"/>
              <w:tr2bl w:val="nil"/>
            </w:tcBorders>
            <w:vAlign w:val="center"/>
          </w:tcPr>
          <w:p>
            <w:pPr>
              <w:pStyle w:val="22"/>
              <w:bidi w:val="0"/>
              <w:jc w:val="center"/>
              <w:rPr>
                <w:color w:val="auto"/>
                <w:highlight w:val="none"/>
              </w:rPr>
            </w:pPr>
            <w:r>
              <w:rPr>
                <w:color w:val="auto"/>
                <w:highlight w:val="none"/>
              </w:rPr>
              <w:t>危险废物</w:t>
            </w:r>
          </w:p>
        </w:tc>
        <w:tc>
          <w:tcPr>
            <w:tcW w:w="1187" w:type="dxa"/>
            <w:gridSpan w:val="2"/>
            <w:tcBorders>
              <w:tl2br w:val="nil"/>
              <w:tr2bl w:val="nil"/>
            </w:tcBorders>
            <w:vAlign w:val="center"/>
          </w:tcPr>
          <w:p>
            <w:pPr>
              <w:pStyle w:val="22"/>
              <w:bidi w:val="0"/>
              <w:jc w:val="center"/>
              <w:rPr>
                <w:color w:val="auto"/>
                <w:highlight w:val="none"/>
              </w:rPr>
            </w:pPr>
            <w:r>
              <w:rPr>
                <w:rFonts w:hint="eastAsia"/>
                <w:color w:val="auto"/>
                <w:highlight w:val="none"/>
                <w:lang w:val="en-US" w:eastAsia="zh-CN"/>
              </w:rPr>
              <w:t>841</w:t>
            </w:r>
            <w:r>
              <w:rPr>
                <w:color w:val="auto"/>
                <w:highlight w:val="none"/>
              </w:rPr>
              <w:t>-001-01</w:t>
            </w:r>
          </w:p>
          <w:p>
            <w:pPr>
              <w:pStyle w:val="22"/>
              <w:bidi w:val="0"/>
              <w:jc w:val="center"/>
              <w:rPr>
                <w:color w:val="auto"/>
                <w:highlight w:val="none"/>
              </w:rPr>
            </w:pPr>
            <w:r>
              <w:rPr>
                <w:color w:val="auto"/>
                <w:highlight w:val="none"/>
              </w:rPr>
              <w:t>8</w:t>
            </w:r>
            <w:r>
              <w:rPr>
                <w:rFonts w:hint="eastAsia"/>
                <w:color w:val="auto"/>
                <w:highlight w:val="none"/>
                <w:lang w:val="en-US" w:eastAsia="zh-CN"/>
              </w:rPr>
              <w:t>4</w:t>
            </w:r>
            <w:r>
              <w:rPr>
                <w:color w:val="auto"/>
                <w:highlight w:val="none"/>
              </w:rPr>
              <w:t>1-002-01</w:t>
            </w:r>
          </w:p>
          <w:p>
            <w:pPr>
              <w:pStyle w:val="22"/>
              <w:bidi w:val="0"/>
              <w:jc w:val="center"/>
              <w:rPr>
                <w:color w:val="auto"/>
                <w:highlight w:val="none"/>
              </w:rPr>
            </w:pPr>
            <w:r>
              <w:rPr>
                <w:color w:val="auto"/>
                <w:highlight w:val="none"/>
              </w:rPr>
              <w:t>8</w:t>
            </w:r>
            <w:r>
              <w:rPr>
                <w:rFonts w:hint="eastAsia"/>
                <w:color w:val="auto"/>
                <w:highlight w:val="none"/>
                <w:lang w:val="en-US" w:eastAsia="zh-CN"/>
              </w:rPr>
              <w:t>4</w:t>
            </w:r>
            <w:r>
              <w:rPr>
                <w:color w:val="auto"/>
                <w:highlight w:val="none"/>
              </w:rPr>
              <w:t>1-004-01</w:t>
            </w:r>
          </w:p>
          <w:p>
            <w:pPr>
              <w:pStyle w:val="22"/>
              <w:bidi w:val="0"/>
              <w:jc w:val="center"/>
              <w:rPr>
                <w:color w:val="auto"/>
                <w:highlight w:val="none"/>
              </w:rPr>
            </w:pPr>
            <w:r>
              <w:rPr>
                <w:color w:val="auto"/>
                <w:highlight w:val="none"/>
              </w:rPr>
              <w:t>8</w:t>
            </w:r>
            <w:r>
              <w:rPr>
                <w:rFonts w:hint="eastAsia"/>
                <w:color w:val="auto"/>
                <w:highlight w:val="none"/>
                <w:lang w:val="en-US" w:eastAsia="zh-CN"/>
              </w:rPr>
              <w:t>4</w:t>
            </w:r>
            <w:r>
              <w:rPr>
                <w:color w:val="auto"/>
                <w:highlight w:val="none"/>
              </w:rPr>
              <w:t>1-005-01</w:t>
            </w:r>
          </w:p>
        </w:tc>
        <w:tc>
          <w:tcPr>
            <w:tcW w:w="3327" w:type="dxa"/>
            <w:gridSpan w:val="2"/>
            <w:tcBorders>
              <w:tl2br w:val="nil"/>
              <w:tr2bl w:val="nil"/>
            </w:tcBorders>
            <w:vAlign w:val="center"/>
          </w:tcPr>
          <w:p>
            <w:pPr>
              <w:pStyle w:val="22"/>
              <w:bidi w:val="0"/>
              <w:jc w:val="center"/>
              <w:rPr>
                <w:color w:val="auto"/>
                <w:highlight w:val="none"/>
              </w:rPr>
            </w:pPr>
            <w:r>
              <w:rPr>
                <w:color w:val="auto"/>
                <w:highlight w:val="none"/>
              </w:rPr>
              <w:t>灭活后，暂存于危废暂存间，委托有危废资质单位处理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1" w:hRule="atLeast"/>
          <w:jc w:val="center"/>
        </w:trPr>
        <w:tc>
          <w:tcPr>
            <w:tcW w:w="510" w:type="dxa"/>
            <w:tcBorders>
              <w:tl2br w:val="nil"/>
              <w:tr2bl w:val="nil"/>
            </w:tcBorders>
            <w:vAlign w:val="center"/>
          </w:tcPr>
          <w:p>
            <w:pPr>
              <w:pStyle w:val="22"/>
              <w:bidi w:val="0"/>
              <w:jc w:val="center"/>
              <w:rPr>
                <w:rFonts w:hint="eastAsia"/>
                <w:color w:val="auto"/>
                <w:highlight w:val="none"/>
                <w:lang w:eastAsia="zh-CN"/>
              </w:rPr>
            </w:pPr>
            <w:r>
              <w:rPr>
                <w:rFonts w:hint="eastAsia"/>
                <w:color w:val="auto"/>
                <w:highlight w:val="none"/>
                <w:lang w:val="en-US" w:eastAsia="zh-CN"/>
              </w:rPr>
              <w:t>3</w:t>
            </w:r>
          </w:p>
        </w:tc>
        <w:tc>
          <w:tcPr>
            <w:tcW w:w="1515" w:type="dxa"/>
            <w:gridSpan w:val="2"/>
            <w:tcBorders>
              <w:tl2br w:val="nil"/>
              <w:tr2bl w:val="nil"/>
            </w:tcBorders>
            <w:vAlign w:val="center"/>
          </w:tcPr>
          <w:p>
            <w:pPr>
              <w:pStyle w:val="22"/>
              <w:bidi w:val="0"/>
              <w:jc w:val="center"/>
              <w:rPr>
                <w:color w:val="auto"/>
                <w:highlight w:val="none"/>
              </w:rPr>
            </w:pPr>
            <w:r>
              <w:rPr>
                <w:color w:val="auto"/>
                <w:highlight w:val="none"/>
              </w:rPr>
              <w:t>废活性炭</w:t>
            </w:r>
          </w:p>
        </w:tc>
        <w:tc>
          <w:tcPr>
            <w:tcW w:w="774" w:type="dxa"/>
            <w:tcBorders>
              <w:tl2br w:val="nil"/>
              <w:tr2bl w:val="nil"/>
            </w:tcBorders>
            <w:vAlign w:val="center"/>
          </w:tcPr>
          <w:p>
            <w:pPr>
              <w:pStyle w:val="22"/>
              <w:bidi w:val="0"/>
              <w:jc w:val="center"/>
              <w:rPr>
                <w:rFonts w:hint="default" w:eastAsia="宋体"/>
                <w:color w:val="auto"/>
                <w:highlight w:val="none"/>
                <w:lang w:val="en-US" w:eastAsia="zh-CN"/>
              </w:rPr>
            </w:pPr>
            <w:r>
              <w:rPr>
                <w:rFonts w:hint="eastAsia"/>
                <w:color w:val="auto"/>
                <w:highlight w:val="none"/>
                <w:lang w:val="en-US" w:eastAsia="zh-CN"/>
              </w:rPr>
              <w:t>0.15</w:t>
            </w:r>
          </w:p>
        </w:tc>
        <w:tc>
          <w:tcPr>
            <w:tcW w:w="1208" w:type="dxa"/>
            <w:gridSpan w:val="2"/>
            <w:tcBorders>
              <w:tl2br w:val="nil"/>
              <w:tr2bl w:val="nil"/>
            </w:tcBorders>
            <w:vAlign w:val="center"/>
          </w:tcPr>
          <w:p>
            <w:pPr>
              <w:pStyle w:val="22"/>
              <w:bidi w:val="0"/>
              <w:ind w:firstLine="0" w:firstLineChars="0"/>
              <w:jc w:val="center"/>
              <w:rPr>
                <w:color w:val="auto"/>
                <w:highlight w:val="none"/>
              </w:rPr>
            </w:pPr>
            <w:r>
              <w:rPr>
                <w:color w:val="auto"/>
              </w:rPr>
              <w:t>HW4</w:t>
            </w:r>
            <w:r>
              <w:rPr>
                <w:rFonts w:hint="eastAsia"/>
                <w:color w:val="auto"/>
                <w:lang w:val="en-US" w:eastAsia="zh-CN"/>
              </w:rPr>
              <w:t>9</w:t>
            </w:r>
            <w:r>
              <w:rPr>
                <w:color w:val="auto"/>
              </w:rPr>
              <w:t>其他非特定行业</w:t>
            </w:r>
          </w:p>
        </w:tc>
        <w:tc>
          <w:tcPr>
            <w:tcW w:w="1187" w:type="dxa"/>
            <w:gridSpan w:val="2"/>
            <w:tcBorders>
              <w:tl2br w:val="nil"/>
              <w:tr2bl w:val="nil"/>
            </w:tcBorders>
            <w:vAlign w:val="center"/>
          </w:tcPr>
          <w:p>
            <w:pPr>
              <w:pStyle w:val="22"/>
              <w:bidi w:val="0"/>
              <w:ind w:firstLine="0" w:firstLineChars="0"/>
              <w:jc w:val="center"/>
              <w:rPr>
                <w:color w:val="auto"/>
                <w:highlight w:val="none"/>
              </w:rPr>
            </w:pPr>
            <w:r>
              <w:rPr>
                <w:rFonts w:hint="default"/>
                <w:color w:val="auto"/>
                <w:highlight w:val="none"/>
                <w:lang w:val="en-US" w:eastAsia="zh-CN"/>
              </w:rPr>
              <w:t>900-041-49</w:t>
            </w:r>
          </w:p>
        </w:tc>
        <w:tc>
          <w:tcPr>
            <w:tcW w:w="3327" w:type="dxa"/>
            <w:gridSpan w:val="2"/>
            <w:tcBorders>
              <w:tl2br w:val="nil"/>
              <w:tr2bl w:val="nil"/>
            </w:tcBorders>
            <w:vAlign w:val="center"/>
          </w:tcPr>
          <w:p>
            <w:pPr>
              <w:pStyle w:val="22"/>
              <w:bidi w:val="0"/>
              <w:jc w:val="center"/>
              <w:rPr>
                <w:color w:val="auto"/>
                <w:highlight w:val="none"/>
              </w:rPr>
            </w:pPr>
            <w:r>
              <w:rPr>
                <w:color w:val="auto"/>
                <w:highlight w:val="none"/>
              </w:rPr>
              <w:t>暂存于危废暂存间，委托有危废资</w:t>
            </w:r>
          </w:p>
          <w:p>
            <w:pPr>
              <w:pStyle w:val="22"/>
              <w:bidi w:val="0"/>
              <w:jc w:val="center"/>
              <w:rPr>
                <w:color w:val="auto"/>
                <w:highlight w:val="none"/>
              </w:rPr>
            </w:pPr>
            <w:r>
              <w:rPr>
                <w:color w:val="auto"/>
                <w:highlight w:val="none"/>
              </w:rPr>
              <w:t>质单位处理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3" w:hRule="atLeast"/>
          <w:jc w:val="center"/>
        </w:trPr>
        <w:tc>
          <w:tcPr>
            <w:tcW w:w="510" w:type="dxa"/>
            <w:tcBorders>
              <w:tl2br w:val="nil"/>
              <w:tr2bl w:val="nil"/>
            </w:tcBorders>
            <w:vAlign w:val="center"/>
          </w:tcPr>
          <w:p>
            <w:pPr>
              <w:pStyle w:val="22"/>
              <w:bidi w:val="0"/>
              <w:jc w:val="center"/>
              <w:rPr>
                <w:rFonts w:hint="eastAsia"/>
                <w:color w:val="auto"/>
                <w:highlight w:val="none"/>
                <w:lang w:eastAsia="zh-CN"/>
              </w:rPr>
            </w:pPr>
            <w:r>
              <w:rPr>
                <w:rFonts w:hint="eastAsia"/>
                <w:color w:val="auto"/>
                <w:highlight w:val="none"/>
                <w:lang w:val="en-US" w:eastAsia="zh-CN"/>
              </w:rPr>
              <w:t>4</w:t>
            </w:r>
          </w:p>
        </w:tc>
        <w:tc>
          <w:tcPr>
            <w:tcW w:w="1515" w:type="dxa"/>
            <w:gridSpan w:val="2"/>
            <w:tcBorders>
              <w:tl2br w:val="nil"/>
              <w:tr2bl w:val="nil"/>
            </w:tcBorders>
            <w:vAlign w:val="center"/>
          </w:tcPr>
          <w:p>
            <w:pPr>
              <w:pStyle w:val="22"/>
              <w:bidi w:val="0"/>
              <w:jc w:val="center"/>
              <w:rPr>
                <w:color w:val="auto"/>
                <w:highlight w:val="none"/>
              </w:rPr>
            </w:pPr>
            <w:r>
              <w:rPr>
                <w:color w:val="auto"/>
                <w:highlight w:val="none"/>
              </w:rPr>
              <w:t>废离子交换树脂</w:t>
            </w:r>
          </w:p>
        </w:tc>
        <w:tc>
          <w:tcPr>
            <w:tcW w:w="774" w:type="dxa"/>
            <w:tcBorders>
              <w:tl2br w:val="nil"/>
              <w:tr2bl w:val="nil"/>
            </w:tcBorders>
            <w:vAlign w:val="center"/>
          </w:tcPr>
          <w:p>
            <w:pPr>
              <w:pStyle w:val="22"/>
              <w:bidi w:val="0"/>
              <w:jc w:val="center"/>
              <w:rPr>
                <w:color w:val="auto"/>
                <w:highlight w:val="none"/>
              </w:rPr>
            </w:pPr>
            <w:r>
              <w:rPr>
                <w:color w:val="auto"/>
                <w:highlight w:val="none"/>
              </w:rPr>
              <w:t>0.003</w:t>
            </w:r>
          </w:p>
        </w:tc>
        <w:tc>
          <w:tcPr>
            <w:tcW w:w="1208" w:type="dxa"/>
            <w:gridSpan w:val="2"/>
            <w:tcBorders>
              <w:tl2br w:val="nil"/>
              <w:tr2bl w:val="nil"/>
            </w:tcBorders>
            <w:vAlign w:val="center"/>
          </w:tcPr>
          <w:p>
            <w:pPr>
              <w:pStyle w:val="22"/>
              <w:bidi w:val="0"/>
              <w:ind w:firstLine="0" w:firstLineChars="0"/>
              <w:jc w:val="center"/>
              <w:rPr>
                <w:color w:val="auto"/>
                <w:highlight w:val="none"/>
              </w:rPr>
            </w:pPr>
            <w:r>
              <w:rPr>
                <w:color w:val="auto"/>
              </w:rPr>
              <w:t>一般固废</w:t>
            </w:r>
          </w:p>
        </w:tc>
        <w:tc>
          <w:tcPr>
            <w:tcW w:w="1187" w:type="dxa"/>
            <w:gridSpan w:val="2"/>
            <w:tcBorders>
              <w:tl2br w:val="nil"/>
              <w:tr2bl w:val="nil"/>
            </w:tcBorders>
            <w:vAlign w:val="center"/>
          </w:tcPr>
          <w:p>
            <w:pPr>
              <w:pStyle w:val="22"/>
              <w:bidi w:val="0"/>
              <w:ind w:firstLine="0" w:firstLineChars="0"/>
              <w:jc w:val="center"/>
              <w:rPr>
                <w:color w:val="auto"/>
                <w:highlight w:val="none"/>
              </w:rPr>
            </w:pPr>
            <w:r>
              <w:rPr>
                <w:color w:val="auto"/>
              </w:rPr>
              <w:t>——</w:t>
            </w:r>
          </w:p>
        </w:tc>
        <w:tc>
          <w:tcPr>
            <w:tcW w:w="3327" w:type="dxa"/>
            <w:gridSpan w:val="2"/>
            <w:tcBorders>
              <w:tl2br w:val="nil"/>
              <w:tr2bl w:val="nil"/>
            </w:tcBorders>
            <w:vAlign w:val="center"/>
          </w:tcPr>
          <w:p>
            <w:pPr>
              <w:pStyle w:val="22"/>
              <w:bidi w:val="0"/>
              <w:jc w:val="center"/>
              <w:rPr>
                <w:color w:val="auto"/>
                <w:highlight w:val="none"/>
              </w:rPr>
            </w:pPr>
            <w:r>
              <w:rPr>
                <w:color w:val="auto"/>
                <w:highlight w:val="none"/>
              </w:rPr>
              <w:t>经收集后由专门厂家回收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3" w:hRule="atLeast"/>
          <w:jc w:val="center"/>
        </w:trPr>
        <w:tc>
          <w:tcPr>
            <w:tcW w:w="510" w:type="dxa"/>
            <w:tcBorders>
              <w:tl2br w:val="nil"/>
              <w:tr2bl w:val="nil"/>
            </w:tcBorders>
            <w:vAlign w:val="center"/>
          </w:tcPr>
          <w:p>
            <w:pPr>
              <w:pStyle w:val="22"/>
              <w:bidi w:val="0"/>
              <w:jc w:val="center"/>
              <w:rPr>
                <w:rFonts w:hint="eastAsia"/>
                <w:color w:val="auto"/>
                <w:highlight w:val="none"/>
                <w:lang w:eastAsia="zh-CN"/>
              </w:rPr>
            </w:pPr>
            <w:r>
              <w:rPr>
                <w:rFonts w:hint="eastAsia"/>
                <w:color w:val="auto"/>
                <w:highlight w:val="none"/>
                <w:lang w:val="en-US" w:eastAsia="zh-CN"/>
              </w:rPr>
              <w:t>5</w:t>
            </w:r>
          </w:p>
        </w:tc>
        <w:tc>
          <w:tcPr>
            <w:tcW w:w="1515" w:type="dxa"/>
            <w:gridSpan w:val="2"/>
            <w:tcBorders>
              <w:tl2br w:val="nil"/>
              <w:tr2bl w:val="nil"/>
            </w:tcBorders>
            <w:vAlign w:val="center"/>
          </w:tcPr>
          <w:p>
            <w:pPr>
              <w:pStyle w:val="22"/>
              <w:bidi w:val="0"/>
              <w:jc w:val="center"/>
              <w:rPr>
                <w:color w:val="auto"/>
                <w:highlight w:val="none"/>
              </w:rPr>
            </w:pPr>
            <w:r>
              <w:rPr>
                <w:rFonts w:hint="eastAsia"/>
                <w:color w:val="auto"/>
                <w:highlight w:val="none"/>
                <w:lang w:val="en-US" w:eastAsia="zh-CN"/>
              </w:rPr>
              <w:t>水处理栅渣及污泥</w:t>
            </w:r>
          </w:p>
        </w:tc>
        <w:tc>
          <w:tcPr>
            <w:tcW w:w="774" w:type="dxa"/>
            <w:tcBorders>
              <w:tl2br w:val="nil"/>
              <w:tr2bl w:val="nil"/>
            </w:tcBorders>
            <w:vAlign w:val="center"/>
          </w:tcPr>
          <w:p>
            <w:pPr>
              <w:pStyle w:val="22"/>
              <w:bidi w:val="0"/>
              <w:jc w:val="center"/>
              <w:rPr>
                <w:color w:val="auto"/>
                <w:highlight w:val="none"/>
              </w:rPr>
            </w:pPr>
            <w:r>
              <w:rPr>
                <w:color w:val="auto"/>
                <w:highlight w:val="none"/>
              </w:rPr>
              <w:t>0.</w:t>
            </w:r>
            <w:r>
              <w:rPr>
                <w:rFonts w:hint="eastAsia"/>
                <w:color w:val="auto"/>
                <w:highlight w:val="none"/>
                <w:lang w:val="en-US" w:eastAsia="zh-CN"/>
              </w:rPr>
              <w:t>3</w:t>
            </w:r>
          </w:p>
        </w:tc>
        <w:tc>
          <w:tcPr>
            <w:tcW w:w="1208" w:type="dxa"/>
            <w:gridSpan w:val="2"/>
            <w:tcBorders>
              <w:tl2br w:val="nil"/>
              <w:tr2bl w:val="nil"/>
            </w:tcBorders>
            <w:vAlign w:val="center"/>
          </w:tcPr>
          <w:p>
            <w:pPr>
              <w:pStyle w:val="22"/>
              <w:bidi w:val="0"/>
              <w:ind w:firstLine="0" w:firstLineChars="0"/>
              <w:jc w:val="center"/>
              <w:rPr>
                <w:color w:val="auto"/>
                <w:highlight w:val="none"/>
              </w:rPr>
            </w:pPr>
            <w:r>
              <w:rPr>
                <w:color w:val="auto"/>
              </w:rPr>
              <w:t>HW4</w:t>
            </w:r>
            <w:r>
              <w:rPr>
                <w:rFonts w:hint="eastAsia"/>
                <w:color w:val="auto"/>
                <w:lang w:val="en-US" w:eastAsia="zh-CN"/>
              </w:rPr>
              <w:t>9</w:t>
            </w:r>
            <w:r>
              <w:rPr>
                <w:color w:val="auto"/>
              </w:rPr>
              <w:t>其他非特定行业</w:t>
            </w:r>
          </w:p>
        </w:tc>
        <w:tc>
          <w:tcPr>
            <w:tcW w:w="1187" w:type="dxa"/>
            <w:gridSpan w:val="2"/>
            <w:tcBorders>
              <w:tl2br w:val="nil"/>
              <w:tr2bl w:val="nil"/>
            </w:tcBorders>
            <w:vAlign w:val="center"/>
          </w:tcPr>
          <w:p>
            <w:pPr>
              <w:pStyle w:val="22"/>
              <w:bidi w:val="0"/>
              <w:ind w:firstLine="0" w:firstLineChars="0"/>
              <w:jc w:val="center"/>
              <w:rPr>
                <w:color w:val="auto"/>
                <w:highlight w:val="none"/>
              </w:rPr>
            </w:pPr>
            <w:r>
              <w:rPr>
                <w:rFonts w:hint="default"/>
                <w:color w:val="auto"/>
                <w:highlight w:val="none"/>
                <w:lang w:val="en-US" w:eastAsia="zh-CN"/>
              </w:rPr>
              <w:t>841-001- 01</w:t>
            </w:r>
          </w:p>
        </w:tc>
        <w:tc>
          <w:tcPr>
            <w:tcW w:w="3327" w:type="dxa"/>
            <w:gridSpan w:val="2"/>
            <w:tcBorders>
              <w:tl2br w:val="nil"/>
              <w:tr2bl w:val="nil"/>
            </w:tcBorders>
            <w:vAlign w:val="center"/>
          </w:tcPr>
          <w:p>
            <w:pPr>
              <w:pStyle w:val="22"/>
              <w:bidi w:val="0"/>
              <w:jc w:val="center"/>
              <w:rPr>
                <w:color w:val="auto"/>
                <w:highlight w:val="none"/>
              </w:rPr>
            </w:pPr>
            <w:r>
              <w:rPr>
                <w:color w:val="auto"/>
                <w:highlight w:val="none"/>
              </w:rPr>
              <w:t>消毒后，暂存于危废暂存间，委托有</w:t>
            </w:r>
          </w:p>
          <w:p>
            <w:pPr>
              <w:pStyle w:val="22"/>
              <w:bidi w:val="0"/>
              <w:jc w:val="center"/>
              <w:rPr>
                <w:color w:val="auto"/>
                <w:highlight w:val="none"/>
              </w:rPr>
            </w:pPr>
            <w:r>
              <w:rPr>
                <w:color w:val="auto"/>
                <w:highlight w:val="none"/>
              </w:rPr>
              <w:t>危废资质单位处理</w:t>
            </w:r>
          </w:p>
        </w:tc>
      </w:tr>
    </w:tbl>
    <w:p>
      <w:pPr>
        <w:bidi w:val="0"/>
        <w:rPr>
          <w:rFonts w:hint="default" w:eastAsia="宋体"/>
          <w:color w:val="auto"/>
          <w:lang w:val="en-US" w:eastAsia="zh-CN"/>
        </w:rPr>
      </w:pPr>
      <w:r>
        <w:rPr>
          <w:rFonts w:hint="eastAsia" w:eastAsia="宋体"/>
          <w:color w:val="auto"/>
          <w:lang w:eastAsia="zh-CN"/>
        </w:rPr>
        <w:t>（</w:t>
      </w:r>
      <w:r>
        <w:rPr>
          <w:rFonts w:hint="eastAsia" w:ascii="Times New Roman" w:eastAsia="宋体"/>
          <w:color w:val="auto"/>
          <w:lang w:val="en-US" w:eastAsia="zh-CN"/>
        </w:rPr>
        <w:t>1</w:t>
      </w:r>
      <w:r>
        <w:rPr>
          <w:rFonts w:hint="eastAsia" w:eastAsia="宋体"/>
          <w:color w:val="auto"/>
          <w:lang w:eastAsia="zh-CN"/>
        </w:rPr>
        <w:t>）</w:t>
      </w:r>
      <w:r>
        <w:rPr>
          <w:rFonts w:hint="eastAsia" w:ascii="Times New Roman" w:eastAsia="宋体"/>
          <w:color w:val="auto"/>
          <w:lang w:val="en-US" w:eastAsia="zh-CN"/>
        </w:rPr>
        <w:t>危险废物</w:t>
      </w:r>
    </w:p>
    <w:p>
      <w:pPr>
        <w:bidi w:val="0"/>
        <w:rPr>
          <w:color w:val="auto"/>
        </w:rPr>
      </w:pPr>
      <w:r>
        <w:rPr>
          <w:color w:val="auto"/>
        </w:rPr>
        <w:t>其中，根据《医疗废物集中处置技术规范（试行）》和《关于印发医疗机构废弃物综合治理工作方案的通知》（国卫医发</w:t>
      </w:r>
      <w:r>
        <w:rPr>
          <w:rFonts w:hint="eastAsia" w:eastAsia="宋体"/>
          <w:color w:val="auto"/>
          <w:lang w:eastAsia="zh-CN"/>
        </w:rPr>
        <w:t>〔</w:t>
      </w:r>
      <w:r>
        <w:rPr>
          <w:color w:val="auto"/>
        </w:rPr>
        <w:t>2020</w:t>
      </w:r>
      <w:r>
        <w:rPr>
          <w:rFonts w:hint="eastAsia" w:eastAsia="宋体"/>
          <w:color w:val="auto"/>
          <w:lang w:eastAsia="zh-CN"/>
        </w:rPr>
        <w:t>〕</w:t>
      </w:r>
      <w:r>
        <w:rPr>
          <w:color w:val="auto"/>
        </w:rPr>
        <w:t>3号），医疗废物的分类收集要求有：</w:t>
      </w:r>
    </w:p>
    <w:p>
      <w:pPr>
        <w:bidi w:val="0"/>
        <w:rPr>
          <w:color w:val="auto"/>
        </w:rPr>
      </w:pPr>
      <w:r>
        <w:rPr>
          <w:color w:val="auto"/>
        </w:rPr>
        <w:t>医疗废物包括：</w:t>
      </w:r>
      <w:r>
        <w:rPr>
          <w:rFonts w:hint="eastAsia" w:ascii="Times New Roman" w:eastAsia="宋体"/>
          <w:color w:val="auto"/>
          <w:lang w:val="en-US" w:eastAsia="zh-CN"/>
        </w:rPr>
        <w:t>儿童预防接种及</w:t>
      </w:r>
      <w:r>
        <w:rPr>
          <w:color w:val="auto"/>
        </w:rPr>
        <w:t>体检、微生物实验室固废、理化实验室固废，同时包括废水处理站污泥。医疗垃圾含有多种病菌、病原体、病毒等，具有传播性，危害巨大。其它危废种类较多，含有多种化学品污染物等，如随意丢弃，对环境污染和危害很大。危废的管理措施如下：</w:t>
      </w:r>
    </w:p>
    <w:p>
      <w:pPr>
        <w:bidi w:val="0"/>
        <w:rPr>
          <w:rFonts w:hint="default"/>
          <w:color w:val="auto"/>
          <w:lang w:val="en-US" w:eastAsia="zh-CN"/>
        </w:rPr>
      </w:pPr>
      <w:r>
        <w:rPr>
          <w:color w:val="auto"/>
        </w:rPr>
        <w:t>①体检</w:t>
      </w:r>
      <w:r>
        <w:rPr>
          <w:rFonts w:hint="eastAsia" w:ascii="Times New Roman" w:eastAsia="宋体"/>
          <w:color w:val="auto"/>
          <w:lang w:val="en-US" w:eastAsia="zh-CN"/>
        </w:rPr>
        <w:t>及预防接种</w:t>
      </w:r>
      <w:r>
        <w:rPr>
          <w:color w:val="auto"/>
        </w:rPr>
        <w:t>产生的医疗废物</w:t>
      </w:r>
      <w:r>
        <w:rPr>
          <w:rFonts w:hint="eastAsia" w:eastAsia="宋体"/>
          <w:color w:val="auto"/>
          <w:lang w:eastAsia="zh-CN"/>
        </w:rPr>
        <w:t>：</w:t>
      </w:r>
      <w:r>
        <w:rPr>
          <w:color w:val="auto"/>
        </w:rPr>
        <w:t>废棉签及其他各种敷料、废一次性用品、废血液、废血清等属于“感染性废物（废物代码：8</w:t>
      </w:r>
      <w:r>
        <w:rPr>
          <w:rFonts w:hint="eastAsia"/>
          <w:color w:val="auto"/>
          <w:lang w:val="en-US" w:eastAsia="zh-CN"/>
        </w:rPr>
        <w:t>4</w:t>
      </w:r>
      <w:r>
        <w:rPr>
          <w:color w:val="auto"/>
        </w:rPr>
        <w:t>1-001-01）”；废针头、废针具等属于“损伤性废物（废物代码：8</w:t>
      </w:r>
      <w:r>
        <w:rPr>
          <w:rFonts w:hint="eastAsia"/>
          <w:color w:val="auto"/>
          <w:lang w:val="en-US" w:eastAsia="zh-CN"/>
        </w:rPr>
        <w:t>4</w:t>
      </w:r>
      <w:r>
        <w:rPr>
          <w:color w:val="auto"/>
        </w:rPr>
        <w:t>1-002-01）”。</w:t>
      </w:r>
      <w:r>
        <w:rPr>
          <w:rFonts w:hint="eastAsia" w:ascii="Times New Roman" w:eastAsia="宋体"/>
          <w:color w:val="auto"/>
          <w:lang w:val="en-US" w:eastAsia="zh-CN"/>
        </w:rPr>
        <w:t>废弃的疫苗属于“药物性废物</w:t>
      </w:r>
      <w:r>
        <w:rPr>
          <w:color w:val="auto"/>
        </w:rPr>
        <w:t>（废物代码：8</w:t>
      </w:r>
      <w:r>
        <w:rPr>
          <w:rFonts w:hint="eastAsia"/>
          <w:color w:val="auto"/>
          <w:lang w:val="en-US" w:eastAsia="zh-CN"/>
        </w:rPr>
        <w:t>4</w:t>
      </w:r>
      <w:r>
        <w:rPr>
          <w:color w:val="auto"/>
        </w:rPr>
        <w:t>1-005-01）</w:t>
      </w:r>
      <w:r>
        <w:rPr>
          <w:rFonts w:hint="eastAsia" w:ascii="Times New Roman" w:eastAsia="宋体"/>
          <w:color w:val="auto"/>
          <w:lang w:val="en-US" w:eastAsia="zh-CN"/>
        </w:rPr>
        <w:t>”</w:t>
      </w:r>
    </w:p>
    <w:p>
      <w:pPr>
        <w:bidi w:val="0"/>
        <w:rPr>
          <w:color w:val="auto"/>
        </w:rPr>
      </w:pPr>
      <w:r>
        <w:rPr>
          <w:color w:val="auto"/>
        </w:rPr>
        <w:t>此危废采取“单独收集+灭菌锅消毒+密封+暂存于危废间”，交由有危废资质单位处理。</w:t>
      </w:r>
    </w:p>
    <w:p>
      <w:pPr>
        <w:bidi w:val="0"/>
        <w:rPr>
          <w:color w:val="auto"/>
        </w:rPr>
      </w:pPr>
      <w:r>
        <w:rPr>
          <w:rFonts w:hint="eastAsia" w:ascii="Times New Roman" w:eastAsia="宋体"/>
          <w:color w:val="auto"/>
          <w:lang w:val="en-US" w:eastAsia="zh-CN"/>
        </w:rPr>
        <w:t>②</w:t>
      </w:r>
      <w:r>
        <w:rPr>
          <w:color w:val="auto"/>
        </w:rPr>
        <w:t>微生物实验室</w:t>
      </w:r>
      <w:r>
        <w:rPr>
          <w:rFonts w:hint="eastAsia" w:ascii="Times New Roman" w:eastAsia="宋体"/>
          <w:color w:val="auto"/>
          <w:lang w:val="en-US" w:eastAsia="zh-CN"/>
        </w:rPr>
        <w:t>固废：</w:t>
      </w:r>
      <w:r>
        <w:rPr>
          <w:color w:val="auto"/>
        </w:rPr>
        <w:t>产生的固体废物主要为废培养基、废一次性实验用品、废标本、实验用药等，年产生量为</w:t>
      </w:r>
      <w:r>
        <w:rPr>
          <w:rFonts w:hint="eastAsia" w:ascii="Times New Roman" w:eastAsia="宋体"/>
          <w:color w:val="auto"/>
          <w:lang w:val="en-US" w:eastAsia="zh-CN"/>
        </w:rPr>
        <w:t>0.1</w:t>
      </w:r>
      <w:r>
        <w:rPr>
          <w:color w:val="auto"/>
        </w:rPr>
        <w:t>/a；其中，废培养基、废一次性用品、废标本、废高效过滤器属于“感染性废物（废物代码：8</w:t>
      </w:r>
      <w:r>
        <w:rPr>
          <w:rFonts w:hint="eastAsia"/>
          <w:color w:val="auto"/>
          <w:lang w:val="en-US" w:eastAsia="zh-CN"/>
        </w:rPr>
        <w:t>4</w:t>
      </w:r>
      <w:r>
        <w:rPr>
          <w:color w:val="auto"/>
        </w:rPr>
        <w:t>1-001-01）”；废实验用药属于“药物性废物（废物代码：8</w:t>
      </w:r>
      <w:r>
        <w:rPr>
          <w:rFonts w:hint="eastAsia"/>
          <w:color w:val="auto"/>
          <w:lang w:val="en-US" w:eastAsia="zh-CN"/>
        </w:rPr>
        <w:t>4</w:t>
      </w:r>
      <w:r>
        <w:rPr>
          <w:color w:val="auto"/>
        </w:rPr>
        <w:t>1-005-01）”。</w:t>
      </w:r>
    </w:p>
    <w:p>
      <w:pPr>
        <w:bidi w:val="0"/>
        <w:rPr>
          <w:color w:val="auto"/>
        </w:rPr>
      </w:pPr>
      <w:r>
        <w:rPr>
          <w:color w:val="auto"/>
        </w:rPr>
        <w:t>生物实验室医疗废物分类收集后并经高温灭菌锅消毒后，贮存于专设的医疗废物暂存间。</w:t>
      </w:r>
    </w:p>
    <w:p>
      <w:pPr>
        <w:bidi w:val="0"/>
        <w:rPr>
          <w:color w:val="auto"/>
        </w:rPr>
      </w:pPr>
      <w:r>
        <w:rPr>
          <w:rFonts w:hint="eastAsia" w:ascii="Times New Roman" w:eastAsia="宋体"/>
          <w:color w:val="auto"/>
          <w:lang w:val="en-US" w:eastAsia="zh-CN"/>
        </w:rPr>
        <w:t>③理化实验室固废：</w:t>
      </w:r>
      <w:r>
        <w:rPr>
          <w:color w:val="auto"/>
        </w:rPr>
        <w:t>理化实验室中会产生少量的化学废液，属于《医疗废物分类管理名录》中的“化学性废物（废物代码：8</w:t>
      </w:r>
      <w:r>
        <w:rPr>
          <w:rFonts w:hint="eastAsia"/>
          <w:color w:val="auto"/>
          <w:lang w:val="en-US" w:eastAsia="zh-CN"/>
        </w:rPr>
        <w:t>4</w:t>
      </w:r>
      <w:r>
        <w:rPr>
          <w:color w:val="auto"/>
        </w:rPr>
        <w:t>1-004-01）”，主要</w:t>
      </w:r>
      <w:r>
        <w:rPr>
          <w:rFonts w:ascii="宋体" w:hAnsi="宋体" w:eastAsia="宋体" w:cs="宋体"/>
          <w:color w:val="auto"/>
          <w:spacing w:val="-5"/>
          <w:sz w:val="24"/>
          <w:szCs w:val="24"/>
        </w:rPr>
        <w:t>有机废液，酸碱废液</w:t>
      </w:r>
      <w:r>
        <w:rPr>
          <w:color w:val="auto"/>
        </w:rPr>
        <w:t>等多种化学品污染物等，成份复杂，属于医疗废物，</w:t>
      </w:r>
    </w:p>
    <w:p>
      <w:pPr>
        <w:bidi w:val="0"/>
        <w:rPr>
          <w:rFonts w:hint="default" w:eastAsia="宋体"/>
          <w:color w:val="auto"/>
          <w:lang w:val="en-US" w:eastAsia="zh-CN"/>
        </w:rPr>
      </w:pPr>
      <w:r>
        <w:rPr>
          <w:color w:val="auto"/>
        </w:rPr>
        <w:t>采取“单独收集+灭菌锅消毒+密封+暂存于危废间”，定期送有危废处理资质单位处置。</w:t>
      </w:r>
    </w:p>
    <w:p>
      <w:pPr>
        <w:bidi w:val="0"/>
        <w:rPr>
          <w:color w:val="auto"/>
        </w:rPr>
      </w:pPr>
      <w:r>
        <w:rPr>
          <w:rFonts w:hint="eastAsia" w:ascii="Times New Roman" w:eastAsia="宋体"/>
          <w:color w:val="auto"/>
          <w:lang w:val="en-US" w:eastAsia="zh-CN"/>
        </w:rPr>
        <w:t>④</w:t>
      </w:r>
      <w:r>
        <w:rPr>
          <w:color w:val="auto"/>
        </w:rPr>
        <w:t>污水处理站污泥：根据《医疗机构水污染物排放标准》（GB18466-2005），污水处理站格栅过滤产生的栅渣、化粪池和污水处理站污泥均属危险废物，应按危险废物进行处理和处置。经查阅《国家危险废物名录（2021年版）》，栅渣、化粪池和污水处理站污泥均属于</w:t>
      </w:r>
      <w:r>
        <w:rPr>
          <w:color w:val="auto"/>
        </w:rPr>
        <w:t>HW</w:t>
      </w:r>
      <w:r>
        <w:rPr>
          <w:rFonts w:hint="eastAsia"/>
          <w:color w:val="auto"/>
          <w:lang w:val="en-US" w:eastAsia="zh-CN"/>
        </w:rPr>
        <w:t>01医疗废物</w:t>
      </w:r>
      <w:r>
        <w:rPr>
          <w:color w:val="auto"/>
        </w:rPr>
        <w:t>，废物代码为</w:t>
      </w:r>
      <w:r>
        <w:rPr>
          <w:rFonts w:hint="default"/>
          <w:color w:val="auto"/>
          <w:highlight w:val="none"/>
          <w:lang w:val="en-US" w:eastAsia="zh-CN"/>
        </w:rPr>
        <w:t>841-001- 01</w:t>
      </w:r>
      <w:r>
        <w:rPr>
          <w:color w:val="auto"/>
        </w:rPr>
        <w:t>。</w:t>
      </w:r>
    </w:p>
    <w:p>
      <w:pPr>
        <w:bidi w:val="0"/>
        <w:rPr>
          <w:color w:val="auto"/>
        </w:rPr>
      </w:pPr>
      <w:r>
        <w:rPr>
          <w:color w:val="auto"/>
        </w:rPr>
        <w:t>栅渣收集后用密封容器贮存在医疗废物暂存间，定期交由有资质的单位进行处置；污泥在清掏前委托有资质的单位进行污泥监测，达到《医疗机构水污染物排放标准》（GB18466-2005）表4医疗机构污泥控制标准后再进行清掏，清掏出的污泥交由有资质的单位进行处置。</w:t>
      </w:r>
    </w:p>
    <w:p>
      <w:pPr>
        <w:bidi w:val="0"/>
        <w:rPr>
          <w:rFonts w:hint="default"/>
          <w:color w:val="auto"/>
          <w:lang w:val="en-US" w:eastAsia="zh-CN"/>
        </w:rPr>
      </w:pPr>
      <w:r>
        <w:rPr>
          <w:rFonts w:hint="eastAsia" w:ascii="Times New Roman" w:eastAsia="宋体"/>
          <w:color w:val="auto"/>
          <w:lang w:val="en-US" w:eastAsia="zh-CN"/>
        </w:rPr>
        <w:t>（2）一般固废</w:t>
      </w:r>
    </w:p>
    <w:p>
      <w:pPr>
        <w:bidi w:val="0"/>
        <w:rPr>
          <w:color w:val="auto"/>
        </w:rPr>
      </w:pPr>
      <w:r>
        <w:rPr>
          <w:rFonts w:hint="eastAsia" w:ascii="Times New Roman" w:eastAsia="宋体"/>
          <w:color w:val="auto"/>
          <w:lang w:val="en-US" w:eastAsia="zh-CN"/>
        </w:rPr>
        <w:t>①</w:t>
      </w:r>
      <w:r>
        <w:rPr>
          <w:color w:val="auto"/>
        </w:rPr>
        <w:t>废离子交换树脂</w:t>
      </w:r>
    </w:p>
    <w:p>
      <w:pPr>
        <w:bidi w:val="0"/>
        <w:rPr>
          <w:color w:val="auto"/>
        </w:rPr>
      </w:pPr>
      <w:r>
        <w:rPr>
          <w:color w:val="auto"/>
        </w:rPr>
        <w:t>主要来源于纯水制备工序，其定期需更换离子交换树脂，废离子交换树脂属于一般固废，经收集后由专门厂家回收。</w:t>
      </w:r>
    </w:p>
    <w:p>
      <w:pPr>
        <w:bidi w:val="0"/>
        <w:rPr>
          <w:rFonts w:hint="default" w:eastAsia="宋体"/>
          <w:color w:val="auto"/>
          <w:lang w:val="en-US" w:eastAsia="zh-CN"/>
        </w:rPr>
      </w:pPr>
      <w:r>
        <w:rPr>
          <w:rFonts w:hint="eastAsia" w:ascii="Times New Roman" w:eastAsia="宋体"/>
          <w:color w:val="auto"/>
          <w:lang w:val="en-US" w:eastAsia="zh-CN"/>
        </w:rPr>
        <w:t>②生活垃圾</w:t>
      </w:r>
    </w:p>
    <w:p>
      <w:pPr>
        <w:bidi w:val="0"/>
        <w:rPr>
          <w:rFonts w:hint="default" w:eastAsia="宋体"/>
          <w:color w:val="auto"/>
          <w:lang w:val="en-US" w:eastAsia="zh-CN"/>
        </w:rPr>
      </w:pPr>
      <w:r>
        <w:rPr>
          <w:rFonts w:hint="eastAsia" w:ascii="Times New Roman" w:eastAsia="宋体"/>
          <w:color w:val="auto"/>
          <w:lang w:val="en-US" w:eastAsia="zh-CN"/>
        </w:rPr>
        <w:t>本项目办公生活所产生的生活垃圾经</w:t>
      </w:r>
      <w:r>
        <w:rPr>
          <w:color w:val="auto"/>
        </w:rPr>
        <w:t>垃圾箱集中收集</w:t>
      </w:r>
      <w:r>
        <w:rPr>
          <w:rFonts w:hint="eastAsia" w:ascii="Times New Roman" w:eastAsia="宋体"/>
          <w:color w:val="auto"/>
          <w:lang w:val="en-US" w:eastAsia="zh-CN"/>
        </w:rPr>
        <w:t>后由环保部门统一清运。</w:t>
      </w:r>
    </w:p>
    <w:p>
      <w:pPr>
        <w:pStyle w:val="7"/>
        <w:bidi w:val="0"/>
        <w:rPr>
          <w:rFonts w:hint="default"/>
          <w:color w:val="auto"/>
          <w:lang w:val="en-US" w:eastAsia="zh-CN"/>
        </w:rPr>
      </w:pPr>
      <w:r>
        <w:rPr>
          <w:rFonts w:hint="eastAsia"/>
          <w:color w:val="auto"/>
          <w:lang w:val="en-US" w:eastAsia="zh-CN"/>
        </w:rPr>
        <w:t>6.2.4.2固废管理要求</w:t>
      </w:r>
    </w:p>
    <w:p>
      <w:pPr>
        <w:bidi w:val="0"/>
        <w:rPr>
          <w:color w:val="auto"/>
        </w:rPr>
      </w:pPr>
      <w:r>
        <w:rPr>
          <w:color w:val="auto"/>
        </w:rPr>
        <w:t>本项目产生医疗废物在收集、贮存、转运过程中，应按照《医疗卫生机构医疗废物管理方法》、《医疗废物管理条例》，《医疗废物集中处置技术规范（试行）》、《医疗废物专用包装物、容器标准和警示标识规范》、《医疗废物转运车技术要求（试行）》（GB19217-2003）等相关规范执行，具体要求如下：</w:t>
      </w:r>
    </w:p>
    <w:p>
      <w:pPr>
        <w:bidi w:val="0"/>
        <w:rPr>
          <w:color w:val="auto"/>
        </w:rPr>
      </w:pPr>
      <w:r>
        <w:rPr>
          <w:color w:val="auto"/>
        </w:rPr>
        <w:t>（1）垃圾分类：本项目对运行期间产生的垃圾按照相关规定采取分类收集措施，生活垃圾与医疗垃圾分开；项目院内设置</w:t>
      </w:r>
      <w:r>
        <w:rPr>
          <w:rFonts w:hint="eastAsia" w:eastAsia="宋体"/>
          <w:color w:val="auto"/>
          <w:lang w:eastAsia="zh-CN"/>
        </w:rPr>
        <w:t>垃圾桶</w:t>
      </w:r>
      <w:r>
        <w:rPr>
          <w:color w:val="auto"/>
        </w:rPr>
        <w:t>及垃圾袋对生活垃圾进行收集。</w:t>
      </w:r>
    </w:p>
    <w:p>
      <w:pPr>
        <w:bidi w:val="0"/>
        <w:rPr>
          <w:color w:val="auto"/>
        </w:rPr>
      </w:pPr>
      <w:r>
        <w:rPr>
          <w:color w:val="auto"/>
        </w:rPr>
        <w:t>（2）生活垃圾处理要求：生活垃圾必须实现袋装或桶装集中，要求由环卫部门统一清运，不得随处乱堆乱排现象。由于生活垃圾中含有易发酵（即腐烂）的有机类垃圾，也会产生析出水（垃圾堆场称渗滤液），同时散发恶臭气味；并易招引蚊蝇、鼠狗之类栖息、形成病菌类产生和传播的温床。这不仅直接损害了院内的环境卫生，而产生的臭气和诱发的蚊蝇滋生则会对附近居民生活区，甚至对院区造成很大的影响。为此，院内应配备足够的垃圾桶和加强管理，对生活垃圾做到日产日清，保证院区范围内无腐烂垃圾堆放。</w:t>
      </w:r>
    </w:p>
    <w:p>
      <w:pPr>
        <w:bidi w:val="0"/>
        <w:rPr>
          <w:color w:val="auto"/>
        </w:rPr>
      </w:pPr>
      <w:r>
        <w:rPr>
          <w:color w:val="auto"/>
        </w:rPr>
        <w:t>（3）危险废物的收集</w:t>
      </w:r>
    </w:p>
    <w:p>
      <w:pPr>
        <w:bidi w:val="0"/>
        <w:rPr>
          <w:color w:val="auto"/>
        </w:rPr>
      </w:pPr>
      <w:r>
        <w:rPr>
          <w:color w:val="auto"/>
        </w:rPr>
        <w:t>①危险废物的收集应制定详细的操作规程，内容至少应包括适用范围、操作程序和方法、专用设备和工具、转移和交接、安全保障和应急防护等；</w:t>
      </w:r>
    </w:p>
    <w:p>
      <w:pPr>
        <w:bidi w:val="0"/>
        <w:rPr>
          <w:color w:val="auto"/>
        </w:rPr>
      </w:pPr>
      <w:r>
        <w:rPr>
          <w:color w:val="auto"/>
        </w:rPr>
        <w:t>②危险废物收集和转运作业人员应根据工作需要配备必要的个人防护装备，如手套、防护镜、防护服、防毒面具或口罩等；</w:t>
      </w:r>
    </w:p>
    <w:p>
      <w:pPr>
        <w:bidi w:val="0"/>
        <w:rPr>
          <w:color w:val="auto"/>
        </w:rPr>
      </w:pPr>
      <w:r>
        <w:rPr>
          <w:color w:val="auto"/>
        </w:rPr>
        <w:t>③在危险废物的收集和转运过程中，应采取相应的安全防护和污染防治措施，包括防爆、防火、防中毒、防感染、防泄露、防飞扬、防雨或其它防止污染环境的措施；</w:t>
      </w:r>
    </w:p>
    <w:p>
      <w:pPr>
        <w:bidi w:val="0"/>
        <w:rPr>
          <w:color w:val="auto"/>
        </w:rPr>
      </w:pPr>
      <w:r>
        <w:rPr>
          <w:color w:val="auto"/>
        </w:rPr>
        <w:t>④危险废物收集时应根据危险废物的种类、数量、危险特性、物理形态、运输要求等因素确定包装形式；</w:t>
      </w:r>
    </w:p>
    <w:p>
      <w:pPr>
        <w:bidi w:val="0"/>
        <w:rPr>
          <w:color w:val="auto"/>
        </w:rPr>
      </w:pPr>
      <w:r>
        <w:rPr>
          <w:color w:val="auto"/>
        </w:rPr>
        <w:t>⑤危险废物收集应参照HJ2025-2012中的附录A填写记录表，并将记录表作为危险废物管理的重要档案妥善保存；</w:t>
      </w:r>
    </w:p>
    <w:p>
      <w:pPr>
        <w:bidi w:val="0"/>
        <w:rPr>
          <w:color w:val="auto"/>
        </w:rPr>
      </w:pPr>
      <w:r>
        <w:rPr>
          <w:color w:val="auto"/>
        </w:rPr>
        <w:t>⑥收集结束后应清理和恢复收集作业区域，确保作业区域环境整洁安全；</w:t>
      </w:r>
    </w:p>
    <w:p>
      <w:pPr>
        <w:bidi w:val="0"/>
        <w:rPr>
          <w:color w:val="auto"/>
        </w:rPr>
      </w:pPr>
      <w:r>
        <w:rPr>
          <w:color w:val="auto"/>
        </w:rPr>
        <w:t>⑦收集过危险废物的容器、设备、设施、场所及其它物品转作它用时，应消除污染，确保其使用安全；</w:t>
      </w:r>
    </w:p>
    <w:p>
      <w:pPr>
        <w:bidi w:val="0"/>
        <w:rPr>
          <w:color w:val="auto"/>
        </w:rPr>
      </w:pPr>
      <w:r>
        <w:rPr>
          <w:color w:val="auto"/>
        </w:rPr>
        <w:t>⑧危险废物内部转运作业应采用专用的工具，危险废物内部转运应参照HJ2025-2012中的附录B填写《危险废物厂内转运记录表》。</w:t>
      </w:r>
    </w:p>
    <w:p>
      <w:pPr>
        <w:bidi w:val="0"/>
        <w:rPr>
          <w:color w:val="auto"/>
        </w:rPr>
      </w:pPr>
      <w:r>
        <w:rPr>
          <w:color w:val="auto"/>
        </w:rPr>
        <w:t>（4）危险废物的贮存</w:t>
      </w:r>
    </w:p>
    <w:p>
      <w:pPr>
        <w:bidi w:val="0"/>
        <w:rPr>
          <w:color w:val="auto"/>
        </w:rPr>
      </w:pPr>
      <w:r>
        <w:rPr>
          <w:color w:val="auto"/>
        </w:rPr>
        <w:t>危废库上设有防雨淋日晒设施，地面采取防渗和导流措施，把渗滤液导流入废水综合调节池；厂内设置封闭式的药剂仓库，按药剂性质分别贮存，废物收集后分别临时贮存于废物储罐内；根据生产需要合理设置贮存量，尽量减少厂内的物料贮存量；严禁将危险废物混入生活垃圾；堆放危险废物的地方要有明显的标志，堆放点要防雨、防渗、防漏，应按要求进行包装贮存。</w:t>
      </w:r>
    </w:p>
    <w:p>
      <w:pPr>
        <w:bidi w:val="0"/>
        <w:rPr>
          <w:color w:val="auto"/>
        </w:rPr>
      </w:pPr>
      <w:r>
        <w:rPr>
          <w:color w:val="auto"/>
        </w:rPr>
        <w:t>①危险废物贮存设施的选址、设计、建设、运行管理应满足GB18597、GBZ1和GBZ2的有关要求；</w:t>
      </w:r>
    </w:p>
    <w:p>
      <w:pPr>
        <w:bidi w:val="0"/>
        <w:rPr>
          <w:color w:val="auto"/>
        </w:rPr>
      </w:pPr>
      <w:r>
        <w:rPr>
          <w:color w:val="auto"/>
        </w:rPr>
        <w:t>②危险废物贮存设施应配备通讯设备、照明设施和消防设施；</w:t>
      </w:r>
    </w:p>
    <w:p>
      <w:pPr>
        <w:bidi w:val="0"/>
        <w:rPr>
          <w:color w:val="auto"/>
        </w:rPr>
      </w:pPr>
      <w:r>
        <w:rPr>
          <w:color w:val="auto"/>
        </w:rPr>
        <w:t>③贮存危险废物时应按危险废物的种类和特性进行分区贮存，每个贮存区域之间宜设置挡墙间隔，并应设置防雨、防火、防雷、防扬尘装置，要做到防风、防雨、防晒、防渗漏；</w:t>
      </w:r>
    </w:p>
    <w:p>
      <w:pPr>
        <w:bidi w:val="0"/>
        <w:rPr>
          <w:color w:val="auto"/>
        </w:rPr>
      </w:pPr>
      <w:r>
        <w:rPr>
          <w:color w:val="auto"/>
        </w:rPr>
        <w:t>④贮存易燃易爆危险废物应配置有机气体报警、火灾报警装置和导出静电的接地装置。</w:t>
      </w:r>
    </w:p>
    <w:p>
      <w:pPr>
        <w:bidi w:val="0"/>
        <w:rPr>
          <w:color w:val="auto"/>
        </w:rPr>
      </w:pPr>
      <w:r>
        <w:rPr>
          <w:color w:val="auto"/>
        </w:rPr>
        <w:t>（5）危险废物的运输</w:t>
      </w:r>
    </w:p>
    <w:p>
      <w:pPr>
        <w:bidi w:val="0"/>
        <w:rPr>
          <w:color w:val="auto"/>
        </w:rPr>
      </w:pPr>
      <w:r>
        <w:rPr>
          <w:color w:val="auto"/>
        </w:rPr>
        <w:t>对危险废物的运输要求安全可靠，要严格按照危险废物运输的管理规定进行危险废物的运输，减少运输过程中的二次污染和可能造成的环境风险，运输车辆需有特殊标志。</w:t>
      </w:r>
    </w:p>
    <w:p>
      <w:pPr>
        <w:bidi w:val="0"/>
        <w:rPr>
          <w:color w:val="auto"/>
        </w:rPr>
      </w:pPr>
      <w:r>
        <w:rPr>
          <w:color w:val="auto"/>
        </w:rPr>
        <w:t>（6）危险废物规范化管理措施：</w:t>
      </w:r>
    </w:p>
    <w:p>
      <w:pPr>
        <w:bidi w:val="0"/>
        <w:rPr>
          <w:color w:val="auto"/>
        </w:rPr>
      </w:pPr>
      <w:r>
        <w:rPr>
          <w:color w:val="auto"/>
        </w:rPr>
        <w:t>①根据管理台账和近年生产计划，制订危险废物管理计划，并报当地环保部门备案；</w:t>
      </w:r>
    </w:p>
    <w:p>
      <w:pPr>
        <w:bidi w:val="0"/>
        <w:rPr>
          <w:color w:val="auto"/>
        </w:rPr>
      </w:pPr>
      <w:r>
        <w:rPr>
          <w:color w:val="auto"/>
        </w:rPr>
        <w:t>②</w:t>
      </w:r>
      <w:r>
        <w:rPr>
          <w:rFonts w:hint="eastAsia" w:eastAsia="宋体"/>
          <w:color w:val="auto"/>
          <w:lang w:eastAsia="zh-CN"/>
        </w:rPr>
        <w:t>台账</w:t>
      </w:r>
      <w:r>
        <w:rPr>
          <w:color w:val="auto"/>
        </w:rPr>
        <w:t>应如实记载产生危险废物的种类、数量、利用、贮存、处置、流向等信息；</w:t>
      </w:r>
    </w:p>
    <w:p>
      <w:pPr>
        <w:bidi w:val="0"/>
        <w:rPr>
          <w:color w:val="auto"/>
        </w:rPr>
      </w:pPr>
      <w:r>
        <w:rPr>
          <w:color w:val="auto"/>
        </w:rPr>
        <w:t>③产生的危险废物实行分类收集后置于贮存设施内，贮存时限一般不得超过一年，并设专人管理；</w:t>
      </w:r>
    </w:p>
    <w:p>
      <w:pPr>
        <w:bidi w:val="0"/>
        <w:rPr>
          <w:color w:val="auto"/>
        </w:rPr>
      </w:pPr>
      <w:r>
        <w:rPr>
          <w:color w:val="auto"/>
        </w:rPr>
        <w:t>④盛装危险废物的容器和包装物以及产生、收集、贮存、运输、处置危险废物的场所，必须依法设置相应标识、警示标志和标签，标签上应注明贮存的废物类别、危害性以及开始贮存时间等内容；</w:t>
      </w:r>
    </w:p>
    <w:p>
      <w:pPr>
        <w:bidi w:val="0"/>
        <w:rPr>
          <w:color w:val="auto"/>
        </w:rPr>
      </w:pPr>
      <w:r>
        <w:rPr>
          <w:color w:val="auto"/>
        </w:rPr>
        <w:t>⑤建设单位必须严格执行危险废物转移计划报批和依法运行危险废物转移联单，并通过信息系统登记转移计划和电子转移联单；</w:t>
      </w:r>
    </w:p>
    <w:p>
      <w:pPr>
        <w:bidi w:val="0"/>
        <w:rPr>
          <w:color w:val="auto"/>
        </w:rPr>
      </w:pPr>
      <w:r>
        <w:rPr>
          <w:color w:val="auto"/>
        </w:rPr>
        <w:t>⑥建设单位还需健全产生单位内部管理制度，包括落实危险废物产生信息公开制度，建立员工培训和固体废物管理员制度，完善危险废物相关档案管理制度；建立和完善突发危险废物环境应急预案，并报当地环保部门备案。</w:t>
      </w:r>
    </w:p>
    <w:p>
      <w:pPr>
        <w:bidi w:val="0"/>
        <w:rPr>
          <w:color w:val="auto"/>
        </w:rPr>
      </w:pPr>
      <w:r>
        <w:rPr>
          <w:color w:val="auto"/>
        </w:rPr>
        <w:t>（7）医疗废物处理要求：按照《医疗废物管理条例》相关要求，委托资质公司进行专业处置。本项目医疗废物暂存间树立明确的标示牌，在医疗废物回收机构回收之前暂存项目产生的医疗废物，并且对暂存站用消毒剂冲洗和喷洒，医疗废物暂存间避免阳光直射，应当具备低温贮存或防腐条件，当温度高于25℃时，将固废进行低温贮存或进行防腐处理。另外，由于医疗废物是属于危险固废，具有高度传染性，因而在其储运过程中</w:t>
      </w:r>
      <w:r>
        <w:rPr>
          <w:rFonts w:hint="eastAsia" w:eastAsia="宋体"/>
          <w:color w:val="auto"/>
          <w:lang w:eastAsia="zh-CN"/>
        </w:rPr>
        <w:t>需注意</w:t>
      </w:r>
      <w:r>
        <w:rPr>
          <w:color w:val="auto"/>
        </w:rPr>
        <w:t>以下几点：</w:t>
      </w:r>
    </w:p>
    <w:p>
      <w:pPr>
        <w:bidi w:val="0"/>
        <w:rPr>
          <w:color w:val="auto"/>
        </w:rPr>
      </w:pPr>
      <w:r>
        <w:rPr>
          <w:color w:val="auto"/>
        </w:rPr>
        <w:t>①实验室及门诊须采用双层废物袋或可密封处理的聚丙烯塑料桶，针头等锐器不应和其他废物混放，使用后要稳妥安全地放入防漏、防刺的专用锐器容器中，锐器容器要求有盖，并做好明显的标识，防止转运人员被锐器划伤引起疾病感染；</w:t>
      </w:r>
    </w:p>
    <w:p>
      <w:pPr>
        <w:bidi w:val="0"/>
        <w:rPr>
          <w:color w:val="auto"/>
        </w:rPr>
      </w:pPr>
      <w:r>
        <w:rPr>
          <w:color w:val="auto"/>
        </w:rPr>
        <w:t>②对医疗废物必须按照卫生部和国家环境保护总局制定的《医疗废物分类目录》进行分类收集，并及时浸泡、消毒，废物袋的颜色为黄色，印有盛装医疗废物的文字说明和医疗废物警示标识，装满3/4后就应由专人密封清运至暂存间，废物袋口可用带子扎紧，禁止使用订书机之类的简易封口方式；</w:t>
      </w:r>
    </w:p>
    <w:p>
      <w:pPr>
        <w:bidi w:val="0"/>
        <w:rPr>
          <w:color w:val="auto"/>
        </w:rPr>
      </w:pPr>
      <w:r>
        <w:rPr>
          <w:color w:val="auto"/>
        </w:rPr>
        <w:t>③废物与存放点之间设计规定转运路径，以缩短废物通过的路线，要求使用专用手推车，要装卸方便、密封良好，废物袋破裂时不至于外漏，还要易于消毒和清洁；</w:t>
      </w:r>
    </w:p>
    <w:p>
      <w:pPr>
        <w:bidi w:val="0"/>
        <w:rPr>
          <w:color w:val="auto"/>
        </w:rPr>
      </w:pPr>
      <w:r>
        <w:rPr>
          <w:color w:val="auto"/>
        </w:rPr>
        <w:t>（8）医疗废物暂存要求：</w:t>
      </w:r>
    </w:p>
    <w:p>
      <w:pPr>
        <w:bidi w:val="0"/>
        <w:rPr>
          <w:color w:val="auto"/>
        </w:rPr>
      </w:pPr>
      <w:r>
        <w:rPr>
          <w:color w:val="auto"/>
        </w:rPr>
        <w:t>a.必须与生活垃圾存放地分开，有防雨淋的装置，地基高度应确保设施内不受雨洪冲击或浸泡；</w:t>
      </w:r>
    </w:p>
    <w:p>
      <w:pPr>
        <w:bidi w:val="0"/>
        <w:rPr>
          <w:color w:val="auto"/>
        </w:rPr>
      </w:pPr>
      <w:r>
        <w:rPr>
          <w:color w:val="auto"/>
        </w:rPr>
        <w:t>b.必须与医疗区和人员活动密集区隔开，方便医疗废物的装卸、装卸人员及运送车辆的出入；</w:t>
      </w:r>
    </w:p>
    <w:p>
      <w:pPr>
        <w:bidi w:val="0"/>
        <w:rPr>
          <w:color w:val="auto"/>
        </w:rPr>
      </w:pPr>
      <w:r>
        <w:rPr>
          <w:color w:val="auto"/>
        </w:rPr>
        <w:t>c.应有严密的封闭措施，设专人管理，避免非工作人员进出，以及防鼠、防蚊蝇、防蟑螂、防盗以及预防儿童接触等安全措施；</w:t>
      </w:r>
    </w:p>
    <w:p>
      <w:pPr>
        <w:bidi w:val="0"/>
        <w:rPr>
          <w:color w:val="auto"/>
        </w:rPr>
      </w:pPr>
      <w:r>
        <w:rPr>
          <w:color w:val="auto"/>
        </w:rPr>
        <w:t>d.地面和1.0m高的墙裙须进行防渗处理，地面有良好的排水性能，易于清洁和消毒，产生的废水应采用管道直接排入医疗卫生机构内的医疗废水消毒、处理系统，禁止将产生的废水直接排入外环境；</w:t>
      </w:r>
    </w:p>
    <w:p>
      <w:pPr>
        <w:bidi w:val="0"/>
        <w:rPr>
          <w:color w:val="auto"/>
        </w:rPr>
      </w:pPr>
      <w:r>
        <w:rPr>
          <w:color w:val="auto"/>
        </w:rPr>
        <w:t>e.库房外宜设有供水龙头，以供暂时贮存库房的清洗用；</w:t>
      </w:r>
    </w:p>
    <w:p>
      <w:pPr>
        <w:bidi w:val="0"/>
        <w:rPr>
          <w:color w:val="auto"/>
        </w:rPr>
      </w:pPr>
      <w:r>
        <w:rPr>
          <w:color w:val="auto"/>
        </w:rPr>
        <w:t>f.避免阳光直射库内，应有良好的照明设备和通风条件；</w:t>
      </w:r>
    </w:p>
    <w:p>
      <w:pPr>
        <w:bidi w:val="0"/>
        <w:rPr>
          <w:color w:val="auto"/>
        </w:rPr>
      </w:pPr>
      <w:r>
        <w:rPr>
          <w:color w:val="auto"/>
        </w:rPr>
        <w:t>g.库房内应张贴“禁止吸烟、饮食”的警示标识；</w:t>
      </w:r>
    </w:p>
    <w:p>
      <w:pPr>
        <w:bidi w:val="0"/>
        <w:rPr>
          <w:color w:val="auto"/>
        </w:rPr>
      </w:pPr>
      <w:r>
        <w:rPr>
          <w:color w:val="auto"/>
        </w:rPr>
        <w:t>h.应按GB15562.2和卫生、环保部门制定的专用医疗废物警示标识要求，在库房外的明显处同时设置危险废物和医疗废物的警示标识；</w:t>
      </w:r>
    </w:p>
    <w:p>
      <w:pPr>
        <w:bidi w:val="0"/>
        <w:rPr>
          <w:color w:val="auto"/>
        </w:rPr>
      </w:pPr>
      <w:r>
        <w:rPr>
          <w:color w:val="auto"/>
        </w:rPr>
        <w:t>i.应防止医疗废物在暂时贮存库房和专用暂时贮存柜（箱）中腐败散发恶臭，尽量做到日产日清，确实不能做到日产日清，且当地最高气温高于25℃时，应将医疗废物低温暂时贮存，暂时贮存温度应低于20℃，时间最长不超过48小时；</w:t>
      </w:r>
    </w:p>
    <w:p>
      <w:pPr>
        <w:bidi w:val="0"/>
        <w:rPr>
          <w:color w:val="auto"/>
        </w:rPr>
      </w:pPr>
      <w:r>
        <w:rPr>
          <w:color w:val="auto"/>
        </w:rPr>
        <w:t>j.医疗废物暂时贮存库房每天应在废物清运之后消毒冲洗，冲洗液应排入医疗卫生机构内的医疗废水消毒、处理系统，医疗废物暂时贮存库房每天应在废物清运之后消毒冲洗，冲洗液应排入医疗卫生机构内的医疗废水消毒、处理系统；</w:t>
      </w:r>
    </w:p>
    <w:p>
      <w:pPr>
        <w:bidi w:val="0"/>
        <w:rPr>
          <w:color w:val="auto"/>
        </w:rPr>
      </w:pPr>
      <w:r>
        <w:rPr>
          <w:color w:val="auto"/>
        </w:rPr>
        <w:t>k.医疗卫生机构交予处置的废物采用危险废物转移联单管理，设区的市环保部门对医疗废物转移计划进行审批，在医疗卫生机构、处置单位及运送方式变化后，应对医疗废物转移计划进行重新审批；</w:t>
      </w:r>
    </w:p>
    <w:p>
      <w:pPr>
        <w:bidi w:val="0"/>
        <w:rPr>
          <w:color w:val="auto"/>
        </w:rPr>
      </w:pPr>
      <w:r>
        <w:rPr>
          <w:color w:val="auto"/>
        </w:rPr>
        <w:t>l.《危险废物转移联单》（医疗废物专用）一式两份，每月一张，由处置单位医疗废物运送人员和医疗卫生机构医疗废物管理人员交接时共同填写，医疗卫生机构和处置单位分别保存，保存时间为5年；</w:t>
      </w:r>
    </w:p>
    <w:p>
      <w:pPr>
        <w:bidi w:val="0"/>
        <w:rPr>
          <w:color w:val="auto"/>
        </w:rPr>
      </w:pPr>
      <w:r>
        <w:rPr>
          <w:color w:val="auto"/>
        </w:rPr>
        <w:t>m.利器盒整体为硬制材料制成，密封，以保证利器盒在正常使用的情况下，盒内盛装的锐利器具不撒漏，利器盒一旦被封口，则无法在不破坏的情况下被再次打开，利器盒能防刺穿，其盛装的注射器针头、破碎玻璃片等锐利器具不能刺穿利器盒，满盛装量的利器盒从1.5m高处垂直跌落至水泥地面，连续3次，利器盒不会出现破裂、被刺穿等情况，利器盒易于焚烧，不得使用聚氯乙烯</w:t>
      </w:r>
      <w:r>
        <w:rPr>
          <w:rFonts w:hint="eastAsia" w:eastAsia="宋体"/>
          <w:color w:val="auto"/>
          <w:lang w:eastAsia="zh-CN"/>
        </w:rPr>
        <w:t>（</w:t>
      </w:r>
      <w:r>
        <w:rPr>
          <w:color w:val="auto"/>
        </w:rPr>
        <w:t>PVC</w:t>
      </w:r>
      <w:r>
        <w:rPr>
          <w:rFonts w:hint="eastAsia" w:eastAsia="宋体"/>
          <w:color w:val="auto"/>
          <w:lang w:eastAsia="zh-CN"/>
        </w:rPr>
        <w:t>）</w:t>
      </w:r>
      <w:r>
        <w:rPr>
          <w:color w:val="auto"/>
        </w:rPr>
        <w:t>塑料作为制造原材料，利器盒整体颜色为黄色，在盒体侧面注明“损伤性废物”，利器盒上应印制本规定医疗废物警示标识，利器盒规格尺寸可根据用户要求确定；</w:t>
      </w:r>
    </w:p>
    <w:p>
      <w:pPr>
        <w:bidi w:val="0"/>
        <w:rPr>
          <w:color w:val="auto"/>
        </w:rPr>
      </w:pPr>
      <w:r>
        <w:rPr>
          <w:color w:val="auto"/>
        </w:rPr>
        <w:t>n.周转箱整体为硬制材料，防液体渗漏，可一次性或多次重复使用，多次重复使用的周转箱（桶）应能被快速消毒或清洗，周转箱（桶）整体为黄色，外表面应印（喷）制医疗废物警示标识和文字说明。</w:t>
      </w:r>
    </w:p>
    <w:p>
      <w:pPr>
        <w:bidi w:val="0"/>
        <w:rPr>
          <w:color w:val="auto"/>
        </w:rPr>
      </w:pPr>
      <w:r>
        <w:rPr>
          <w:color w:val="auto"/>
        </w:rPr>
        <w:t>（9）本项目必须严格遵守《医疗废物管理条例》中的禁止性规定：a、禁止任何单位和个人转让、买卖医疗废物；b、禁止在运送过程中丢弃医疗废物；c、禁止在非贮存地点倾倒、堆放医疗废物或者将医疗废物混入其他废物和生活垃圾；d、禁止邮寄医疗废物；e、禁止通过铁路、航空运输医疗废物；f、禁止在饮用水源保护区的水体上运输医疗废物。</w:t>
      </w:r>
    </w:p>
    <w:p>
      <w:pPr>
        <w:bidi w:val="0"/>
        <w:rPr>
          <w:color w:val="auto"/>
        </w:rPr>
      </w:pPr>
      <w:r>
        <w:rPr>
          <w:color w:val="auto"/>
        </w:rPr>
        <w:t>综上，本项目采取将生活垃圾和危险废物及医疗废物分开收集、存放的原则，对各种固体废物进行分类堆放处理；只要建设单位加强管理，严格按照相关法规对产生的固体废物进行分类、收集、消毒、无害化处理，并对代处理单位进行必要的监督，则本项目产生的固废不会对周围环境造成太大影响。</w:t>
      </w:r>
    </w:p>
    <w:p>
      <w:pPr>
        <w:rPr>
          <w:rFonts w:hint="default"/>
          <w:color w:val="auto"/>
          <w:lang w:val="en-US" w:eastAsia="zh-CN"/>
        </w:rPr>
      </w:pPr>
      <w:r>
        <w:rPr>
          <w:rFonts w:hint="default"/>
          <w:color w:val="auto"/>
          <w:lang w:val="en-US" w:eastAsia="zh-CN"/>
        </w:rPr>
        <w:br w:type="page"/>
      </w:r>
    </w:p>
    <w:p>
      <w:pPr>
        <w:pStyle w:val="4"/>
        <w:bidi w:val="0"/>
        <w:rPr>
          <w:color w:val="auto"/>
        </w:rPr>
      </w:pPr>
      <w:bookmarkStart w:id="120" w:name="_Toc18822"/>
      <w:r>
        <w:rPr>
          <w:color w:val="auto"/>
        </w:rPr>
        <w:t>7环境影响经济损益分析</w:t>
      </w:r>
      <w:bookmarkEnd w:id="120"/>
    </w:p>
    <w:p>
      <w:pPr>
        <w:spacing w:before="275" w:line="360" w:lineRule="auto"/>
        <w:ind w:left="122" w:right="112" w:firstLine="480"/>
        <w:rPr>
          <w:rFonts w:ascii="宋体" w:hAnsi="宋体" w:eastAsia="宋体" w:cs="宋体"/>
          <w:color w:val="auto"/>
          <w:sz w:val="24"/>
          <w:szCs w:val="24"/>
        </w:rPr>
      </w:pPr>
      <w:bookmarkStart w:id="121" w:name="_bookmark29"/>
      <w:bookmarkEnd w:id="121"/>
      <w:r>
        <w:rPr>
          <w:rFonts w:ascii="宋体" w:hAnsi="宋体" w:eastAsia="宋体" w:cs="宋体"/>
          <w:color w:val="auto"/>
          <w:spacing w:val="-4"/>
          <w:sz w:val="24"/>
          <w:szCs w:val="24"/>
        </w:rPr>
        <w:t>环境影响经济损益分析是环境影响评价的一项重要内容，设置的目的在于衡</w:t>
      </w:r>
      <w:r>
        <w:rPr>
          <w:rFonts w:ascii="宋体" w:hAnsi="宋体" w:eastAsia="宋体" w:cs="宋体"/>
          <w:color w:val="auto"/>
          <w:spacing w:val="-3"/>
          <w:sz w:val="24"/>
          <w:szCs w:val="24"/>
        </w:rPr>
        <w:t>量建设项目所需投入的环保投资和能收到的环保效果，以评价拟建项目的环境经济可行性。因而在环境经济损益分析中除计算用于控制污染所需投资费用外，</w:t>
      </w:r>
      <w:r>
        <w:rPr>
          <w:rFonts w:hint="eastAsia" w:ascii="宋体" w:hAnsi="宋体" w:eastAsia="宋体" w:cs="宋体"/>
          <w:color w:val="auto"/>
          <w:spacing w:val="-3"/>
          <w:sz w:val="24"/>
          <w:szCs w:val="24"/>
          <w:lang w:eastAsia="zh-CN"/>
        </w:rPr>
        <w:t>同时</w:t>
      </w:r>
      <w:r>
        <w:rPr>
          <w:rFonts w:ascii="宋体" w:hAnsi="宋体" w:eastAsia="宋体" w:cs="宋体"/>
          <w:color w:val="auto"/>
          <w:spacing w:val="-3"/>
          <w:sz w:val="24"/>
          <w:szCs w:val="24"/>
        </w:rPr>
        <w:t>还需估算可能收到的环境与经济效益，以实现扩大生产、提高经济效益的同时</w:t>
      </w:r>
      <w:r>
        <w:rPr>
          <w:rFonts w:ascii="宋体" w:hAnsi="宋体" w:eastAsia="宋体" w:cs="宋体"/>
          <w:color w:val="auto"/>
          <w:spacing w:val="-1"/>
          <w:sz w:val="24"/>
          <w:szCs w:val="24"/>
        </w:rPr>
        <w:t>不至于造成区域环境污染，做到经济效益、社会效益和环境效益的协调发展。</w:t>
      </w:r>
    </w:p>
    <w:p>
      <w:pPr>
        <w:pStyle w:val="5"/>
        <w:bidi w:val="0"/>
        <w:outlineLvl w:val="0"/>
        <w:rPr>
          <w:rFonts w:hint="default"/>
          <w:color w:val="auto"/>
          <w:lang w:val="en-US" w:eastAsia="zh-CN"/>
        </w:rPr>
      </w:pPr>
      <w:bookmarkStart w:id="122" w:name="_Toc12744"/>
      <w:r>
        <w:rPr>
          <w:rFonts w:hint="eastAsia"/>
          <w:color w:val="auto"/>
          <w:lang w:val="en-US" w:eastAsia="zh-CN"/>
        </w:rPr>
        <w:t>7.1</w:t>
      </w:r>
      <w:r>
        <w:rPr>
          <w:color w:val="auto"/>
        </w:rPr>
        <w:t>环境经济损益分析的目的</w:t>
      </w:r>
      <w:bookmarkEnd w:id="122"/>
    </w:p>
    <w:p>
      <w:pPr>
        <w:bidi w:val="0"/>
        <w:rPr>
          <w:color w:val="auto"/>
        </w:rPr>
      </w:pPr>
      <w:r>
        <w:rPr>
          <w:color w:val="auto"/>
        </w:rPr>
        <w:t>建设项目环境影响评价有两个基本目标，一是要揭示建设项目所引起的环境影响，协调项目建设与环境目标一致的问题，二是要</w:t>
      </w:r>
      <w:r>
        <w:rPr>
          <w:rFonts w:hint="eastAsia"/>
          <w:color w:val="auto"/>
          <w:lang w:eastAsia="zh-CN"/>
        </w:rPr>
        <w:t>科学地评价</w:t>
      </w:r>
      <w:r>
        <w:rPr>
          <w:color w:val="auto"/>
        </w:rPr>
        <w:t>建设项目所产生的经济效益和社会效益，包括对环境不利和有利因子的分析，在效益分析中，考虑直接效益（经济效益）和间接效益（社会效益、环境效益）。因此在建设项目的环境影响评价工作中，除首先应注意那些由于污染对环境造成的影响外，还应同时开展社会经济效益分析，把提高社会经济效益作为环境影响评价的一个出发点，把环境资源作为一种经济实体来对待，选择合理的开发方式、开发力度和环境保护措施，一方面尽可能使建设项目获得显著的经济效益，另一方面付出的环境代价要小。</w:t>
      </w:r>
    </w:p>
    <w:p>
      <w:pPr>
        <w:bidi w:val="0"/>
        <w:rPr>
          <w:color w:val="auto"/>
        </w:rPr>
      </w:pPr>
      <w:r>
        <w:rPr>
          <w:color w:val="auto"/>
        </w:rPr>
        <w:t>结合本项目的实际情况，疾病防控是卫生领域基础性工作，疾病防控体系的建立健全是长效机制。疾病防控机构由政府财政出资建设，作为公共卫生资源，以其纯公益性质由全体市民共享，本项目作为社会公益性事业单位，它的能力提升建设具有较好的社会效益和间接的经济效益。</w:t>
      </w:r>
    </w:p>
    <w:p>
      <w:pPr>
        <w:pStyle w:val="5"/>
        <w:bidi w:val="0"/>
        <w:outlineLvl w:val="0"/>
        <w:rPr>
          <w:color w:val="auto"/>
        </w:rPr>
      </w:pPr>
      <w:bookmarkStart w:id="123" w:name="_Toc28032"/>
      <w:r>
        <w:rPr>
          <w:color w:val="auto"/>
        </w:rPr>
        <w:t>7.</w:t>
      </w:r>
      <w:r>
        <w:rPr>
          <w:rFonts w:hint="eastAsia"/>
          <w:color w:val="auto"/>
          <w:lang w:val="en-US" w:eastAsia="zh-CN"/>
        </w:rPr>
        <w:t>2</w:t>
      </w:r>
      <w:r>
        <w:rPr>
          <w:color w:val="auto"/>
        </w:rPr>
        <w:t>环境投资估算</w:t>
      </w:r>
      <w:bookmarkEnd w:id="123"/>
    </w:p>
    <w:p>
      <w:pPr>
        <w:bidi w:val="0"/>
        <w:rPr>
          <w:color w:val="auto"/>
          <w:highlight w:val="none"/>
        </w:rPr>
      </w:pPr>
      <w:r>
        <w:rPr>
          <w:color w:val="auto"/>
          <w:highlight w:val="none"/>
        </w:rPr>
        <w:t>项目总投资为</w:t>
      </w:r>
      <w:r>
        <w:rPr>
          <w:rFonts w:hint="eastAsia"/>
          <w:color w:val="auto"/>
          <w:highlight w:val="none"/>
          <w:lang w:val="en-US" w:eastAsia="zh-CN"/>
        </w:rPr>
        <w:t>176</w:t>
      </w:r>
      <w:r>
        <w:rPr>
          <w:color w:val="auto"/>
          <w:highlight w:val="none"/>
        </w:rPr>
        <w:t>万元，其中环保投资为</w:t>
      </w:r>
      <w:r>
        <w:rPr>
          <w:rFonts w:hint="eastAsia"/>
          <w:color w:val="auto"/>
          <w:highlight w:val="none"/>
          <w:lang w:val="en-US" w:eastAsia="zh-CN"/>
        </w:rPr>
        <w:t>40</w:t>
      </w:r>
      <w:r>
        <w:rPr>
          <w:color w:val="auto"/>
          <w:highlight w:val="none"/>
        </w:rPr>
        <w:t>万元，约占总投资的</w:t>
      </w:r>
      <w:r>
        <w:rPr>
          <w:rFonts w:hint="eastAsia"/>
          <w:color w:val="auto"/>
          <w:highlight w:val="none"/>
          <w:lang w:val="en-US" w:eastAsia="zh-CN"/>
        </w:rPr>
        <w:t>22.72</w:t>
      </w:r>
      <w:r>
        <w:rPr>
          <w:color w:val="auto"/>
          <w:highlight w:val="none"/>
        </w:rPr>
        <w:t>%。环保投资估算详见表7.</w:t>
      </w:r>
      <w:r>
        <w:rPr>
          <w:rFonts w:hint="eastAsia"/>
          <w:color w:val="auto"/>
          <w:highlight w:val="none"/>
          <w:lang w:val="en-US" w:eastAsia="zh-CN"/>
        </w:rPr>
        <w:t>2</w:t>
      </w:r>
      <w:r>
        <w:rPr>
          <w:color w:val="auto"/>
          <w:highlight w:val="none"/>
        </w:rPr>
        <w:t>-1。</w:t>
      </w:r>
    </w:p>
    <w:p>
      <w:pPr>
        <w:pStyle w:val="22"/>
        <w:bidi w:val="0"/>
        <w:rPr>
          <w:b/>
          <w:bCs/>
          <w:color w:val="auto"/>
          <w:highlight w:val="none"/>
        </w:rPr>
      </w:pPr>
      <w:r>
        <w:rPr>
          <w:b/>
          <w:bCs/>
          <w:color w:val="auto"/>
          <w:highlight w:val="none"/>
        </w:rPr>
        <w:t>表7.</w:t>
      </w:r>
      <w:r>
        <w:rPr>
          <w:rFonts w:hint="eastAsia"/>
          <w:b/>
          <w:bCs/>
          <w:color w:val="auto"/>
          <w:highlight w:val="none"/>
          <w:lang w:val="en-US" w:eastAsia="zh-CN"/>
        </w:rPr>
        <w:t>2</w:t>
      </w:r>
      <w:r>
        <w:rPr>
          <w:b/>
          <w:bCs/>
          <w:color w:val="auto"/>
          <w:highlight w:val="none"/>
        </w:rPr>
        <w:t>-1项目环境保护投资</w:t>
      </w:r>
    </w:p>
    <w:tbl>
      <w:tblPr>
        <w:tblStyle w:val="23"/>
        <w:tblW w:w="8521"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48"/>
        <w:gridCol w:w="1437"/>
        <w:gridCol w:w="5222"/>
        <w:gridCol w:w="121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648" w:type="dxa"/>
            <w:tcBorders>
              <w:tl2br w:val="nil"/>
              <w:tr2bl w:val="nil"/>
            </w:tcBorders>
            <w:vAlign w:val="center"/>
          </w:tcPr>
          <w:p>
            <w:pPr>
              <w:widowControl w:val="0"/>
              <w:bidi w:val="0"/>
              <w:spacing w:line="240" w:lineRule="auto"/>
              <w:ind w:firstLine="0" w:firstLineChars="0"/>
              <w:jc w:val="center"/>
              <w:rPr>
                <w:rFonts w:ascii="Times New Roman" w:hAnsi="Times New Roman" w:eastAsia="宋体" w:cstheme="minorBidi"/>
                <w:b/>
                <w:bCs/>
                <w:color w:val="auto"/>
                <w:kern w:val="2"/>
                <w:sz w:val="21"/>
                <w:szCs w:val="21"/>
                <w:lang w:val="en-US" w:eastAsia="zh-CN" w:bidi="ar-SA"/>
              </w:rPr>
            </w:pPr>
            <w:r>
              <w:rPr>
                <w:rFonts w:ascii="Times New Roman" w:hAnsi="Times New Roman" w:eastAsia="宋体" w:cstheme="minorBidi"/>
                <w:b/>
                <w:bCs/>
                <w:color w:val="auto"/>
                <w:kern w:val="2"/>
                <w:sz w:val="21"/>
                <w:szCs w:val="21"/>
                <w:lang w:val="en-US" w:eastAsia="zh-CN" w:bidi="ar-SA"/>
              </w:rPr>
              <w:t>时段</w:t>
            </w:r>
          </w:p>
        </w:tc>
        <w:tc>
          <w:tcPr>
            <w:tcW w:w="1437" w:type="dxa"/>
            <w:tcBorders>
              <w:tl2br w:val="nil"/>
              <w:tr2bl w:val="nil"/>
            </w:tcBorders>
            <w:vAlign w:val="center"/>
          </w:tcPr>
          <w:p>
            <w:pPr>
              <w:widowControl w:val="0"/>
              <w:bidi w:val="0"/>
              <w:spacing w:line="240" w:lineRule="auto"/>
              <w:ind w:firstLine="0" w:firstLineChars="0"/>
              <w:jc w:val="center"/>
              <w:rPr>
                <w:rFonts w:ascii="Times New Roman" w:hAnsi="Times New Roman" w:eastAsia="宋体" w:cstheme="minorBidi"/>
                <w:b/>
                <w:bCs/>
                <w:color w:val="auto"/>
                <w:kern w:val="2"/>
                <w:sz w:val="21"/>
                <w:szCs w:val="21"/>
                <w:lang w:val="en-US" w:eastAsia="zh-CN" w:bidi="ar-SA"/>
              </w:rPr>
            </w:pPr>
            <w:r>
              <w:rPr>
                <w:rFonts w:ascii="Times New Roman" w:hAnsi="Times New Roman" w:eastAsia="宋体" w:cstheme="minorBidi"/>
                <w:b/>
                <w:bCs/>
                <w:color w:val="auto"/>
                <w:kern w:val="2"/>
                <w:sz w:val="21"/>
                <w:szCs w:val="21"/>
                <w:lang w:val="en-US" w:eastAsia="zh-CN" w:bidi="ar-SA"/>
              </w:rPr>
              <w:t>项目</w:t>
            </w:r>
          </w:p>
        </w:tc>
        <w:tc>
          <w:tcPr>
            <w:tcW w:w="5222" w:type="dxa"/>
            <w:tcBorders>
              <w:tl2br w:val="nil"/>
              <w:tr2bl w:val="nil"/>
            </w:tcBorders>
            <w:vAlign w:val="center"/>
          </w:tcPr>
          <w:p>
            <w:pPr>
              <w:widowControl w:val="0"/>
              <w:bidi w:val="0"/>
              <w:spacing w:line="240" w:lineRule="auto"/>
              <w:ind w:firstLine="0" w:firstLineChars="0"/>
              <w:jc w:val="center"/>
              <w:rPr>
                <w:rFonts w:ascii="Times New Roman" w:hAnsi="Times New Roman" w:eastAsia="宋体" w:cstheme="minorBidi"/>
                <w:b/>
                <w:bCs/>
                <w:color w:val="auto"/>
                <w:kern w:val="2"/>
                <w:sz w:val="21"/>
                <w:szCs w:val="21"/>
                <w:lang w:val="en-US" w:eastAsia="zh-CN" w:bidi="ar-SA"/>
              </w:rPr>
            </w:pPr>
            <w:r>
              <w:rPr>
                <w:rFonts w:ascii="Times New Roman" w:hAnsi="Times New Roman" w:eastAsia="宋体" w:cstheme="minorBidi"/>
                <w:b/>
                <w:bCs/>
                <w:color w:val="auto"/>
                <w:kern w:val="2"/>
                <w:sz w:val="21"/>
                <w:szCs w:val="21"/>
                <w:lang w:val="en-US" w:eastAsia="zh-CN" w:bidi="ar-SA"/>
              </w:rPr>
              <w:t>主要内容</w:t>
            </w:r>
          </w:p>
        </w:tc>
        <w:tc>
          <w:tcPr>
            <w:tcW w:w="1214" w:type="dxa"/>
            <w:tcBorders>
              <w:tl2br w:val="nil"/>
              <w:tr2bl w:val="nil"/>
            </w:tcBorders>
            <w:vAlign w:val="center"/>
          </w:tcPr>
          <w:p>
            <w:pPr>
              <w:widowControl w:val="0"/>
              <w:bidi w:val="0"/>
              <w:spacing w:line="240" w:lineRule="auto"/>
              <w:ind w:firstLine="0" w:firstLineChars="0"/>
              <w:jc w:val="center"/>
              <w:rPr>
                <w:rFonts w:ascii="Times New Roman" w:hAnsi="Times New Roman" w:eastAsia="宋体" w:cstheme="minorBidi"/>
                <w:b/>
                <w:bCs/>
                <w:color w:val="auto"/>
                <w:kern w:val="2"/>
                <w:sz w:val="21"/>
                <w:szCs w:val="21"/>
                <w:lang w:val="en-US" w:eastAsia="zh-CN" w:bidi="ar-SA"/>
              </w:rPr>
            </w:pPr>
            <w:r>
              <w:rPr>
                <w:rFonts w:ascii="Times New Roman" w:hAnsi="Times New Roman" w:eastAsia="宋体" w:cstheme="minorBidi"/>
                <w:b/>
                <w:bCs/>
                <w:color w:val="auto"/>
                <w:kern w:val="2"/>
                <w:sz w:val="21"/>
                <w:szCs w:val="21"/>
                <w:lang w:val="en-US" w:eastAsia="zh-CN" w:bidi="ar-SA"/>
              </w:rPr>
              <w:t>投资</w:t>
            </w:r>
            <w:r>
              <w:rPr>
                <w:rFonts w:hint="eastAsia" w:ascii="Times New Roman" w:hAnsi="Times New Roman" w:eastAsia="宋体" w:cstheme="minorBidi"/>
                <w:b/>
                <w:bCs/>
                <w:color w:val="auto"/>
                <w:kern w:val="2"/>
                <w:sz w:val="21"/>
                <w:szCs w:val="21"/>
                <w:lang w:val="en-US" w:eastAsia="zh-CN" w:bidi="ar-SA"/>
              </w:rPr>
              <w:t>（</w:t>
            </w:r>
            <w:r>
              <w:rPr>
                <w:rFonts w:ascii="Times New Roman" w:hAnsi="Times New Roman" w:eastAsia="宋体" w:cstheme="minorBidi"/>
                <w:b/>
                <w:bCs/>
                <w:color w:val="auto"/>
                <w:kern w:val="2"/>
                <w:sz w:val="21"/>
                <w:szCs w:val="21"/>
                <w:lang w:val="en-US" w:eastAsia="zh-CN" w:bidi="ar-SA"/>
              </w:rPr>
              <w:t>万元</w:t>
            </w:r>
            <w:r>
              <w:rPr>
                <w:rFonts w:hint="eastAsia" w:ascii="Times New Roman" w:hAnsi="Times New Roman" w:eastAsia="宋体" w:cstheme="minorBidi"/>
                <w:b/>
                <w:bCs/>
                <w:color w:val="auto"/>
                <w:kern w:val="2"/>
                <w:sz w:val="21"/>
                <w:szCs w:val="21"/>
                <w:lang w:val="en-US" w:eastAsia="zh-CN" w:bidi="ar-SA"/>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648" w:type="dxa"/>
            <w:vMerge w:val="restart"/>
            <w:tcBorders>
              <w:tl2br w:val="nil"/>
              <w:tr2bl w:val="nil"/>
            </w:tcBorders>
            <w:textDirection w:val="tbRlV"/>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r>
              <w:rPr>
                <w:rFonts w:ascii="Times New Roman" w:hAnsi="Times New Roman" w:eastAsia="宋体" w:cstheme="minorBidi"/>
                <w:color w:val="auto"/>
                <w:kern w:val="2"/>
                <w:sz w:val="21"/>
                <w:szCs w:val="21"/>
                <w:lang w:val="en-US" w:eastAsia="zh-CN" w:bidi="ar-SA"/>
              </w:rPr>
              <w:t>运营期</w:t>
            </w:r>
          </w:p>
        </w:tc>
        <w:tc>
          <w:tcPr>
            <w:tcW w:w="1437" w:type="dxa"/>
            <w:vMerge w:val="restart"/>
            <w:tcBorders>
              <w:tl2br w:val="nil"/>
              <w:tr2bl w:val="nil"/>
            </w:tcBorders>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r>
              <w:rPr>
                <w:rFonts w:ascii="Times New Roman" w:hAnsi="Times New Roman" w:eastAsia="宋体" w:cstheme="minorBidi"/>
                <w:color w:val="auto"/>
                <w:kern w:val="2"/>
                <w:sz w:val="21"/>
                <w:szCs w:val="21"/>
                <w:lang w:val="en-US" w:eastAsia="zh-CN" w:bidi="ar-SA"/>
              </w:rPr>
              <w:t>废气治理</w:t>
            </w:r>
          </w:p>
        </w:tc>
        <w:tc>
          <w:tcPr>
            <w:tcW w:w="5222" w:type="dxa"/>
            <w:tcBorders>
              <w:tl2br w:val="nil"/>
              <w:tr2bl w:val="nil"/>
            </w:tcBorders>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r>
              <w:rPr>
                <w:rFonts w:ascii="Times New Roman" w:hAnsi="Times New Roman" w:eastAsia="宋体" w:cstheme="minorBidi"/>
                <w:color w:val="auto"/>
                <w:kern w:val="2"/>
                <w:sz w:val="21"/>
                <w:szCs w:val="21"/>
                <w:lang w:val="en-US" w:eastAsia="zh-CN" w:bidi="ar-SA"/>
              </w:rPr>
              <w:t>污水处理站恶臭活性炭吸附；无组织排放</w:t>
            </w:r>
          </w:p>
        </w:tc>
        <w:tc>
          <w:tcPr>
            <w:tcW w:w="1214" w:type="dxa"/>
            <w:tcBorders>
              <w:tl2br w:val="nil"/>
              <w:tr2bl w:val="nil"/>
            </w:tcBorders>
            <w:vAlign w:val="center"/>
          </w:tcPr>
          <w:p>
            <w:pPr>
              <w:widowControl w:val="0"/>
              <w:bidi w:val="0"/>
              <w:spacing w:line="240" w:lineRule="auto"/>
              <w:ind w:firstLine="0" w:firstLineChars="0"/>
              <w:jc w:val="center"/>
              <w:rPr>
                <w:rFonts w:hint="default" w:ascii="Times New Roman" w:hAnsi="Times New Roman" w:eastAsia="宋体" w:cstheme="minorBidi"/>
                <w:color w:val="auto"/>
                <w:kern w:val="2"/>
                <w:sz w:val="21"/>
                <w:szCs w:val="21"/>
                <w:lang w:val="en-US" w:eastAsia="zh-CN" w:bidi="ar-SA"/>
              </w:rPr>
            </w:pPr>
            <w:r>
              <w:rPr>
                <w:rFonts w:hint="eastAsia" w:cstheme="minorBidi"/>
                <w:color w:val="auto"/>
                <w:kern w:val="2"/>
                <w:sz w:val="21"/>
                <w:szCs w:val="21"/>
                <w:lang w:val="en-US" w:eastAsia="zh-CN" w:bidi="ar-SA"/>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8" w:hRule="atLeast"/>
        </w:trPr>
        <w:tc>
          <w:tcPr>
            <w:tcW w:w="648" w:type="dxa"/>
            <w:vMerge w:val="continue"/>
            <w:tcBorders>
              <w:tl2br w:val="nil"/>
              <w:tr2bl w:val="nil"/>
            </w:tcBorders>
            <w:textDirection w:val="tbRlV"/>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p>
        </w:tc>
        <w:tc>
          <w:tcPr>
            <w:tcW w:w="1437" w:type="dxa"/>
            <w:vMerge w:val="continue"/>
            <w:tcBorders>
              <w:tl2br w:val="nil"/>
              <w:tr2bl w:val="nil"/>
            </w:tcBorders>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p>
        </w:tc>
        <w:tc>
          <w:tcPr>
            <w:tcW w:w="5222" w:type="dxa"/>
            <w:tcBorders>
              <w:tl2br w:val="nil"/>
              <w:tr2bl w:val="nil"/>
            </w:tcBorders>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r>
              <w:rPr>
                <w:rFonts w:ascii="Times New Roman" w:hAnsi="Times New Roman" w:eastAsia="宋体" w:cstheme="minorBidi"/>
                <w:color w:val="auto"/>
                <w:kern w:val="2"/>
                <w:sz w:val="21"/>
                <w:szCs w:val="21"/>
                <w:lang w:val="en-US" w:eastAsia="zh-CN" w:bidi="ar-SA"/>
              </w:rPr>
              <w:t>理化实验室集气罩收集</w:t>
            </w:r>
            <w:r>
              <w:rPr>
                <w:rFonts w:hint="eastAsia" w:ascii="Times New Roman" w:hAnsi="Times New Roman" w:eastAsia="宋体" w:cstheme="minorBidi"/>
                <w:color w:val="auto"/>
                <w:kern w:val="2"/>
                <w:sz w:val="21"/>
                <w:szCs w:val="21"/>
                <w:lang w:val="en-US" w:eastAsia="zh-CN" w:bidi="ar-SA"/>
              </w:rPr>
              <w:t>+</w:t>
            </w:r>
            <w:r>
              <w:rPr>
                <w:rFonts w:ascii="Times New Roman" w:hAnsi="Times New Roman" w:eastAsia="宋体" w:cstheme="minorBidi"/>
                <w:color w:val="auto"/>
                <w:kern w:val="2"/>
                <w:sz w:val="21"/>
                <w:szCs w:val="21"/>
                <w:lang w:val="en-US" w:eastAsia="zh-CN" w:bidi="ar-SA"/>
              </w:rPr>
              <w:t>专用电控风道外排</w:t>
            </w:r>
          </w:p>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r>
              <w:rPr>
                <w:rFonts w:ascii="Times New Roman" w:hAnsi="Times New Roman" w:eastAsia="宋体" w:cstheme="minorBidi"/>
                <w:color w:val="auto"/>
                <w:kern w:val="2"/>
                <w:sz w:val="21"/>
                <w:szCs w:val="21"/>
                <w:lang w:val="en-US" w:eastAsia="zh-CN" w:bidi="ar-SA"/>
              </w:rPr>
              <w:t>微生物实验室与病原微生物有关的实验在生物安全柜</w:t>
            </w:r>
          </w:p>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r>
              <w:rPr>
                <w:rFonts w:ascii="Times New Roman" w:hAnsi="Times New Roman" w:eastAsia="宋体" w:cstheme="minorBidi"/>
                <w:color w:val="auto"/>
                <w:kern w:val="2"/>
                <w:sz w:val="21"/>
                <w:szCs w:val="21"/>
                <w:lang w:val="en-US" w:eastAsia="zh-CN" w:bidi="ar-SA"/>
              </w:rPr>
              <w:t>内操作</w:t>
            </w:r>
          </w:p>
        </w:tc>
        <w:tc>
          <w:tcPr>
            <w:tcW w:w="1214" w:type="dxa"/>
            <w:vMerge w:val="restart"/>
            <w:tcBorders>
              <w:tl2br w:val="nil"/>
              <w:tr2bl w:val="nil"/>
            </w:tcBorders>
            <w:vAlign w:val="center"/>
          </w:tcPr>
          <w:p>
            <w:pPr>
              <w:widowControl w:val="0"/>
              <w:bidi w:val="0"/>
              <w:spacing w:line="240" w:lineRule="auto"/>
              <w:ind w:firstLine="0" w:firstLineChars="0"/>
              <w:jc w:val="center"/>
              <w:rPr>
                <w:rFonts w:hint="eastAsia" w:ascii="Times New Roman" w:hAnsi="Times New Roman" w:eastAsia="宋体" w:cstheme="minorBidi"/>
                <w:color w:val="auto"/>
                <w:kern w:val="2"/>
                <w:sz w:val="21"/>
                <w:szCs w:val="21"/>
                <w:lang w:val="en-US" w:eastAsia="zh-CN" w:bidi="ar-SA"/>
              </w:rPr>
            </w:pPr>
            <w:r>
              <w:rPr>
                <w:rFonts w:hint="eastAsia" w:cstheme="minorBidi"/>
                <w:color w:val="auto"/>
                <w:kern w:val="2"/>
                <w:sz w:val="21"/>
                <w:szCs w:val="21"/>
                <w:lang w:val="en-US" w:eastAsia="zh-CN" w:bidi="ar-SA"/>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 w:hRule="atLeast"/>
        </w:trPr>
        <w:tc>
          <w:tcPr>
            <w:tcW w:w="648" w:type="dxa"/>
            <w:vMerge w:val="continue"/>
            <w:tcBorders>
              <w:tl2br w:val="nil"/>
              <w:tr2bl w:val="nil"/>
            </w:tcBorders>
            <w:textDirection w:val="tbRlV"/>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p>
        </w:tc>
        <w:tc>
          <w:tcPr>
            <w:tcW w:w="1437" w:type="dxa"/>
            <w:vMerge w:val="continue"/>
            <w:tcBorders>
              <w:tl2br w:val="nil"/>
              <w:tr2bl w:val="nil"/>
            </w:tcBorders>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p>
        </w:tc>
        <w:tc>
          <w:tcPr>
            <w:tcW w:w="5222" w:type="dxa"/>
            <w:tcBorders>
              <w:tl2br w:val="nil"/>
              <w:tr2bl w:val="nil"/>
            </w:tcBorders>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r>
              <w:rPr>
                <w:rFonts w:ascii="Times New Roman" w:hAnsi="Times New Roman" w:eastAsia="宋体" w:cstheme="minorBidi"/>
                <w:color w:val="auto"/>
                <w:kern w:val="2"/>
                <w:sz w:val="21"/>
                <w:szCs w:val="21"/>
                <w:lang w:val="en-US" w:eastAsia="zh-CN" w:bidi="ar-SA"/>
              </w:rPr>
              <w:t>室理化实验室废气收集设施末端加设活性炭吸附装置</w:t>
            </w:r>
          </w:p>
        </w:tc>
        <w:tc>
          <w:tcPr>
            <w:tcW w:w="1214" w:type="dxa"/>
            <w:vMerge w:val="continue"/>
            <w:tcBorders>
              <w:tl2br w:val="nil"/>
              <w:tr2bl w:val="nil"/>
            </w:tcBorders>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48" w:type="dxa"/>
            <w:vMerge w:val="continue"/>
            <w:tcBorders>
              <w:tl2br w:val="nil"/>
              <w:tr2bl w:val="nil"/>
            </w:tcBorders>
            <w:textDirection w:val="tbRlV"/>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p>
        </w:tc>
        <w:tc>
          <w:tcPr>
            <w:tcW w:w="1437" w:type="dxa"/>
            <w:vMerge w:val="continue"/>
            <w:tcBorders>
              <w:tl2br w:val="nil"/>
              <w:tr2bl w:val="nil"/>
            </w:tcBorders>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p>
        </w:tc>
        <w:tc>
          <w:tcPr>
            <w:tcW w:w="5222" w:type="dxa"/>
            <w:tcBorders>
              <w:tl2br w:val="nil"/>
              <w:tr2bl w:val="nil"/>
            </w:tcBorders>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r>
              <w:rPr>
                <w:rFonts w:ascii="Times New Roman" w:hAnsi="Times New Roman" w:eastAsia="宋体" w:cstheme="minorBidi"/>
                <w:color w:val="auto"/>
                <w:kern w:val="2"/>
                <w:sz w:val="21"/>
                <w:szCs w:val="21"/>
                <w:lang w:val="en-US" w:eastAsia="zh-CN" w:bidi="ar-SA"/>
              </w:rPr>
              <w:t>消毒异味机械通风</w:t>
            </w:r>
          </w:p>
        </w:tc>
        <w:tc>
          <w:tcPr>
            <w:tcW w:w="1214" w:type="dxa"/>
            <w:tcBorders>
              <w:tl2br w:val="nil"/>
              <w:tr2bl w:val="nil"/>
            </w:tcBorders>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r>
              <w:rPr>
                <w:rFonts w:hint="eastAsia" w:cstheme="minorBidi"/>
                <w:color w:val="auto"/>
                <w:kern w:val="2"/>
                <w:sz w:val="21"/>
                <w:szCs w:val="21"/>
                <w:lang w:val="en-US" w:eastAsia="zh-CN" w:bidi="ar-SA"/>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48" w:type="dxa"/>
            <w:vMerge w:val="continue"/>
            <w:tcBorders>
              <w:tl2br w:val="nil"/>
              <w:tr2bl w:val="nil"/>
            </w:tcBorders>
            <w:textDirection w:val="tbRlV"/>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p>
        </w:tc>
        <w:tc>
          <w:tcPr>
            <w:tcW w:w="1437" w:type="dxa"/>
            <w:vMerge w:val="restart"/>
            <w:tcBorders>
              <w:tl2br w:val="nil"/>
              <w:tr2bl w:val="nil"/>
            </w:tcBorders>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r>
              <w:rPr>
                <w:rFonts w:ascii="Times New Roman" w:hAnsi="Times New Roman" w:eastAsia="宋体" w:cstheme="minorBidi"/>
                <w:color w:val="auto"/>
                <w:kern w:val="2"/>
                <w:sz w:val="21"/>
                <w:szCs w:val="21"/>
                <w:lang w:val="en-US" w:eastAsia="zh-CN" w:bidi="ar-SA"/>
              </w:rPr>
              <w:t>废水治理</w:t>
            </w:r>
          </w:p>
        </w:tc>
        <w:tc>
          <w:tcPr>
            <w:tcW w:w="5222" w:type="dxa"/>
            <w:tcBorders>
              <w:tl2br w:val="nil"/>
              <w:tr2bl w:val="nil"/>
            </w:tcBorders>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r>
              <w:rPr>
                <w:rFonts w:ascii="Times New Roman" w:hAnsi="Times New Roman" w:eastAsia="宋体" w:cstheme="minorBidi"/>
                <w:color w:val="auto"/>
                <w:kern w:val="2"/>
                <w:sz w:val="21"/>
                <w:szCs w:val="21"/>
                <w:lang w:val="en-US" w:eastAsia="zh-CN" w:bidi="ar-SA"/>
              </w:rPr>
              <w:t>生活污水市政下水管网</w:t>
            </w:r>
          </w:p>
        </w:tc>
        <w:tc>
          <w:tcPr>
            <w:tcW w:w="1214" w:type="dxa"/>
            <w:tcBorders>
              <w:tl2br w:val="nil"/>
              <w:tr2bl w:val="nil"/>
            </w:tcBorders>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r>
              <w:rPr>
                <w:rFonts w:ascii="Times New Roman" w:hAnsi="Times New Roman" w:eastAsia="宋体" w:cstheme="minorBidi"/>
                <w:color w:val="auto"/>
                <w:kern w:val="2"/>
                <w:sz w:val="21"/>
                <w:szCs w:val="21"/>
                <w:lang w:val="en-US" w:eastAsia="zh-CN" w:bidi="ar-SA"/>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48" w:type="dxa"/>
            <w:vMerge w:val="continue"/>
            <w:tcBorders>
              <w:tl2br w:val="nil"/>
              <w:tr2bl w:val="nil"/>
            </w:tcBorders>
            <w:textDirection w:val="tbRlV"/>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p>
        </w:tc>
        <w:tc>
          <w:tcPr>
            <w:tcW w:w="1437" w:type="dxa"/>
            <w:vMerge w:val="continue"/>
            <w:tcBorders>
              <w:tl2br w:val="nil"/>
              <w:tr2bl w:val="nil"/>
            </w:tcBorders>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p>
        </w:tc>
        <w:tc>
          <w:tcPr>
            <w:tcW w:w="5222" w:type="dxa"/>
            <w:tcBorders>
              <w:tl2br w:val="nil"/>
              <w:tr2bl w:val="nil"/>
            </w:tcBorders>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r>
              <w:rPr>
                <w:rFonts w:ascii="Times New Roman" w:hAnsi="Times New Roman" w:eastAsia="宋体" w:cstheme="minorBidi"/>
                <w:color w:val="auto"/>
                <w:kern w:val="2"/>
                <w:sz w:val="21"/>
                <w:szCs w:val="21"/>
                <w:lang w:val="en-US" w:eastAsia="zh-CN" w:bidi="ar-SA"/>
              </w:rPr>
              <w:t>每个实验室废水管道收集+实验室污水处理设备</w:t>
            </w:r>
          </w:p>
        </w:tc>
        <w:tc>
          <w:tcPr>
            <w:tcW w:w="1214" w:type="dxa"/>
            <w:tcBorders>
              <w:tl2br w:val="nil"/>
              <w:tr2bl w:val="nil"/>
            </w:tcBorders>
            <w:vAlign w:val="center"/>
          </w:tcPr>
          <w:p>
            <w:pPr>
              <w:widowControl w:val="0"/>
              <w:bidi w:val="0"/>
              <w:spacing w:line="240" w:lineRule="auto"/>
              <w:ind w:firstLine="0" w:firstLineChars="0"/>
              <w:jc w:val="center"/>
              <w:rPr>
                <w:rFonts w:hint="default" w:ascii="Times New Roman" w:hAnsi="Times New Roman" w:eastAsia="宋体" w:cstheme="minorBidi"/>
                <w:color w:val="auto"/>
                <w:kern w:val="2"/>
                <w:sz w:val="21"/>
                <w:szCs w:val="21"/>
                <w:lang w:val="en-US" w:eastAsia="zh-CN" w:bidi="ar-SA"/>
              </w:rPr>
            </w:pPr>
            <w:r>
              <w:rPr>
                <w:rFonts w:hint="eastAsia" w:ascii="Times New Roman" w:hAnsi="Times New Roman" w:eastAsia="宋体" w:cstheme="minorBidi"/>
                <w:color w:val="auto"/>
                <w:kern w:val="2"/>
                <w:sz w:val="21"/>
                <w:szCs w:val="21"/>
                <w:lang w:val="en-US" w:eastAsia="zh-CN" w:bidi="ar-SA"/>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48" w:type="dxa"/>
            <w:vMerge w:val="continue"/>
            <w:tcBorders>
              <w:tl2br w:val="nil"/>
              <w:tr2bl w:val="nil"/>
            </w:tcBorders>
            <w:textDirection w:val="tbRlV"/>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p>
        </w:tc>
        <w:tc>
          <w:tcPr>
            <w:tcW w:w="1437" w:type="dxa"/>
            <w:vMerge w:val="restart"/>
            <w:tcBorders>
              <w:tl2br w:val="nil"/>
              <w:tr2bl w:val="nil"/>
            </w:tcBorders>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r>
              <w:rPr>
                <w:rFonts w:ascii="Times New Roman" w:hAnsi="Times New Roman" w:eastAsia="宋体" w:cstheme="minorBidi"/>
                <w:color w:val="auto"/>
                <w:kern w:val="2"/>
                <w:sz w:val="21"/>
                <w:szCs w:val="21"/>
                <w:lang w:val="en-US" w:eastAsia="zh-CN" w:bidi="ar-SA"/>
              </w:rPr>
              <w:t>固废治理</w:t>
            </w:r>
          </w:p>
        </w:tc>
        <w:tc>
          <w:tcPr>
            <w:tcW w:w="5222" w:type="dxa"/>
            <w:tcBorders>
              <w:tl2br w:val="nil"/>
              <w:tr2bl w:val="nil"/>
            </w:tcBorders>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r>
              <w:rPr>
                <w:rFonts w:ascii="Times New Roman" w:hAnsi="Times New Roman" w:eastAsia="宋体" w:cstheme="minorBidi"/>
                <w:color w:val="auto"/>
                <w:kern w:val="2"/>
                <w:sz w:val="21"/>
                <w:szCs w:val="21"/>
                <w:lang w:val="en-US" w:eastAsia="zh-CN" w:bidi="ar-SA"/>
              </w:rPr>
              <w:t>生活垃圾分类收集清运，废离子交换树脂属于一般固废，专用容器收集后运至工业固废垃圾填埋场处置。</w:t>
            </w:r>
          </w:p>
        </w:tc>
        <w:tc>
          <w:tcPr>
            <w:tcW w:w="1214" w:type="dxa"/>
            <w:tcBorders>
              <w:tl2br w:val="nil"/>
              <w:tr2bl w:val="nil"/>
            </w:tcBorders>
            <w:vAlign w:val="center"/>
          </w:tcPr>
          <w:p>
            <w:pPr>
              <w:widowControl w:val="0"/>
              <w:bidi w:val="0"/>
              <w:spacing w:line="240" w:lineRule="auto"/>
              <w:ind w:firstLine="0" w:firstLineChars="0"/>
              <w:jc w:val="center"/>
              <w:rPr>
                <w:rFonts w:hint="default" w:ascii="Times New Roman" w:hAnsi="Times New Roman" w:eastAsia="宋体" w:cstheme="minorBidi"/>
                <w:color w:val="auto"/>
                <w:kern w:val="2"/>
                <w:sz w:val="21"/>
                <w:szCs w:val="21"/>
                <w:lang w:val="en-US" w:eastAsia="zh-CN" w:bidi="ar-SA"/>
              </w:rPr>
            </w:pPr>
            <w:r>
              <w:rPr>
                <w:rFonts w:hint="eastAsia" w:cstheme="minorBidi"/>
                <w:color w:val="auto"/>
                <w:kern w:val="2"/>
                <w:sz w:val="21"/>
                <w:szCs w:val="21"/>
                <w:lang w:val="en-US" w:eastAsia="zh-CN" w:bidi="ar-SA"/>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48" w:type="dxa"/>
            <w:vMerge w:val="continue"/>
            <w:tcBorders>
              <w:tl2br w:val="nil"/>
              <w:tr2bl w:val="nil"/>
            </w:tcBorders>
            <w:textDirection w:val="tbRlV"/>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p>
        </w:tc>
        <w:tc>
          <w:tcPr>
            <w:tcW w:w="1437" w:type="dxa"/>
            <w:vMerge w:val="continue"/>
            <w:tcBorders>
              <w:tl2br w:val="nil"/>
              <w:tr2bl w:val="nil"/>
            </w:tcBorders>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p>
        </w:tc>
        <w:tc>
          <w:tcPr>
            <w:tcW w:w="5222" w:type="dxa"/>
            <w:tcBorders>
              <w:tl2br w:val="nil"/>
              <w:tr2bl w:val="nil"/>
            </w:tcBorders>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r>
              <w:rPr>
                <w:rFonts w:ascii="Times New Roman" w:hAnsi="Times New Roman" w:eastAsia="宋体" w:cstheme="minorBidi"/>
                <w:color w:val="auto"/>
                <w:kern w:val="2"/>
                <w:sz w:val="21"/>
                <w:szCs w:val="21"/>
                <w:lang w:val="en-US" w:eastAsia="zh-CN" w:bidi="ar-SA"/>
              </w:rPr>
              <w:t>医疗垃圾分类收集桶收集，危废暂存间暂存，委托当地有危废资质单位处置。</w:t>
            </w:r>
          </w:p>
        </w:tc>
        <w:tc>
          <w:tcPr>
            <w:tcW w:w="1214" w:type="dxa"/>
            <w:tcBorders>
              <w:tl2br w:val="nil"/>
              <w:tr2bl w:val="nil"/>
            </w:tcBorders>
            <w:vAlign w:val="center"/>
          </w:tcPr>
          <w:p>
            <w:pPr>
              <w:widowControl w:val="0"/>
              <w:bidi w:val="0"/>
              <w:spacing w:line="240" w:lineRule="auto"/>
              <w:ind w:firstLine="0" w:firstLineChars="0"/>
              <w:jc w:val="center"/>
              <w:rPr>
                <w:rFonts w:hint="eastAsia" w:ascii="Times New Roman" w:hAnsi="Times New Roman" w:eastAsia="宋体" w:cstheme="minorBidi"/>
                <w:color w:val="auto"/>
                <w:kern w:val="2"/>
                <w:sz w:val="21"/>
                <w:szCs w:val="21"/>
                <w:lang w:val="en-US" w:eastAsia="zh-CN" w:bidi="ar-SA"/>
              </w:rPr>
            </w:pPr>
            <w:r>
              <w:rPr>
                <w:rFonts w:hint="eastAsia" w:cstheme="minorBidi"/>
                <w:color w:val="auto"/>
                <w:kern w:val="2"/>
                <w:sz w:val="21"/>
                <w:szCs w:val="21"/>
                <w:lang w:val="en-US" w:eastAsia="zh-CN" w:bidi="ar-SA"/>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8" w:hRule="atLeast"/>
        </w:trPr>
        <w:tc>
          <w:tcPr>
            <w:tcW w:w="648" w:type="dxa"/>
            <w:vMerge w:val="continue"/>
            <w:tcBorders>
              <w:tl2br w:val="nil"/>
              <w:tr2bl w:val="nil"/>
            </w:tcBorders>
            <w:textDirection w:val="tbRlV"/>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p>
        </w:tc>
        <w:tc>
          <w:tcPr>
            <w:tcW w:w="1437" w:type="dxa"/>
            <w:vMerge w:val="continue"/>
            <w:tcBorders>
              <w:tl2br w:val="nil"/>
              <w:tr2bl w:val="nil"/>
            </w:tcBorders>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p>
        </w:tc>
        <w:tc>
          <w:tcPr>
            <w:tcW w:w="5222" w:type="dxa"/>
            <w:tcBorders>
              <w:tl2br w:val="nil"/>
              <w:tr2bl w:val="nil"/>
            </w:tcBorders>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r>
              <w:rPr>
                <w:rFonts w:ascii="Times New Roman" w:hAnsi="Times New Roman" w:eastAsia="宋体" w:cstheme="minorBidi"/>
                <w:color w:val="auto"/>
                <w:kern w:val="2"/>
                <w:sz w:val="21"/>
                <w:szCs w:val="21"/>
                <w:lang w:val="en-US" w:eastAsia="zh-CN" w:bidi="ar-SA"/>
              </w:rPr>
              <w:t>废活性炭、废滤芯专用容器收集，委托当地有危废资质单位处置。污水站污泥委托当地有危废资质单位处置。</w:t>
            </w:r>
          </w:p>
        </w:tc>
        <w:tc>
          <w:tcPr>
            <w:tcW w:w="1214" w:type="dxa"/>
            <w:tcBorders>
              <w:tl2br w:val="nil"/>
              <w:tr2bl w:val="nil"/>
            </w:tcBorders>
            <w:vAlign w:val="center"/>
          </w:tcPr>
          <w:p>
            <w:pPr>
              <w:widowControl w:val="0"/>
              <w:bidi w:val="0"/>
              <w:spacing w:line="240" w:lineRule="auto"/>
              <w:ind w:firstLine="0" w:firstLineChars="0"/>
              <w:jc w:val="center"/>
              <w:rPr>
                <w:rFonts w:hint="default" w:ascii="Times New Roman" w:hAnsi="Times New Roman" w:eastAsia="宋体" w:cstheme="minorBidi"/>
                <w:color w:val="auto"/>
                <w:kern w:val="2"/>
                <w:sz w:val="21"/>
                <w:szCs w:val="21"/>
                <w:lang w:val="en-US" w:eastAsia="zh-CN" w:bidi="ar-SA"/>
              </w:rPr>
            </w:pPr>
            <w:r>
              <w:rPr>
                <w:rFonts w:hint="eastAsia" w:cstheme="minorBidi"/>
                <w:color w:val="auto"/>
                <w:kern w:val="2"/>
                <w:sz w:val="21"/>
                <w:szCs w:val="21"/>
                <w:lang w:val="en-US" w:eastAsia="zh-CN" w:bidi="ar-SA"/>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648" w:type="dxa"/>
            <w:vMerge w:val="continue"/>
            <w:tcBorders>
              <w:tl2br w:val="nil"/>
              <w:tr2bl w:val="nil"/>
            </w:tcBorders>
            <w:textDirection w:val="tbRlV"/>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p>
        </w:tc>
        <w:tc>
          <w:tcPr>
            <w:tcW w:w="1437" w:type="dxa"/>
            <w:tcBorders>
              <w:tl2br w:val="nil"/>
              <w:tr2bl w:val="nil"/>
            </w:tcBorders>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r>
              <w:rPr>
                <w:rFonts w:ascii="Times New Roman" w:hAnsi="Times New Roman" w:eastAsia="宋体" w:cstheme="minorBidi"/>
                <w:color w:val="auto"/>
                <w:kern w:val="2"/>
                <w:sz w:val="21"/>
                <w:szCs w:val="21"/>
                <w:lang w:val="en-US" w:eastAsia="zh-CN" w:bidi="ar-SA"/>
              </w:rPr>
              <w:t>噪声治理</w:t>
            </w:r>
          </w:p>
        </w:tc>
        <w:tc>
          <w:tcPr>
            <w:tcW w:w="5222" w:type="dxa"/>
            <w:tcBorders>
              <w:tl2br w:val="nil"/>
              <w:tr2bl w:val="nil"/>
            </w:tcBorders>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r>
              <w:rPr>
                <w:rFonts w:ascii="Times New Roman" w:hAnsi="Times New Roman" w:eastAsia="宋体" w:cstheme="minorBidi"/>
                <w:color w:val="auto"/>
                <w:kern w:val="2"/>
                <w:sz w:val="21"/>
                <w:szCs w:val="21"/>
                <w:lang w:val="en-US" w:eastAsia="zh-CN" w:bidi="ar-SA"/>
              </w:rPr>
              <w:t>机械设备加装减振垫、设备间设置吸声、隔声措施来降噪等</w:t>
            </w:r>
          </w:p>
        </w:tc>
        <w:tc>
          <w:tcPr>
            <w:tcW w:w="1214" w:type="dxa"/>
            <w:tcBorders>
              <w:tl2br w:val="nil"/>
              <w:tr2bl w:val="nil"/>
            </w:tcBorders>
            <w:vAlign w:val="center"/>
          </w:tcPr>
          <w:p>
            <w:pPr>
              <w:widowControl w:val="0"/>
              <w:bidi w:val="0"/>
              <w:spacing w:line="240" w:lineRule="auto"/>
              <w:ind w:firstLine="0" w:firstLineChars="0"/>
              <w:jc w:val="center"/>
              <w:rPr>
                <w:rFonts w:hint="eastAsia" w:ascii="Times New Roman" w:hAnsi="Times New Roman" w:eastAsia="宋体" w:cstheme="minorBidi"/>
                <w:color w:val="auto"/>
                <w:kern w:val="2"/>
                <w:sz w:val="21"/>
                <w:szCs w:val="21"/>
                <w:lang w:val="en-US" w:eastAsia="zh-CN" w:bidi="ar-SA"/>
              </w:rPr>
            </w:pPr>
            <w:r>
              <w:rPr>
                <w:rFonts w:hint="eastAsia" w:cstheme="minorBidi"/>
                <w:color w:val="auto"/>
                <w:kern w:val="2"/>
                <w:sz w:val="21"/>
                <w:szCs w:val="21"/>
                <w:lang w:val="en-US" w:eastAsia="zh-CN" w:bidi="ar-SA"/>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 w:hRule="atLeast"/>
        </w:trPr>
        <w:tc>
          <w:tcPr>
            <w:tcW w:w="648" w:type="dxa"/>
            <w:vMerge w:val="continue"/>
            <w:tcBorders>
              <w:tl2br w:val="nil"/>
              <w:tr2bl w:val="nil"/>
            </w:tcBorders>
            <w:textDirection w:val="tbRlV"/>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p>
        </w:tc>
        <w:tc>
          <w:tcPr>
            <w:tcW w:w="1437" w:type="dxa"/>
            <w:tcBorders>
              <w:tl2br w:val="nil"/>
              <w:tr2bl w:val="nil"/>
            </w:tcBorders>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r>
              <w:rPr>
                <w:rFonts w:ascii="Times New Roman" w:hAnsi="Times New Roman" w:eastAsia="宋体" w:cstheme="minorBidi"/>
                <w:color w:val="auto"/>
                <w:kern w:val="2"/>
                <w:sz w:val="21"/>
                <w:szCs w:val="21"/>
                <w:lang w:val="en-US" w:eastAsia="zh-CN" w:bidi="ar-SA"/>
              </w:rPr>
              <w:t>生态恢复</w:t>
            </w:r>
          </w:p>
        </w:tc>
        <w:tc>
          <w:tcPr>
            <w:tcW w:w="5222" w:type="dxa"/>
            <w:tcBorders>
              <w:tl2br w:val="nil"/>
              <w:tr2bl w:val="nil"/>
            </w:tcBorders>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r>
              <w:rPr>
                <w:rFonts w:ascii="Times New Roman" w:hAnsi="Times New Roman" w:eastAsia="宋体" w:cstheme="minorBidi"/>
                <w:color w:val="auto"/>
                <w:kern w:val="2"/>
                <w:sz w:val="21"/>
                <w:szCs w:val="21"/>
                <w:lang w:val="en-US" w:eastAsia="zh-CN" w:bidi="ar-SA"/>
              </w:rPr>
              <w:t>植树、种草</w:t>
            </w:r>
          </w:p>
        </w:tc>
        <w:tc>
          <w:tcPr>
            <w:tcW w:w="1214" w:type="dxa"/>
            <w:tcBorders>
              <w:tl2br w:val="nil"/>
              <w:tr2bl w:val="nil"/>
            </w:tcBorders>
            <w:vAlign w:val="center"/>
          </w:tcPr>
          <w:p>
            <w:pPr>
              <w:widowControl w:val="0"/>
              <w:bidi w:val="0"/>
              <w:spacing w:line="240" w:lineRule="auto"/>
              <w:ind w:firstLine="0" w:firstLineChars="0"/>
              <w:jc w:val="center"/>
              <w:rPr>
                <w:rFonts w:hint="default" w:ascii="Times New Roman" w:hAnsi="Times New Roman" w:eastAsia="宋体" w:cstheme="minorBidi"/>
                <w:color w:val="auto"/>
                <w:kern w:val="2"/>
                <w:sz w:val="21"/>
                <w:szCs w:val="21"/>
                <w:lang w:val="en-US" w:eastAsia="zh-CN" w:bidi="ar-SA"/>
              </w:rPr>
            </w:pPr>
            <w:r>
              <w:rPr>
                <w:rFonts w:hint="eastAsia" w:ascii="Times New Roman" w:hAnsi="Times New Roman" w:eastAsia="宋体" w:cstheme="minorBidi"/>
                <w:color w:val="auto"/>
                <w:kern w:val="2"/>
                <w:sz w:val="21"/>
                <w:szCs w:val="21"/>
                <w:lang w:val="en-US" w:eastAsia="zh-CN" w:bidi="ar-SA"/>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648" w:type="dxa"/>
            <w:tcBorders>
              <w:tl2br w:val="nil"/>
              <w:tr2bl w:val="nil"/>
            </w:tcBorders>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r>
              <w:rPr>
                <w:rFonts w:ascii="Times New Roman" w:hAnsi="Times New Roman" w:eastAsia="宋体" w:cstheme="minorBidi"/>
                <w:color w:val="auto"/>
                <w:kern w:val="2"/>
                <w:sz w:val="21"/>
                <w:szCs w:val="21"/>
                <w:lang w:val="en-US" w:eastAsia="zh-CN" w:bidi="ar-SA"/>
              </w:rPr>
              <w:t>合计</w:t>
            </w:r>
          </w:p>
        </w:tc>
        <w:tc>
          <w:tcPr>
            <w:tcW w:w="1437" w:type="dxa"/>
            <w:tcBorders>
              <w:tl2br w:val="nil"/>
              <w:tr2bl w:val="nil"/>
            </w:tcBorders>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r>
              <w:rPr>
                <w:rFonts w:ascii="Times New Roman" w:hAnsi="Times New Roman" w:eastAsia="宋体" w:cstheme="minorBidi"/>
                <w:color w:val="auto"/>
                <w:kern w:val="2"/>
                <w:sz w:val="21"/>
                <w:szCs w:val="21"/>
                <w:lang w:val="en-US" w:eastAsia="zh-CN" w:bidi="ar-SA"/>
              </w:rPr>
              <w:t>/</w:t>
            </w:r>
          </w:p>
        </w:tc>
        <w:tc>
          <w:tcPr>
            <w:tcW w:w="5222" w:type="dxa"/>
            <w:tcBorders>
              <w:tl2br w:val="nil"/>
              <w:tr2bl w:val="nil"/>
            </w:tcBorders>
            <w:vAlign w:val="center"/>
          </w:tcPr>
          <w:p>
            <w:pPr>
              <w:widowControl w:val="0"/>
              <w:bidi w:val="0"/>
              <w:spacing w:line="240" w:lineRule="auto"/>
              <w:ind w:firstLine="0" w:firstLineChars="0"/>
              <w:jc w:val="center"/>
              <w:rPr>
                <w:rFonts w:ascii="Times New Roman" w:hAnsi="Times New Roman" w:eastAsia="宋体" w:cstheme="minorBidi"/>
                <w:color w:val="auto"/>
                <w:kern w:val="2"/>
                <w:sz w:val="21"/>
                <w:szCs w:val="21"/>
                <w:lang w:val="en-US" w:eastAsia="zh-CN" w:bidi="ar-SA"/>
              </w:rPr>
            </w:pPr>
            <w:r>
              <w:rPr>
                <w:rFonts w:ascii="Times New Roman" w:hAnsi="Times New Roman" w:eastAsia="宋体" w:cstheme="minorBidi"/>
                <w:color w:val="auto"/>
                <w:kern w:val="2"/>
                <w:sz w:val="21"/>
                <w:szCs w:val="21"/>
                <w:lang w:val="en-US" w:eastAsia="zh-CN" w:bidi="ar-SA"/>
              </w:rPr>
              <w:t>/</w:t>
            </w:r>
          </w:p>
        </w:tc>
        <w:tc>
          <w:tcPr>
            <w:tcW w:w="1214" w:type="dxa"/>
            <w:tcBorders>
              <w:tl2br w:val="nil"/>
              <w:tr2bl w:val="nil"/>
            </w:tcBorders>
            <w:vAlign w:val="center"/>
          </w:tcPr>
          <w:p>
            <w:pPr>
              <w:widowControl w:val="0"/>
              <w:bidi w:val="0"/>
              <w:spacing w:line="240" w:lineRule="auto"/>
              <w:ind w:firstLine="0" w:firstLineChars="0"/>
              <w:jc w:val="center"/>
              <w:rPr>
                <w:rFonts w:hint="default" w:ascii="Times New Roman" w:hAnsi="Times New Roman" w:eastAsia="宋体" w:cstheme="minorBidi"/>
                <w:color w:val="auto"/>
                <w:kern w:val="2"/>
                <w:sz w:val="21"/>
                <w:szCs w:val="21"/>
                <w:lang w:val="en-US" w:eastAsia="zh-CN" w:bidi="ar-SA"/>
              </w:rPr>
            </w:pPr>
            <w:r>
              <w:rPr>
                <w:rFonts w:hint="eastAsia" w:cstheme="minorBidi"/>
                <w:color w:val="auto"/>
                <w:kern w:val="2"/>
                <w:sz w:val="21"/>
                <w:szCs w:val="21"/>
                <w:lang w:val="en-US" w:eastAsia="zh-CN" w:bidi="ar-SA"/>
              </w:rPr>
              <w:t>40</w:t>
            </w:r>
          </w:p>
        </w:tc>
      </w:tr>
    </w:tbl>
    <w:p>
      <w:pPr>
        <w:pStyle w:val="5"/>
        <w:bidi w:val="0"/>
        <w:outlineLvl w:val="0"/>
        <w:rPr>
          <w:color w:val="auto"/>
        </w:rPr>
      </w:pPr>
      <w:bookmarkStart w:id="124" w:name="_Toc2963"/>
      <w:r>
        <w:rPr>
          <w:color w:val="auto"/>
        </w:rPr>
        <w:t>7.3环境经济效益分析</w:t>
      </w:r>
      <w:bookmarkEnd w:id="124"/>
    </w:p>
    <w:p>
      <w:pPr>
        <w:pStyle w:val="6"/>
        <w:bidi w:val="0"/>
        <w:outlineLvl w:val="1"/>
        <w:rPr>
          <w:color w:val="auto"/>
        </w:rPr>
      </w:pPr>
      <w:bookmarkStart w:id="125" w:name="_Toc29076"/>
      <w:r>
        <w:rPr>
          <w:color w:val="auto"/>
        </w:rPr>
        <w:t>7.3.1社会效益</w:t>
      </w:r>
      <w:bookmarkEnd w:id="125"/>
    </w:p>
    <w:p>
      <w:pPr>
        <w:bidi w:val="0"/>
        <w:rPr>
          <w:color w:val="auto"/>
        </w:rPr>
      </w:pPr>
      <w:r>
        <w:rPr>
          <w:color w:val="auto"/>
        </w:rPr>
        <w:t>本项目的建设，对提高全县疾病防控能力、提高公共卫生监测水平、提高公共卫生突发事件应急处理能力具有重要意义。烈性传染病等突发公共卫生事件往往容易引起社会公众的恐慌，甚至造成社会秩序陷入忙乱状态。个别时期，一场疫情突如其来，往往造成社会经济的巨大损失。因此，各级政府只有建立起强大的公共卫生体系，搭建完善的疾病防控网络，组建高素质的卫生防疫队伍，提高防控疾病的能力，才能够遏制传染病的肆虐和对人民生命的危害。如果没有较高的疾病识别能力、监测和防控能力，没有准确及时的病情通报网络信息系统，没有必要的应急设施和手段，一旦发生传染病疫情大流行，后果相当严重。一个强有力的疾病防控机构的存在，才能坚定人们战胜传染病疫情的信心，对传染病疫情就不再恐惧和惊慌。本项目的建设，建立起疾病防控和卫生监测的技术支持平台，增强对传染病的识别、监测和防控能力，提高了</w:t>
      </w:r>
      <w:r>
        <w:rPr>
          <w:rFonts w:hint="eastAsia"/>
          <w:color w:val="auto"/>
          <w:lang w:eastAsia="zh-CN"/>
        </w:rPr>
        <w:t>对</w:t>
      </w:r>
      <w:r>
        <w:rPr>
          <w:color w:val="auto"/>
        </w:rPr>
        <w:t>人民群众的生命健康的保障能力；增强对疾病和疫情的信息管理和引导作用，并通过广泛宣传指导，使人们对疾病和卫生有更多的了解并增加防范。这对于提高人民群众的健康水平，提高</w:t>
      </w:r>
      <w:r>
        <w:rPr>
          <w:rFonts w:hint="eastAsia"/>
          <w:color w:val="auto"/>
          <w:lang w:val="en-US" w:eastAsia="zh-CN"/>
        </w:rPr>
        <w:t>皮山农场</w:t>
      </w:r>
      <w:r>
        <w:rPr>
          <w:color w:val="auto"/>
        </w:rPr>
        <w:t>公共卫生水平将起到积极的作用。</w:t>
      </w:r>
    </w:p>
    <w:p>
      <w:pPr>
        <w:pStyle w:val="6"/>
        <w:bidi w:val="0"/>
        <w:outlineLvl w:val="1"/>
        <w:rPr>
          <w:color w:val="auto"/>
        </w:rPr>
      </w:pPr>
      <w:bookmarkStart w:id="126" w:name="_Toc8975"/>
      <w:r>
        <w:rPr>
          <w:color w:val="auto"/>
        </w:rPr>
        <w:t>7.3.2经济效益</w:t>
      </w:r>
      <w:bookmarkEnd w:id="126"/>
    </w:p>
    <w:p>
      <w:pPr>
        <w:bidi w:val="0"/>
        <w:rPr>
          <w:color w:val="auto"/>
        </w:rPr>
      </w:pPr>
      <w:r>
        <w:rPr>
          <w:color w:val="auto"/>
        </w:rPr>
        <w:t>本项目与一般工业项目不同，它是以国家投入为主体建设的社会公益性事业项目，旨在保护人民群众身体健康和生命财产安全，以及社会秩序的稳定，保障国家的经济发展和促进地方经济的稳定增长。本项目的建设有一定的经济效益，更有巨大的间接效益。疾病预防控制中心的建设能够有效的控制和掌握群众疾病的发生与流行，保障人体健康，使人民能安居乐业，身心健康的投入国家建设，创造出更大的经济效益。疾控中心的建设对促进社会安定，为城市提供一个安全、健康的环境起着重要作用，进而提高</w:t>
      </w:r>
      <w:r>
        <w:rPr>
          <w:rFonts w:hint="eastAsia"/>
          <w:color w:val="auto"/>
          <w:lang w:val="en-US" w:eastAsia="zh-CN"/>
        </w:rPr>
        <w:t>皮山农场</w:t>
      </w:r>
      <w:r>
        <w:rPr>
          <w:color w:val="auto"/>
        </w:rPr>
        <w:t>的社会经济的发展，带来可观的经济效益。</w:t>
      </w:r>
    </w:p>
    <w:p>
      <w:pPr>
        <w:pStyle w:val="6"/>
        <w:bidi w:val="0"/>
        <w:outlineLvl w:val="1"/>
        <w:rPr>
          <w:color w:val="auto"/>
        </w:rPr>
      </w:pPr>
      <w:bookmarkStart w:id="127" w:name="_Toc14229"/>
      <w:r>
        <w:rPr>
          <w:color w:val="auto"/>
        </w:rPr>
        <w:t>7.3.3环境效益</w:t>
      </w:r>
      <w:bookmarkEnd w:id="127"/>
    </w:p>
    <w:p>
      <w:pPr>
        <w:bidi w:val="0"/>
        <w:rPr>
          <w:color w:val="auto"/>
        </w:rPr>
      </w:pPr>
      <w:r>
        <w:rPr>
          <w:color w:val="auto"/>
        </w:rPr>
        <w:t>项目建成后，由于实施各种严格的环保措施，污染物排放量均有所降低，对城市环境质量影响较小。项目内拟建污水处理站，项目废水处理达标后通过市政污水管网排入</w:t>
      </w:r>
      <w:r>
        <w:rPr>
          <w:rFonts w:hint="eastAsia"/>
          <w:color w:val="auto"/>
          <w:lang w:val="en-US" w:eastAsia="zh-CN"/>
        </w:rPr>
        <w:t>皮山农场</w:t>
      </w:r>
      <w:r>
        <w:rPr>
          <w:color w:val="auto"/>
        </w:rPr>
        <w:t>污水处理厂进行进一步处理，减少了污染负荷；污水处理站废气、实验室废气等大气污染物均得到有效处置，对周围环境影响较小；项目产生的各种一般固废和危险废物均按照相关要求进行妥善处置。</w:t>
      </w:r>
    </w:p>
    <w:p>
      <w:pPr>
        <w:pStyle w:val="5"/>
        <w:bidi w:val="0"/>
        <w:outlineLvl w:val="0"/>
        <w:rPr>
          <w:color w:val="auto"/>
        </w:rPr>
      </w:pPr>
      <w:bookmarkStart w:id="128" w:name="_Toc17618"/>
      <w:r>
        <w:rPr>
          <w:color w:val="auto"/>
        </w:rPr>
        <w:t>7.4结论</w:t>
      </w:r>
      <w:bookmarkEnd w:id="128"/>
    </w:p>
    <w:p>
      <w:pPr>
        <w:bidi w:val="0"/>
        <w:rPr>
          <w:rFonts w:hint="eastAsia"/>
          <w:color w:val="auto"/>
          <w:lang w:eastAsia="zh-CN"/>
        </w:rPr>
      </w:pPr>
      <w:r>
        <w:rPr>
          <w:color w:val="auto"/>
        </w:rPr>
        <w:t>本项目作为社会公益性事业单位，它的建设旨在提高公共卫生预防及控制的整体能力，具有较好的社会效益和一定的经济效益；项目产生的各种污染物经分别采取相应的处理措施后，减少了项目对环境的影响，具有一定的环境效益。综上所述，本项目的建设可行</w:t>
      </w:r>
      <w:r>
        <w:rPr>
          <w:rFonts w:hint="eastAsia"/>
          <w:color w:val="auto"/>
          <w:lang w:eastAsia="zh-CN"/>
        </w:rPr>
        <w:t>。</w:t>
      </w:r>
    </w:p>
    <w:p>
      <w:pPr>
        <w:rPr>
          <w:rFonts w:hint="eastAsia"/>
          <w:color w:val="auto"/>
          <w:lang w:eastAsia="zh-CN"/>
        </w:rPr>
      </w:pPr>
      <w:r>
        <w:rPr>
          <w:rFonts w:hint="eastAsia"/>
          <w:color w:val="auto"/>
          <w:lang w:eastAsia="zh-CN"/>
        </w:rPr>
        <w:br w:type="page"/>
      </w:r>
    </w:p>
    <w:p>
      <w:pPr>
        <w:pStyle w:val="4"/>
        <w:bidi w:val="0"/>
        <w:rPr>
          <w:color w:val="auto"/>
        </w:rPr>
      </w:pPr>
      <w:bookmarkStart w:id="129" w:name="_Toc11167"/>
      <w:r>
        <w:rPr>
          <w:color w:val="auto"/>
        </w:rPr>
        <w:t>8环境管理与监测计划</w:t>
      </w:r>
      <w:bookmarkEnd w:id="129"/>
    </w:p>
    <w:p>
      <w:pPr>
        <w:pStyle w:val="5"/>
        <w:bidi w:val="0"/>
        <w:ind w:firstLine="420" w:firstLineChars="0"/>
        <w:outlineLvl w:val="0"/>
        <w:rPr>
          <w:color w:val="auto"/>
        </w:rPr>
      </w:pPr>
      <w:bookmarkStart w:id="130" w:name="_Toc16095"/>
      <w:r>
        <w:rPr>
          <w:color w:val="auto"/>
        </w:rPr>
        <w:t>8.1环境管理计划</w:t>
      </w:r>
      <w:bookmarkEnd w:id="130"/>
    </w:p>
    <w:p>
      <w:pPr>
        <w:pStyle w:val="6"/>
        <w:bidi w:val="0"/>
        <w:outlineLvl w:val="1"/>
        <w:rPr>
          <w:color w:val="auto"/>
        </w:rPr>
      </w:pPr>
      <w:bookmarkStart w:id="131" w:name="_Toc5272"/>
      <w:r>
        <w:rPr>
          <w:color w:val="auto"/>
        </w:rPr>
        <w:t>8.1.3环境管理机构的职责</w:t>
      </w:r>
      <w:bookmarkEnd w:id="131"/>
    </w:p>
    <w:p>
      <w:pPr>
        <w:bidi w:val="0"/>
        <w:rPr>
          <w:color w:val="auto"/>
        </w:rPr>
      </w:pPr>
      <w:r>
        <w:rPr>
          <w:color w:val="auto"/>
        </w:rPr>
        <w:t>（1）贯彻、宣传国家的环保方针、政策和法律法规；</w:t>
      </w:r>
    </w:p>
    <w:p>
      <w:pPr>
        <w:bidi w:val="0"/>
        <w:rPr>
          <w:color w:val="auto"/>
        </w:rPr>
      </w:pPr>
      <w:r>
        <w:rPr>
          <w:color w:val="auto"/>
        </w:rPr>
        <w:t>（2）制定疾控中心和本项目的环保管理制度、环保技术经济政策、环境保护发展规划和年度实施计划；</w:t>
      </w:r>
    </w:p>
    <w:p>
      <w:pPr>
        <w:bidi w:val="0"/>
        <w:rPr>
          <w:color w:val="auto"/>
        </w:rPr>
      </w:pPr>
      <w:r>
        <w:rPr>
          <w:color w:val="auto"/>
        </w:rPr>
        <w:t>（3）监督检查本项目执行“三同时”规定的情况；</w:t>
      </w:r>
    </w:p>
    <w:p>
      <w:pPr>
        <w:bidi w:val="0"/>
        <w:rPr>
          <w:color w:val="auto"/>
        </w:rPr>
      </w:pPr>
      <w:r>
        <w:rPr>
          <w:color w:val="auto"/>
        </w:rPr>
        <w:t>（4）定期进行环保设备检查、维修和保养工作，确保环保设施长期、稳定、达标运转；</w:t>
      </w:r>
    </w:p>
    <w:p>
      <w:pPr>
        <w:bidi w:val="0"/>
        <w:rPr>
          <w:color w:val="auto"/>
        </w:rPr>
      </w:pPr>
      <w:r>
        <w:rPr>
          <w:color w:val="auto"/>
        </w:rPr>
        <w:t>（5）负责疾控中心环保设施的日常运行管理工作，制定事故防范措施，一旦发生事故，组织污染源调查及控制工作，并及时总结经验教训；</w:t>
      </w:r>
    </w:p>
    <w:p>
      <w:pPr>
        <w:bidi w:val="0"/>
        <w:rPr>
          <w:color w:val="auto"/>
        </w:rPr>
      </w:pPr>
      <w:r>
        <w:rPr>
          <w:color w:val="auto"/>
        </w:rPr>
        <w:t>（6）负责对疾控中心员工和环保人员进行环境保护教育，不断提高员工的环境意识和环保人员的业务素质。</w:t>
      </w:r>
    </w:p>
    <w:p>
      <w:pPr>
        <w:pStyle w:val="6"/>
        <w:bidi w:val="0"/>
        <w:outlineLvl w:val="1"/>
        <w:rPr>
          <w:color w:val="auto"/>
        </w:rPr>
      </w:pPr>
      <w:bookmarkStart w:id="132" w:name="_Toc29100"/>
      <w:r>
        <w:rPr>
          <w:color w:val="auto"/>
        </w:rPr>
        <w:t>8.1.1环境管理目的</w:t>
      </w:r>
      <w:bookmarkEnd w:id="132"/>
    </w:p>
    <w:p>
      <w:pPr>
        <w:bidi w:val="0"/>
        <w:rPr>
          <w:color w:val="auto"/>
        </w:rPr>
      </w:pPr>
      <w:r>
        <w:rPr>
          <w:color w:val="auto"/>
        </w:rPr>
        <w:t>通过制定系统科学的环境管理计划，使本项目的建设和营运符合国家有关环境保护的法律法规，严格执行环保工程与主体工程同时设计、同时施工和同时竣工验收的“三同时”规定。</w:t>
      </w:r>
    </w:p>
    <w:p>
      <w:pPr>
        <w:bidi w:val="0"/>
        <w:rPr>
          <w:color w:val="auto"/>
        </w:rPr>
      </w:pPr>
      <w:r>
        <w:rPr>
          <w:color w:val="auto"/>
        </w:rPr>
        <w:t>通过实施环境管理计划，力图将本项目的建设和运营对环境带来的不利影响减轻至</w:t>
      </w:r>
      <w:r>
        <w:rPr>
          <w:rFonts w:hint="eastAsia"/>
          <w:color w:val="auto"/>
          <w:lang w:eastAsia="zh-CN"/>
        </w:rPr>
        <w:t>最低程度</w:t>
      </w:r>
      <w:r>
        <w:rPr>
          <w:color w:val="auto"/>
        </w:rPr>
        <w:t>，使项目建设的经济效益和环境效益得以协调、持续和稳定发展。</w:t>
      </w:r>
    </w:p>
    <w:p>
      <w:pPr>
        <w:pStyle w:val="6"/>
        <w:bidi w:val="0"/>
        <w:outlineLvl w:val="1"/>
        <w:rPr>
          <w:color w:val="auto"/>
        </w:rPr>
      </w:pPr>
      <w:bookmarkStart w:id="133" w:name="_Toc22951"/>
      <w:r>
        <w:rPr>
          <w:color w:val="auto"/>
        </w:rPr>
        <w:t>8.1.2环境管理机构的设置</w:t>
      </w:r>
      <w:bookmarkEnd w:id="133"/>
    </w:p>
    <w:p>
      <w:pPr>
        <w:bidi w:val="0"/>
        <w:rPr>
          <w:color w:val="auto"/>
        </w:rPr>
      </w:pPr>
      <w:r>
        <w:rPr>
          <w:color w:val="auto"/>
        </w:rPr>
        <w:t>本次环评对施工期、运营期环境影响进行分析，因此环境管理机构的设置针对施工期、运营阶段设置。</w:t>
      </w:r>
    </w:p>
    <w:p>
      <w:pPr>
        <w:bidi w:val="0"/>
        <w:rPr>
          <w:color w:val="auto"/>
        </w:rPr>
      </w:pPr>
      <w:r>
        <w:rPr>
          <w:color w:val="auto"/>
        </w:rPr>
        <w:t>（1）机构组成</w:t>
      </w:r>
    </w:p>
    <w:p>
      <w:pPr>
        <w:bidi w:val="0"/>
        <w:rPr>
          <w:color w:val="auto"/>
        </w:rPr>
      </w:pPr>
      <w:r>
        <w:rPr>
          <w:color w:val="auto"/>
        </w:rPr>
        <w:t>根据疾控中心的实际情况，环境管理机构由疾控中心的后勤管理部门负责，下设环境管理小组对疾控中心的环境管理和环境监控负责，并受疾控中心主管领导及当地环保局的监督和指导。</w:t>
      </w:r>
    </w:p>
    <w:p>
      <w:pPr>
        <w:bidi w:val="0"/>
        <w:rPr>
          <w:color w:val="auto"/>
        </w:rPr>
      </w:pPr>
      <w:r>
        <w:rPr>
          <w:color w:val="auto"/>
        </w:rPr>
        <w:t>（2）环保机构定员</w:t>
      </w:r>
    </w:p>
    <w:p>
      <w:pPr>
        <w:bidi w:val="0"/>
        <w:rPr>
          <w:color w:val="auto"/>
        </w:rPr>
      </w:pPr>
      <w:r>
        <w:rPr>
          <w:color w:val="auto"/>
        </w:rPr>
        <w:t>项目运营期间，疾控中心后勤管理部门设有专门的环保机构和环保管理人员，负责疾控中心的环境保护及管理工作。</w:t>
      </w:r>
    </w:p>
    <w:p>
      <w:pPr>
        <w:pStyle w:val="6"/>
        <w:bidi w:val="0"/>
        <w:outlineLvl w:val="1"/>
        <w:rPr>
          <w:color w:val="auto"/>
        </w:rPr>
      </w:pPr>
      <w:bookmarkStart w:id="134" w:name="_Toc5697"/>
      <w:r>
        <w:rPr>
          <w:color w:val="auto"/>
        </w:rPr>
        <w:t>8.1.4环境管理计划</w:t>
      </w:r>
      <w:bookmarkEnd w:id="134"/>
    </w:p>
    <w:p>
      <w:pPr>
        <w:bidi w:val="0"/>
        <w:rPr>
          <w:color w:val="auto"/>
        </w:rPr>
      </w:pPr>
      <w:r>
        <w:rPr>
          <w:color w:val="auto"/>
        </w:rPr>
        <w:t>（1）根据国家环保政策、标准及环境监测要求，制定该项目运营期环境管理规章制度、各种污染物排放指标；</w:t>
      </w:r>
    </w:p>
    <w:p>
      <w:pPr>
        <w:bidi w:val="0"/>
        <w:rPr>
          <w:color w:val="auto"/>
        </w:rPr>
      </w:pPr>
      <w:r>
        <w:rPr>
          <w:color w:val="auto"/>
        </w:rPr>
        <w:t>（2）建立健全项目运行期的污染源档案，环保设施运行情况档案，按月统计污染物排放情况并编制好有关数据报表并存档；保证本项目的实验室废水处理设施正常运行，定期检查。保证各项环保设施的正常运行。</w:t>
      </w:r>
    </w:p>
    <w:p>
      <w:pPr>
        <w:bidi w:val="0"/>
        <w:rPr>
          <w:color w:val="auto"/>
        </w:rPr>
      </w:pPr>
      <w:r>
        <w:rPr>
          <w:color w:val="auto"/>
        </w:rPr>
        <w:t>（3）对环保设施、设备进行日常的监控和维护工作，并</w:t>
      </w:r>
      <w:r>
        <w:rPr>
          <w:rFonts w:hint="eastAsia"/>
          <w:color w:val="auto"/>
          <w:lang w:eastAsia="zh-CN"/>
        </w:rPr>
        <w:t>做好</w:t>
      </w:r>
      <w:r>
        <w:rPr>
          <w:color w:val="auto"/>
        </w:rPr>
        <w:t>记录存档；</w:t>
      </w:r>
    </w:p>
    <w:p>
      <w:pPr>
        <w:bidi w:val="0"/>
        <w:rPr>
          <w:color w:val="auto"/>
        </w:rPr>
      </w:pPr>
      <w:r>
        <w:rPr>
          <w:color w:val="auto"/>
        </w:rPr>
        <w:t>（4）做好环境保护，安全生产宣传以及相关技术培训等工作，提高全体员工的环境保护意识，加强环境法制观念；</w:t>
      </w:r>
    </w:p>
    <w:p>
      <w:pPr>
        <w:bidi w:val="0"/>
        <w:rPr>
          <w:color w:val="auto"/>
        </w:rPr>
      </w:pPr>
      <w:r>
        <w:rPr>
          <w:color w:val="auto"/>
        </w:rPr>
        <w:t>（5）加强管理，建立废水、废气非正常排放的应急制度和响应措施，将非正常排放的影响降至最低；</w:t>
      </w:r>
    </w:p>
    <w:p>
      <w:pPr>
        <w:bidi w:val="0"/>
        <w:rPr>
          <w:color w:val="auto"/>
        </w:rPr>
      </w:pPr>
      <w:r>
        <w:rPr>
          <w:color w:val="auto"/>
        </w:rPr>
        <w:t>（6）加强危险、有毒品的贮运，使用的安全管理，做好防火、防爆、防毒害的日常管理工作及应急处理，疏散措施的组织等。</w:t>
      </w:r>
    </w:p>
    <w:p>
      <w:pPr>
        <w:bidi w:val="0"/>
        <w:rPr>
          <w:color w:val="auto"/>
        </w:rPr>
      </w:pPr>
      <w:r>
        <w:rPr>
          <w:color w:val="auto"/>
        </w:rPr>
        <w:t>（7）加强危险废物收集、贮存、运输、处理处置全过程环境监管，确保危险废物分类收集，采用合理容器进行暂存，医疗废物委托当地有危废资质单位处理。</w:t>
      </w:r>
    </w:p>
    <w:p>
      <w:pPr>
        <w:bidi w:val="0"/>
        <w:rPr>
          <w:color w:val="auto"/>
        </w:rPr>
      </w:pPr>
      <w:r>
        <w:rPr>
          <w:color w:val="auto"/>
        </w:rPr>
        <w:t>废离子交换树脂属于一般固废，专用容器收集后运至工业固废垃圾填埋场处置。</w:t>
      </w:r>
    </w:p>
    <w:p>
      <w:pPr>
        <w:bidi w:val="0"/>
        <w:rPr>
          <w:color w:val="auto"/>
        </w:rPr>
      </w:pPr>
      <w:r>
        <w:rPr>
          <w:color w:val="auto"/>
        </w:rPr>
        <w:t>医疗废物交由当地有危废资质单位处理，实验废液及过期化学药品及试剂、废活性炭、废滤芯、污水站污泥委托当地有危废资质单位处置，危险废物实施转移联单，做好相应资料记录工作，保留危险废物台账便于接受主管部门监察；</w:t>
      </w:r>
    </w:p>
    <w:p>
      <w:pPr>
        <w:bidi w:val="0"/>
        <w:rPr>
          <w:color w:val="auto"/>
        </w:rPr>
      </w:pPr>
      <w:r>
        <w:rPr>
          <w:color w:val="auto"/>
        </w:rPr>
        <w:t>（8）接受并配合地方环境保护主管部门对各废气、废水、噪声等污染源排放情况及固废处置情况进行监督监测，并将检查结果及时反馈给上级主管部门及相关环节，制订环境保护规划和目标，协调各部门的关系，调查处理内外污染事故与纠纷。</w:t>
      </w:r>
    </w:p>
    <w:p>
      <w:pPr>
        <w:bidi w:val="0"/>
        <w:rPr>
          <w:color w:val="auto"/>
        </w:rPr>
      </w:pPr>
      <w:r>
        <w:rPr>
          <w:color w:val="auto"/>
        </w:rPr>
        <w:t>（9）针对本项目产生的危废，产生主要如下类：医疗废物、实验废液及过期化学药品及试剂、废活性炭，严格按照《危险废物贮存污染控制标准》（GB18597-2001）的要求进行分类收集，所用容器收集暂存容器要满足相关要求，同时不同类型危废要分类收集，并在危险废物贮存设施都必须按《环境保护图形标志</w:t>
      </w:r>
      <w:r>
        <w:rPr>
          <w:rFonts w:hint="eastAsia"/>
          <w:color w:val="auto"/>
          <w:lang w:eastAsia="zh-CN"/>
        </w:rPr>
        <w:t>－</w:t>
      </w:r>
      <w:r>
        <w:rPr>
          <w:color w:val="auto"/>
        </w:rPr>
        <w:t>固体废物贮存</w:t>
      </w:r>
      <w:r>
        <w:rPr>
          <w:rFonts w:hint="eastAsia"/>
          <w:color w:val="auto"/>
          <w:lang w:eastAsia="zh-CN"/>
        </w:rPr>
        <w:t>（</w:t>
      </w:r>
      <w:r>
        <w:rPr>
          <w:color w:val="auto"/>
        </w:rPr>
        <w:t>处置</w:t>
      </w:r>
      <w:r>
        <w:rPr>
          <w:rFonts w:hint="eastAsia"/>
          <w:color w:val="auto"/>
          <w:lang w:eastAsia="zh-CN"/>
        </w:rPr>
        <w:t>）</w:t>
      </w:r>
      <w:r>
        <w:rPr>
          <w:color w:val="auto"/>
        </w:rPr>
        <w:t>场》（GB15562.2）的规定设置警示标志。</w:t>
      </w:r>
    </w:p>
    <w:p>
      <w:pPr>
        <w:bidi w:val="0"/>
        <w:rPr>
          <w:color w:val="auto"/>
        </w:rPr>
      </w:pPr>
      <w:r>
        <w:rPr>
          <w:color w:val="auto"/>
        </w:rPr>
        <w:t>（10）项目污水站产生的污泥，消毒处理，必须满足《医疗机构水污染排放标准》（GB18466-2005）中医疗机构污泥控制标准。严禁企业自行处理。</w:t>
      </w:r>
    </w:p>
    <w:p>
      <w:pPr>
        <w:pStyle w:val="6"/>
        <w:bidi w:val="0"/>
        <w:outlineLvl w:val="1"/>
        <w:rPr>
          <w:color w:val="auto"/>
        </w:rPr>
      </w:pPr>
      <w:bookmarkStart w:id="135" w:name="_Toc27712"/>
      <w:r>
        <w:rPr>
          <w:color w:val="auto"/>
        </w:rPr>
        <w:t>8.1.5信息公开</w:t>
      </w:r>
      <w:bookmarkEnd w:id="135"/>
    </w:p>
    <w:p>
      <w:pPr>
        <w:bidi w:val="0"/>
        <w:rPr>
          <w:color w:val="auto"/>
        </w:rPr>
      </w:pPr>
      <w:r>
        <w:rPr>
          <w:color w:val="auto"/>
        </w:rPr>
        <w:t>建设单位作为建设项目选址、建设、运营全过程环境信息公开的主体，需要依法推进建设项目环评信息全过程公开。建设单位应向社会公开单位名称、地址、法定代表人；单位排放污染物种类、数量、浓度和去向；单位环保设施的建设和运行情况；环境污染事故应急预案等内容。</w:t>
      </w:r>
    </w:p>
    <w:p>
      <w:pPr>
        <w:pStyle w:val="6"/>
        <w:bidi w:val="0"/>
        <w:outlineLvl w:val="1"/>
        <w:rPr>
          <w:color w:val="auto"/>
        </w:rPr>
      </w:pPr>
      <w:bookmarkStart w:id="136" w:name="_Toc19086"/>
      <w:r>
        <w:rPr>
          <w:color w:val="auto"/>
        </w:rPr>
        <w:t>8.1.6项目污染物排放清单</w:t>
      </w:r>
      <w:bookmarkEnd w:id="136"/>
    </w:p>
    <w:p>
      <w:pPr>
        <w:bidi w:val="0"/>
        <w:rPr>
          <w:color w:val="auto"/>
        </w:rPr>
      </w:pPr>
      <w:r>
        <w:rPr>
          <w:color w:val="auto"/>
        </w:rPr>
        <w:t>本项目污染物排放清单详见下表。</w:t>
      </w:r>
    </w:p>
    <w:p>
      <w:pPr>
        <w:pStyle w:val="22"/>
        <w:bidi w:val="0"/>
        <w:rPr>
          <w:b/>
          <w:bCs/>
          <w:color w:val="auto"/>
        </w:rPr>
      </w:pPr>
      <w:r>
        <w:rPr>
          <w:b/>
          <w:bCs/>
          <w:color w:val="auto"/>
        </w:rPr>
        <w:t>表8.1-1项目污染源排放清单</w:t>
      </w:r>
    </w:p>
    <w:tbl>
      <w:tblPr>
        <w:tblStyle w:val="23"/>
        <w:tblW w:w="8556"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6"/>
        <w:gridCol w:w="845"/>
        <w:gridCol w:w="805"/>
        <w:gridCol w:w="450"/>
        <w:gridCol w:w="954"/>
        <w:gridCol w:w="2087"/>
        <w:gridCol w:w="1063"/>
        <w:gridCol w:w="18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466" w:type="dxa"/>
            <w:tcBorders>
              <w:tl2br w:val="nil"/>
              <w:tr2bl w:val="nil"/>
            </w:tcBorders>
            <w:textDirection w:val="tbRlV"/>
            <w:vAlign w:val="center"/>
          </w:tcPr>
          <w:p>
            <w:pPr>
              <w:pStyle w:val="22"/>
              <w:bidi w:val="0"/>
              <w:jc w:val="center"/>
              <w:rPr>
                <w:b/>
                <w:bCs/>
                <w:color w:val="auto"/>
              </w:rPr>
            </w:pPr>
            <w:r>
              <w:rPr>
                <w:b/>
                <w:bCs/>
                <w:color w:val="auto"/>
              </w:rPr>
              <w:t>类别</w:t>
            </w:r>
          </w:p>
        </w:tc>
        <w:tc>
          <w:tcPr>
            <w:tcW w:w="845" w:type="dxa"/>
            <w:tcBorders>
              <w:tl2br w:val="nil"/>
              <w:tr2bl w:val="nil"/>
            </w:tcBorders>
            <w:vAlign w:val="center"/>
          </w:tcPr>
          <w:p>
            <w:pPr>
              <w:pStyle w:val="22"/>
              <w:bidi w:val="0"/>
              <w:jc w:val="center"/>
              <w:rPr>
                <w:b/>
                <w:bCs/>
                <w:color w:val="auto"/>
              </w:rPr>
            </w:pPr>
            <w:r>
              <w:rPr>
                <w:b/>
                <w:bCs/>
                <w:color w:val="auto"/>
              </w:rPr>
              <w:t>污染</w:t>
            </w:r>
          </w:p>
          <w:p>
            <w:pPr>
              <w:pStyle w:val="22"/>
              <w:bidi w:val="0"/>
              <w:jc w:val="center"/>
              <w:rPr>
                <w:b/>
                <w:bCs/>
                <w:color w:val="auto"/>
              </w:rPr>
            </w:pPr>
            <w:r>
              <w:rPr>
                <w:b/>
                <w:bCs/>
                <w:color w:val="auto"/>
              </w:rPr>
              <w:t>源</w:t>
            </w:r>
          </w:p>
        </w:tc>
        <w:tc>
          <w:tcPr>
            <w:tcW w:w="805" w:type="dxa"/>
            <w:tcBorders>
              <w:tl2br w:val="nil"/>
              <w:tr2bl w:val="nil"/>
            </w:tcBorders>
            <w:vAlign w:val="center"/>
          </w:tcPr>
          <w:p>
            <w:pPr>
              <w:pStyle w:val="22"/>
              <w:bidi w:val="0"/>
              <w:jc w:val="center"/>
              <w:rPr>
                <w:b/>
                <w:bCs/>
                <w:color w:val="auto"/>
              </w:rPr>
            </w:pPr>
            <w:r>
              <w:rPr>
                <w:b/>
                <w:bCs/>
                <w:color w:val="auto"/>
              </w:rPr>
              <w:t>污染物名称</w:t>
            </w:r>
          </w:p>
        </w:tc>
        <w:tc>
          <w:tcPr>
            <w:tcW w:w="1404" w:type="dxa"/>
            <w:gridSpan w:val="2"/>
            <w:tcBorders>
              <w:tl2br w:val="nil"/>
              <w:tr2bl w:val="nil"/>
            </w:tcBorders>
            <w:vAlign w:val="center"/>
          </w:tcPr>
          <w:p>
            <w:pPr>
              <w:pStyle w:val="22"/>
              <w:bidi w:val="0"/>
              <w:jc w:val="center"/>
              <w:rPr>
                <w:b/>
                <w:bCs/>
                <w:color w:val="auto"/>
              </w:rPr>
            </w:pPr>
            <w:r>
              <w:rPr>
                <w:b/>
                <w:bCs/>
                <w:color w:val="auto"/>
              </w:rPr>
              <w:t>产生量</w:t>
            </w:r>
          </w:p>
        </w:tc>
        <w:tc>
          <w:tcPr>
            <w:tcW w:w="2087" w:type="dxa"/>
            <w:tcBorders>
              <w:tl2br w:val="nil"/>
              <w:tr2bl w:val="nil"/>
            </w:tcBorders>
            <w:vAlign w:val="center"/>
          </w:tcPr>
          <w:p>
            <w:pPr>
              <w:pStyle w:val="22"/>
              <w:bidi w:val="0"/>
              <w:jc w:val="center"/>
              <w:rPr>
                <w:b/>
                <w:bCs/>
                <w:color w:val="auto"/>
              </w:rPr>
            </w:pPr>
            <w:r>
              <w:rPr>
                <w:b/>
                <w:bCs/>
                <w:color w:val="auto"/>
              </w:rPr>
              <w:t>治理措施</w:t>
            </w:r>
          </w:p>
        </w:tc>
        <w:tc>
          <w:tcPr>
            <w:tcW w:w="1063" w:type="dxa"/>
            <w:tcBorders>
              <w:tl2br w:val="nil"/>
              <w:tr2bl w:val="nil"/>
            </w:tcBorders>
            <w:vAlign w:val="center"/>
          </w:tcPr>
          <w:p>
            <w:pPr>
              <w:pStyle w:val="22"/>
              <w:bidi w:val="0"/>
              <w:jc w:val="center"/>
              <w:rPr>
                <w:b/>
                <w:bCs/>
                <w:color w:val="auto"/>
              </w:rPr>
            </w:pPr>
            <w:r>
              <w:rPr>
                <w:b/>
                <w:bCs/>
                <w:color w:val="auto"/>
              </w:rPr>
              <w:t>排放量</w:t>
            </w:r>
          </w:p>
        </w:tc>
        <w:tc>
          <w:tcPr>
            <w:tcW w:w="1886" w:type="dxa"/>
            <w:tcBorders>
              <w:tl2br w:val="nil"/>
              <w:tr2bl w:val="nil"/>
            </w:tcBorders>
            <w:vAlign w:val="center"/>
          </w:tcPr>
          <w:p>
            <w:pPr>
              <w:pStyle w:val="22"/>
              <w:bidi w:val="0"/>
              <w:jc w:val="center"/>
              <w:rPr>
                <w:b/>
                <w:bCs/>
                <w:color w:val="auto"/>
              </w:rPr>
            </w:pPr>
            <w:r>
              <w:rPr>
                <w:b/>
                <w:bCs/>
                <w:color w:val="auto"/>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 w:hRule="atLeast"/>
        </w:trPr>
        <w:tc>
          <w:tcPr>
            <w:tcW w:w="466" w:type="dxa"/>
            <w:vMerge w:val="restart"/>
            <w:tcBorders>
              <w:tl2br w:val="nil"/>
              <w:tr2bl w:val="nil"/>
            </w:tcBorders>
            <w:textDirection w:val="tbRlV"/>
            <w:vAlign w:val="center"/>
          </w:tcPr>
          <w:p>
            <w:pPr>
              <w:pStyle w:val="22"/>
              <w:bidi w:val="0"/>
              <w:jc w:val="center"/>
              <w:rPr>
                <w:color w:val="auto"/>
              </w:rPr>
            </w:pPr>
            <w:r>
              <w:rPr>
                <w:color w:val="auto"/>
              </w:rPr>
              <w:t>大气污染物</w:t>
            </w:r>
          </w:p>
        </w:tc>
        <w:tc>
          <w:tcPr>
            <w:tcW w:w="845" w:type="dxa"/>
            <w:vMerge w:val="restart"/>
            <w:tcBorders>
              <w:tl2br w:val="nil"/>
              <w:tr2bl w:val="nil"/>
            </w:tcBorders>
            <w:vAlign w:val="center"/>
          </w:tcPr>
          <w:p>
            <w:pPr>
              <w:pStyle w:val="22"/>
              <w:bidi w:val="0"/>
              <w:jc w:val="center"/>
              <w:rPr>
                <w:rFonts w:hint="eastAsia"/>
                <w:color w:val="auto"/>
                <w:lang w:eastAsia="zh-CN"/>
              </w:rPr>
            </w:pPr>
            <w:r>
              <w:rPr>
                <w:rFonts w:hint="eastAsia"/>
                <w:color w:val="auto"/>
                <w:lang w:val="en-US" w:eastAsia="zh-CN"/>
              </w:rPr>
              <w:t>有组织</w:t>
            </w:r>
          </w:p>
        </w:tc>
        <w:tc>
          <w:tcPr>
            <w:tcW w:w="805" w:type="dxa"/>
            <w:vMerge w:val="restart"/>
            <w:tcBorders>
              <w:tl2br w:val="nil"/>
              <w:tr2bl w:val="nil"/>
            </w:tcBorders>
            <w:vAlign w:val="center"/>
          </w:tcPr>
          <w:p>
            <w:pPr>
              <w:pStyle w:val="22"/>
              <w:bidi w:val="0"/>
              <w:jc w:val="center"/>
              <w:rPr>
                <w:color w:val="auto"/>
              </w:rPr>
            </w:pPr>
            <w:r>
              <w:rPr>
                <w:color w:val="auto"/>
              </w:rPr>
              <w:t>酸碱试剂、有机试剂、病原微生物等</w:t>
            </w:r>
          </w:p>
        </w:tc>
        <w:tc>
          <w:tcPr>
            <w:tcW w:w="1404" w:type="dxa"/>
            <w:gridSpan w:val="2"/>
            <w:vMerge w:val="restart"/>
            <w:tcBorders>
              <w:tl2br w:val="nil"/>
              <w:tr2bl w:val="nil"/>
            </w:tcBorders>
            <w:vAlign w:val="center"/>
          </w:tcPr>
          <w:p>
            <w:pPr>
              <w:pStyle w:val="22"/>
              <w:bidi w:val="0"/>
              <w:jc w:val="center"/>
              <w:rPr>
                <w:color w:val="auto"/>
              </w:rPr>
            </w:pPr>
            <w:r>
              <w:rPr>
                <w:color w:val="auto"/>
              </w:rPr>
              <w:t>少量</w:t>
            </w:r>
          </w:p>
        </w:tc>
        <w:tc>
          <w:tcPr>
            <w:tcW w:w="2087" w:type="dxa"/>
            <w:tcBorders>
              <w:tl2br w:val="nil"/>
              <w:tr2bl w:val="nil"/>
            </w:tcBorders>
            <w:vAlign w:val="center"/>
          </w:tcPr>
          <w:p>
            <w:pPr>
              <w:pStyle w:val="22"/>
              <w:bidi w:val="0"/>
              <w:jc w:val="center"/>
              <w:rPr>
                <w:rFonts w:hint="eastAsia"/>
                <w:color w:val="auto"/>
                <w:lang w:val="en-US" w:eastAsia="zh-CN"/>
              </w:rPr>
            </w:pPr>
            <w:r>
              <w:rPr>
                <w:rFonts w:hint="eastAsia"/>
                <w:color w:val="auto"/>
                <w:lang w:val="en-US" w:eastAsia="zh-CN"/>
              </w:rPr>
              <w:t>理化实验室：集气罩</w:t>
            </w:r>
            <w:r>
              <w:rPr>
                <w:color w:val="auto"/>
              </w:rPr>
              <w:t>+活性炭吸附，末端通过电控风道外排</w:t>
            </w:r>
          </w:p>
        </w:tc>
        <w:tc>
          <w:tcPr>
            <w:tcW w:w="1063" w:type="dxa"/>
            <w:vMerge w:val="restart"/>
            <w:tcBorders>
              <w:tl2br w:val="nil"/>
              <w:tr2bl w:val="nil"/>
            </w:tcBorders>
            <w:vAlign w:val="center"/>
          </w:tcPr>
          <w:p>
            <w:pPr>
              <w:pStyle w:val="22"/>
              <w:bidi w:val="0"/>
              <w:jc w:val="center"/>
              <w:rPr>
                <w:color w:val="auto"/>
              </w:rPr>
            </w:pPr>
            <w:r>
              <w:rPr>
                <w:color w:val="auto"/>
              </w:rPr>
              <w:t>少量</w:t>
            </w:r>
          </w:p>
        </w:tc>
        <w:tc>
          <w:tcPr>
            <w:tcW w:w="1886" w:type="dxa"/>
            <w:tcBorders>
              <w:tl2br w:val="nil"/>
              <w:tr2bl w:val="nil"/>
            </w:tcBorders>
            <w:vAlign w:val="center"/>
          </w:tcPr>
          <w:p>
            <w:pPr>
              <w:pStyle w:val="22"/>
              <w:bidi w:val="0"/>
              <w:jc w:val="center"/>
              <w:rPr>
                <w:color w:val="auto"/>
              </w:rPr>
            </w:pPr>
            <w:r>
              <w:rPr>
                <w:color w:val="auto"/>
              </w:rPr>
              <w:t>《大气污染物综合排放标准》（GB16297-1996）表2中新污染源大气污染物排放限值；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466" w:type="dxa"/>
            <w:vMerge w:val="continue"/>
            <w:tcBorders>
              <w:tl2br w:val="nil"/>
              <w:tr2bl w:val="nil"/>
            </w:tcBorders>
            <w:textDirection w:val="tbRlV"/>
            <w:vAlign w:val="center"/>
          </w:tcPr>
          <w:p>
            <w:pPr>
              <w:pStyle w:val="22"/>
              <w:bidi w:val="0"/>
              <w:jc w:val="center"/>
              <w:rPr>
                <w:color w:val="auto"/>
              </w:rPr>
            </w:pPr>
          </w:p>
        </w:tc>
        <w:tc>
          <w:tcPr>
            <w:tcW w:w="845" w:type="dxa"/>
            <w:vMerge w:val="continue"/>
            <w:tcBorders>
              <w:tl2br w:val="nil"/>
              <w:tr2bl w:val="nil"/>
            </w:tcBorders>
            <w:vAlign w:val="center"/>
          </w:tcPr>
          <w:p>
            <w:pPr>
              <w:pStyle w:val="22"/>
              <w:bidi w:val="0"/>
              <w:jc w:val="center"/>
              <w:rPr>
                <w:color w:val="auto"/>
              </w:rPr>
            </w:pPr>
          </w:p>
        </w:tc>
        <w:tc>
          <w:tcPr>
            <w:tcW w:w="805" w:type="dxa"/>
            <w:vMerge w:val="continue"/>
            <w:tcBorders>
              <w:tl2br w:val="nil"/>
              <w:tr2bl w:val="nil"/>
            </w:tcBorders>
            <w:vAlign w:val="center"/>
          </w:tcPr>
          <w:p>
            <w:pPr>
              <w:pStyle w:val="22"/>
              <w:bidi w:val="0"/>
              <w:jc w:val="center"/>
              <w:rPr>
                <w:color w:val="auto"/>
              </w:rPr>
            </w:pPr>
          </w:p>
        </w:tc>
        <w:tc>
          <w:tcPr>
            <w:tcW w:w="1404" w:type="dxa"/>
            <w:gridSpan w:val="2"/>
            <w:vMerge w:val="continue"/>
            <w:tcBorders>
              <w:tl2br w:val="nil"/>
              <w:tr2bl w:val="nil"/>
            </w:tcBorders>
            <w:vAlign w:val="center"/>
          </w:tcPr>
          <w:p>
            <w:pPr>
              <w:pStyle w:val="22"/>
              <w:bidi w:val="0"/>
              <w:jc w:val="center"/>
              <w:rPr>
                <w:color w:val="auto"/>
              </w:rPr>
            </w:pPr>
          </w:p>
        </w:tc>
        <w:tc>
          <w:tcPr>
            <w:tcW w:w="2087" w:type="dxa"/>
            <w:tcBorders>
              <w:tl2br w:val="nil"/>
              <w:tr2bl w:val="nil"/>
            </w:tcBorders>
            <w:vAlign w:val="center"/>
          </w:tcPr>
          <w:p>
            <w:pPr>
              <w:pStyle w:val="22"/>
              <w:bidi w:val="0"/>
              <w:jc w:val="center"/>
              <w:rPr>
                <w:color w:val="auto"/>
              </w:rPr>
            </w:pPr>
            <w:r>
              <w:rPr>
                <w:rFonts w:hint="eastAsia"/>
                <w:color w:val="auto"/>
                <w:lang w:val="en-US" w:eastAsia="zh-CN"/>
              </w:rPr>
              <w:t>微生物实验室：</w:t>
            </w:r>
            <w:r>
              <w:rPr>
                <w:color w:val="auto"/>
              </w:rPr>
              <w:t>生物安全柜</w:t>
            </w:r>
            <w:r>
              <w:rPr>
                <w:rFonts w:hint="eastAsia"/>
                <w:color w:val="auto"/>
                <w:lang w:val="en-US" w:eastAsia="zh-CN"/>
              </w:rPr>
              <w:t>+</w:t>
            </w:r>
            <w:r>
              <w:rPr>
                <w:color w:val="auto"/>
              </w:rPr>
              <w:t>高效过滤器</w:t>
            </w:r>
            <w:r>
              <w:rPr>
                <w:rFonts w:hint="eastAsia"/>
                <w:color w:val="auto"/>
                <w:lang w:val="en-US" w:eastAsia="zh-CN"/>
              </w:rPr>
              <w:t>+</w:t>
            </w:r>
            <w:r>
              <w:rPr>
                <w:color w:val="auto"/>
              </w:rPr>
              <w:t>专用排气筒送至楼顶排放。</w:t>
            </w:r>
          </w:p>
        </w:tc>
        <w:tc>
          <w:tcPr>
            <w:tcW w:w="1063" w:type="dxa"/>
            <w:vMerge w:val="continue"/>
            <w:tcBorders>
              <w:tl2br w:val="nil"/>
              <w:tr2bl w:val="nil"/>
            </w:tcBorders>
            <w:vAlign w:val="center"/>
          </w:tcPr>
          <w:p>
            <w:pPr>
              <w:pStyle w:val="22"/>
              <w:bidi w:val="0"/>
              <w:jc w:val="center"/>
              <w:rPr>
                <w:color w:val="auto"/>
              </w:rPr>
            </w:pPr>
          </w:p>
        </w:tc>
        <w:tc>
          <w:tcPr>
            <w:tcW w:w="1886" w:type="dxa"/>
            <w:tcBorders>
              <w:tl2br w:val="nil"/>
              <w:tr2bl w:val="nil"/>
            </w:tcBorders>
            <w:vAlign w:val="center"/>
          </w:tcPr>
          <w:p>
            <w:pPr>
              <w:pStyle w:val="22"/>
              <w:bidi w:val="0"/>
              <w:jc w:val="both"/>
              <w:rPr>
                <w:color w:val="auto"/>
              </w:rPr>
            </w:pPr>
            <w:r>
              <w:rPr>
                <w:rFonts w:hint="eastAsia"/>
                <w:color w:val="auto"/>
                <w:lang w:val="en-US" w:eastAsia="zh-CN"/>
              </w:rPr>
              <w:t>《</w:t>
            </w:r>
            <w:r>
              <w:rPr>
                <w:rFonts w:hint="eastAsia"/>
                <w:color w:val="auto"/>
                <w:lang w:eastAsia="zh-CN"/>
              </w:rPr>
              <w:t>高致病性病原微生物实验室污染物排放标准</w:t>
            </w:r>
            <w:r>
              <w:rPr>
                <w:rFonts w:hint="eastAsia"/>
                <w:color w:val="auto"/>
                <w:lang w:val="en-US" w:eastAsia="zh-CN"/>
              </w:rPr>
              <w:t>》（二次征求意见稿）中表4大气污染物生物学指标排放限值中，2目标微生物排放限值</w:t>
            </w:r>
            <w:r>
              <w:rPr>
                <w:rFonts w:hint="eastAsia"/>
                <w:color w:val="auto"/>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1" w:hRule="atLeast"/>
        </w:trPr>
        <w:tc>
          <w:tcPr>
            <w:tcW w:w="466" w:type="dxa"/>
            <w:vMerge w:val="continue"/>
            <w:tcBorders>
              <w:tl2br w:val="nil"/>
              <w:tr2bl w:val="nil"/>
            </w:tcBorders>
            <w:textDirection w:val="tbRlV"/>
            <w:vAlign w:val="center"/>
          </w:tcPr>
          <w:p>
            <w:pPr>
              <w:pStyle w:val="22"/>
              <w:bidi w:val="0"/>
              <w:jc w:val="center"/>
              <w:rPr>
                <w:color w:val="auto"/>
              </w:rPr>
            </w:pPr>
          </w:p>
        </w:tc>
        <w:tc>
          <w:tcPr>
            <w:tcW w:w="845" w:type="dxa"/>
            <w:vMerge w:val="restart"/>
            <w:tcBorders>
              <w:tl2br w:val="nil"/>
              <w:tr2bl w:val="nil"/>
            </w:tcBorders>
            <w:vAlign w:val="center"/>
          </w:tcPr>
          <w:p>
            <w:pPr>
              <w:pStyle w:val="22"/>
              <w:bidi w:val="0"/>
              <w:jc w:val="center"/>
              <w:rPr>
                <w:rFonts w:hint="eastAsia"/>
                <w:color w:val="auto"/>
                <w:lang w:val="en-US" w:eastAsia="zh-CN"/>
              </w:rPr>
            </w:pPr>
            <w:r>
              <w:rPr>
                <w:rFonts w:hint="eastAsia"/>
                <w:color w:val="auto"/>
                <w:lang w:val="en-US" w:eastAsia="zh-CN"/>
              </w:rPr>
              <w:t>无组织</w:t>
            </w:r>
          </w:p>
        </w:tc>
        <w:tc>
          <w:tcPr>
            <w:tcW w:w="805" w:type="dxa"/>
            <w:tcBorders>
              <w:tl2br w:val="nil"/>
              <w:tr2bl w:val="nil"/>
            </w:tcBorders>
            <w:vAlign w:val="center"/>
          </w:tcPr>
          <w:p>
            <w:pPr>
              <w:pStyle w:val="22"/>
              <w:bidi w:val="0"/>
              <w:jc w:val="center"/>
              <w:rPr>
                <w:color w:val="auto"/>
              </w:rPr>
            </w:pPr>
            <w:r>
              <w:rPr>
                <w:color w:val="auto"/>
              </w:rPr>
              <w:t>医疗废物暂存间</w:t>
            </w:r>
          </w:p>
        </w:tc>
        <w:tc>
          <w:tcPr>
            <w:tcW w:w="1404" w:type="dxa"/>
            <w:gridSpan w:val="2"/>
            <w:tcBorders>
              <w:tl2br w:val="nil"/>
              <w:tr2bl w:val="nil"/>
            </w:tcBorders>
            <w:vAlign w:val="center"/>
          </w:tcPr>
          <w:p>
            <w:pPr>
              <w:pStyle w:val="22"/>
              <w:bidi w:val="0"/>
              <w:jc w:val="center"/>
              <w:rPr>
                <w:color w:val="auto"/>
              </w:rPr>
            </w:pPr>
            <w:r>
              <w:rPr>
                <w:color w:val="auto"/>
              </w:rPr>
              <w:t>少量</w:t>
            </w:r>
          </w:p>
        </w:tc>
        <w:tc>
          <w:tcPr>
            <w:tcW w:w="2087" w:type="dxa"/>
            <w:tcBorders>
              <w:tl2br w:val="nil"/>
              <w:tr2bl w:val="nil"/>
            </w:tcBorders>
            <w:vAlign w:val="center"/>
          </w:tcPr>
          <w:p>
            <w:pPr>
              <w:pStyle w:val="22"/>
              <w:bidi w:val="0"/>
              <w:jc w:val="center"/>
              <w:rPr>
                <w:color w:val="auto"/>
              </w:rPr>
            </w:pPr>
            <w:r>
              <w:rPr>
                <w:color w:val="auto"/>
              </w:rPr>
              <w:t>消毒处理后通过排气扇将暂存间废气排出</w:t>
            </w:r>
          </w:p>
        </w:tc>
        <w:tc>
          <w:tcPr>
            <w:tcW w:w="1063" w:type="dxa"/>
            <w:tcBorders>
              <w:tl2br w:val="nil"/>
              <w:tr2bl w:val="nil"/>
            </w:tcBorders>
            <w:vAlign w:val="center"/>
          </w:tcPr>
          <w:p>
            <w:pPr>
              <w:pStyle w:val="22"/>
              <w:bidi w:val="0"/>
              <w:jc w:val="center"/>
              <w:rPr>
                <w:color w:val="auto"/>
              </w:rPr>
            </w:pPr>
            <w:r>
              <w:rPr>
                <w:color w:val="auto"/>
              </w:rPr>
              <w:t>少量</w:t>
            </w:r>
          </w:p>
        </w:tc>
        <w:tc>
          <w:tcPr>
            <w:tcW w:w="1886" w:type="dxa"/>
            <w:tcBorders>
              <w:tl2br w:val="nil"/>
              <w:tr2bl w:val="nil"/>
            </w:tcBorders>
            <w:vAlign w:val="center"/>
          </w:tcPr>
          <w:p>
            <w:pPr>
              <w:pStyle w:val="22"/>
              <w:bidi w:val="0"/>
              <w:jc w:val="center"/>
              <w:rPr>
                <w:color w:val="auto"/>
              </w:rPr>
            </w:pPr>
            <w:r>
              <w:rPr>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466" w:type="dxa"/>
            <w:vMerge w:val="continue"/>
            <w:tcBorders>
              <w:tl2br w:val="nil"/>
              <w:tr2bl w:val="nil"/>
            </w:tcBorders>
            <w:textDirection w:val="tbRlV"/>
            <w:vAlign w:val="center"/>
          </w:tcPr>
          <w:p>
            <w:pPr>
              <w:pStyle w:val="22"/>
              <w:bidi w:val="0"/>
              <w:jc w:val="center"/>
              <w:rPr>
                <w:color w:val="auto"/>
              </w:rPr>
            </w:pPr>
          </w:p>
        </w:tc>
        <w:tc>
          <w:tcPr>
            <w:tcW w:w="845" w:type="dxa"/>
            <w:vMerge w:val="continue"/>
            <w:tcBorders>
              <w:tl2br w:val="nil"/>
              <w:tr2bl w:val="nil"/>
            </w:tcBorders>
            <w:vAlign w:val="center"/>
          </w:tcPr>
          <w:p>
            <w:pPr>
              <w:pStyle w:val="22"/>
              <w:bidi w:val="0"/>
              <w:jc w:val="center"/>
              <w:rPr>
                <w:color w:val="auto"/>
              </w:rPr>
            </w:pPr>
          </w:p>
        </w:tc>
        <w:tc>
          <w:tcPr>
            <w:tcW w:w="805" w:type="dxa"/>
            <w:vMerge w:val="restart"/>
            <w:tcBorders>
              <w:tl2br w:val="nil"/>
              <w:tr2bl w:val="nil"/>
            </w:tcBorders>
            <w:vAlign w:val="center"/>
          </w:tcPr>
          <w:p>
            <w:pPr>
              <w:pStyle w:val="22"/>
              <w:bidi w:val="0"/>
              <w:jc w:val="center"/>
              <w:rPr>
                <w:color w:val="auto"/>
              </w:rPr>
            </w:pPr>
            <w:r>
              <w:rPr>
                <w:color w:val="auto"/>
              </w:rPr>
              <w:t>污水站恶臭</w:t>
            </w:r>
          </w:p>
        </w:tc>
        <w:tc>
          <w:tcPr>
            <w:tcW w:w="450" w:type="dxa"/>
            <w:tcBorders>
              <w:tl2br w:val="nil"/>
              <w:tr2bl w:val="nil"/>
            </w:tcBorders>
            <w:vAlign w:val="center"/>
          </w:tcPr>
          <w:p>
            <w:pPr>
              <w:pStyle w:val="22"/>
              <w:bidi w:val="0"/>
              <w:jc w:val="center"/>
              <w:rPr>
                <w:color w:val="auto"/>
                <w:highlight w:val="none"/>
              </w:rPr>
            </w:pPr>
            <w:r>
              <w:rPr>
                <w:color w:val="auto"/>
                <w:highlight w:val="none"/>
              </w:rPr>
              <w:t>H</w:t>
            </w:r>
            <w:r>
              <w:rPr>
                <w:color w:val="auto"/>
                <w:highlight w:val="none"/>
                <w:vertAlign w:val="subscript"/>
              </w:rPr>
              <w:t>2</w:t>
            </w:r>
            <w:r>
              <w:rPr>
                <w:color w:val="auto"/>
                <w:highlight w:val="none"/>
              </w:rPr>
              <w:t>S</w:t>
            </w:r>
          </w:p>
        </w:tc>
        <w:tc>
          <w:tcPr>
            <w:tcW w:w="954" w:type="dxa"/>
            <w:tcBorders>
              <w:tl2br w:val="nil"/>
              <w:tr2bl w:val="nil"/>
            </w:tcBorders>
            <w:vAlign w:val="center"/>
          </w:tcPr>
          <w:p>
            <w:pPr>
              <w:pStyle w:val="22"/>
              <w:bidi w:val="0"/>
              <w:jc w:val="center"/>
              <w:rPr>
                <w:color w:val="auto"/>
                <w:highlight w:val="none"/>
              </w:rPr>
            </w:pPr>
            <w:r>
              <w:rPr>
                <w:rFonts w:hint="eastAsia"/>
                <w:color w:val="auto"/>
                <w:highlight w:val="none"/>
                <w:lang w:val="en-US" w:eastAsia="zh-CN"/>
              </w:rPr>
              <w:t>0.248</w:t>
            </w:r>
            <w:r>
              <w:rPr>
                <w:color w:val="auto"/>
                <w:highlight w:val="none"/>
              </w:rPr>
              <w:t>kg/a</w:t>
            </w:r>
          </w:p>
        </w:tc>
        <w:tc>
          <w:tcPr>
            <w:tcW w:w="2087" w:type="dxa"/>
            <w:vMerge w:val="restart"/>
            <w:tcBorders>
              <w:tl2br w:val="nil"/>
              <w:tr2bl w:val="nil"/>
            </w:tcBorders>
            <w:vAlign w:val="center"/>
          </w:tcPr>
          <w:p>
            <w:pPr>
              <w:pStyle w:val="22"/>
              <w:bidi w:val="0"/>
              <w:jc w:val="center"/>
              <w:rPr>
                <w:color w:val="auto"/>
                <w:highlight w:val="none"/>
              </w:rPr>
            </w:pPr>
            <w:r>
              <w:rPr>
                <w:color w:val="auto"/>
                <w:highlight w:val="none"/>
              </w:rPr>
              <w:t>污水处理设施及构筑物均进行密闭，各部分产生的废气经集中收集后通过活性炭吸附后排放</w:t>
            </w:r>
          </w:p>
        </w:tc>
        <w:tc>
          <w:tcPr>
            <w:tcW w:w="1063" w:type="dxa"/>
            <w:tcBorders>
              <w:tl2br w:val="nil"/>
              <w:tr2bl w:val="nil"/>
            </w:tcBorders>
            <w:vAlign w:val="center"/>
          </w:tcPr>
          <w:p>
            <w:pPr>
              <w:pStyle w:val="22"/>
              <w:bidi w:val="0"/>
              <w:jc w:val="center"/>
              <w:rPr>
                <w:color w:val="auto"/>
                <w:highlight w:val="none"/>
              </w:rPr>
            </w:pPr>
            <w:r>
              <w:rPr>
                <w:rFonts w:hint="eastAsia"/>
                <w:color w:val="auto"/>
                <w:highlight w:val="none"/>
                <w:lang w:val="en-US" w:eastAsia="zh-CN"/>
              </w:rPr>
              <w:t>0.05</w:t>
            </w:r>
            <w:r>
              <w:rPr>
                <w:color w:val="auto"/>
                <w:highlight w:val="none"/>
              </w:rPr>
              <w:t>kg/a</w:t>
            </w:r>
          </w:p>
        </w:tc>
        <w:tc>
          <w:tcPr>
            <w:tcW w:w="1886" w:type="dxa"/>
            <w:vMerge w:val="restart"/>
            <w:tcBorders>
              <w:tl2br w:val="nil"/>
              <w:tr2bl w:val="nil"/>
            </w:tcBorders>
            <w:vAlign w:val="center"/>
          </w:tcPr>
          <w:p>
            <w:pPr>
              <w:pStyle w:val="22"/>
              <w:bidi w:val="0"/>
              <w:jc w:val="center"/>
              <w:rPr>
                <w:color w:val="auto"/>
              </w:rPr>
            </w:pPr>
            <w:r>
              <w:rPr>
                <w:color w:val="auto"/>
              </w:rPr>
              <w:t>《医疗机构水污染物排放标准》（GB18466-2005）中表3的排放标准限值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466" w:type="dxa"/>
            <w:vMerge w:val="continue"/>
            <w:tcBorders>
              <w:tl2br w:val="nil"/>
              <w:tr2bl w:val="nil"/>
            </w:tcBorders>
            <w:textDirection w:val="tbRlV"/>
            <w:vAlign w:val="center"/>
          </w:tcPr>
          <w:p>
            <w:pPr>
              <w:pStyle w:val="22"/>
              <w:bidi w:val="0"/>
              <w:jc w:val="center"/>
              <w:rPr>
                <w:color w:val="auto"/>
              </w:rPr>
            </w:pPr>
          </w:p>
        </w:tc>
        <w:tc>
          <w:tcPr>
            <w:tcW w:w="845" w:type="dxa"/>
            <w:vMerge w:val="continue"/>
            <w:tcBorders>
              <w:tl2br w:val="nil"/>
              <w:tr2bl w:val="nil"/>
            </w:tcBorders>
            <w:vAlign w:val="center"/>
          </w:tcPr>
          <w:p>
            <w:pPr>
              <w:pStyle w:val="22"/>
              <w:bidi w:val="0"/>
              <w:jc w:val="center"/>
              <w:rPr>
                <w:color w:val="auto"/>
              </w:rPr>
            </w:pPr>
          </w:p>
        </w:tc>
        <w:tc>
          <w:tcPr>
            <w:tcW w:w="805" w:type="dxa"/>
            <w:vMerge w:val="continue"/>
            <w:tcBorders>
              <w:tl2br w:val="nil"/>
              <w:tr2bl w:val="nil"/>
            </w:tcBorders>
            <w:vAlign w:val="center"/>
          </w:tcPr>
          <w:p>
            <w:pPr>
              <w:pStyle w:val="22"/>
              <w:bidi w:val="0"/>
              <w:jc w:val="center"/>
              <w:rPr>
                <w:color w:val="auto"/>
              </w:rPr>
            </w:pPr>
          </w:p>
        </w:tc>
        <w:tc>
          <w:tcPr>
            <w:tcW w:w="450" w:type="dxa"/>
            <w:tcBorders>
              <w:tl2br w:val="nil"/>
              <w:tr2bl w:val="nil"/>
            </w:tcBorders>
            <w:vAlign w:val="center"/>
          </w:tcPr>
          <w:p>
            <w:pPr>
              <w:pStyle w:val="22"/>
              <w:bidi w:val="0"/>
              <w:jc w:val="center"/>
              <w:rPr>
                <w:color w:val="auto"/>
                <w:highlight w:val="none"/>
              </w:rPr>
            </w:pPr>
            <w:r>
              <w:rPr>
                <w:color w:val="auto"/>
                <w:highlight w:val="none"/>
              </w:rPr>
              <w:t>NH</w:t>
            </w:r>
            <w:r>
              <w:rPr>
                <w:color w:val="auto"/>
                <w:highlight w:val="none"/>
                <w:vertAlign w:val="subscript"/>
              </w:rPr>
              <w:t>3</w:t>
            </w:r>
          </w:p>
        </w:tc>
        <w:tc>
          <w:tcPr>
            <w:tcW w:w="954" w:type="dxa"/>
            <w:tcBorders>
              <w:tl2br w:val="nil"/>
              <w:tr2bl w:val="nil"/>
            </w:tcBorders>
            <w:vAlign w:val="center"/>
          </w:tcPr>
          <w:p>
            <w:pPr>
              <w:pStyle w:val="22"/>
              <w:bidi w:val="0"/>
              <w:jc w:val="center"/>
              <w:rPr>
                <w:color w:val="auto"/>
                <w:highlight w:val="none"/>
              </w:rPr>
            </w:pPr>
            <w:r>
              <w:rPr>
                <w:rFonts w:hint="eastAsia"/>
                <w:color w:val="auto"/>
                <w:highlight w:val="none"/>
                <w:lang w:val="en-US" w:eastAsia="zh-CN"/>
              </w:rPr>
              <w:t>0.0096</w:t>
            </w:r>
            <w:r>
              <w:rPr>
                <w:color w:val="auto"/>
                <w:highlight w:val="none"/>
              </w:rPr>
              <w:t>kg/a</w:t>
            </w:r>
          </w:p>
        </w:tc>
        <w:tc>
          <w:tcPr>
            <w:tcW w:w="2087" w:type="dxa"/>
            <w:vMerge w:val="continue"/>
            <w:tcBorders>
              <w:tl2br w:val="nil"/>
              <w:tr2bl w:val="nil"/>
            </w:tcBorders>
            <w:vAlign w:val="center"/>
          </w:tcPr>
          <w:p>
            <w:pPr>
              <w:pStyle w:val="22"/>
              <w:bidi w:val="0"/>
              <w:jc w:val="center"/>
              <w:rPr>
                <w:color w:val="auto"/>
                <w:highlight w:val="none"/>
              </w:rPr>
            </w:pPr>
          </w:p>
        </w:tc>
        <w:tc>
          <w:tcPr>
            <w:tcW w:w="1063" w:type="dxa"/>
            <w:tcBorders>
              <w:tl2br w:val="nil"/>
              <w:tr2bl w:val="nil"/>
            </w:tcBorders>
            <w:vAlign w:val="center"/>
          </w:tcPr>
          <w:p>
            <w:pPr>
              <w:pStyle w:val="22"/>
              <w:bidi w:val="0"/>
              <w:jc w:val="center"/>
              <w:rPr>
                <w:color w:val="auto"/>
                <w:highlight w:val="none"/>
              </w:rPr>
            </w:pPr>
            <w:r>
              <w:rPr>
                <w:color w:val="auto"/>
                <w:highlight w:val="none"/>
              </w:rPr>
              <w:t>0.</w:t>
            </w:r>
            <w:r>
              <w:rPr>
                <w:rFonts w:hint="eastAsia"/>
                <w:color w:val="auto"/>
                <w:highlight w:val="none"/>
                <w:lang w:val="en-US" w:eastAsia="zh-CN"/>
              </w:rPr>
              <w:t>002</w:t>
            </w:r>
            <w:r>
              <w:rPr>
                <w:color w:val="auto"/>
                <w:highlight w:val="none"/>
              </w:rPr>
              <w:t>kg/a</w:t>
            </w:r>
          </w:p>
        </w:tc>
        <w:tc>
          <w:tcPr>
            <w:tcW w:w="1886" w:type="dxa"/>
            <w:vMerge w:val="continue"/>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466" w:type="dxa"/>
            <w:vMerge w:val="restart"/>
            <w:tcBorders>
              <w:tl2br w:val="nil"/>
              <w:tr2bl w:val="nil"/>
            </w:tcBorders>
            <w:textDirection w:val="tbRlV"/>
            <w:vAlign w:val="center"/>
          </w:tcPr>
          <w:p>
            <w:pPr>
              <w:pStyle w:val="22"/>
              <w:bidi w:val="0"/>
              <w:jc w:val="center"/>
              <w:rPr>
                <w:rFonts w:hint="default"/>
                <w:color w:val="auto"/>
                <w:lang w:val="en-US" w:eastAsia="zh-CN"/>
              </w:rPr>
            </w:pPr>
            <w:r>
              <w:rPr>
                <w:rFonts w:hint="eastAsia"/>
                <w:color w:val="auto"/>
                <w:lang w:val="en-US" w:eastAsia="zh-CN"/>
              </w:rPr>
              <w:t>水污染物</w:t>
            </w:r>
          </w:p>
        </w:tc>
        <w:tc>
          <w:tcPr>
            <w:tcW w:w="845" w:type="dxa"/>
            <w:tcBorders>
              <w:tl2br w:val="nil"/>
              <w:tr2bl w:val="nil"/>
            </w:tcBorders>
            <w:vAlign w:val="center"/>
          </w:tcPr>
          <w:p>
            <w:pPr>
              <w:pStyle w:val="22"/>
              <w:bidi w:val="0"/>
              <w:jc w:val="center"/>
              <w:rPr>
                <w:color w:val="auto"/>
              </w:rPr>
            </w:pPr>
            <w:r>
              <w:rPr>
                <w:color w:val="auto"/>
              </w:rPr>
              <w:t>生活</w:t>
            </w:r>
          </w:p>
          <w:p>
            <w:pPr>
              <w:pStyle w:val="22"/>
              <w:bidi w:val="0"/>
              <w:jc w:val="center"/>
              <w:rPr>
                <w:color w:val="auto"/>
              </w:rPr>
            </w:pPr>
            <w:r>
              <w:rPr>
                <w:color w:val="auto"/>
              </w:rPr>
              <w:t>污水</w:t>
            </w:r>
          </w:p>
        </w:tc>
        <w:tc>
          <w:tcPr>
            <w:tcW w:w="805" w:type="dxa"/>
            <w:tcBorders>
              <w:tl2br w:val="nil"/>
              <w:tr2bl w:val="nil"/>
            </w:tcBorders>
            <w:vAlign w:val="center"/>
          </w:tcPr>
          <w:p>
            <w:pPr>
              <w:pStyle w:val="22"/>
              <w:bidi w:val="0"/>
              <w:jc w:val="center"/>
              <w:rPr>
                <w:rFonts w:hint="eastAsia"/>
                <w:color w:val="auto"/>
                <w:lang w:eastAsia="zh-CN"/>
              </w:rPr>
            </w:pPr>
            <w:r>
              <w:rPr>
                <w:color w:val="auto"/>
              </w:rPr>
              <w:t>COD</w:t>
            </w:r>
            <w:r>
              <w:rPr>
                <w:rFonts w:hint="eastAsia"/>
                <w:color w:val="auto"/>
                <w:lang w:eastAsia="zh-CN"/>
              </w:rPr>
              <w:t>、</w:t>
            </w:r>
            <w:r>
              <w:rPr>
                <w:color w:val="auto"/>
              </w:rPr>
              <w:t>BOD</w:t>
            </w:r>
            <w:r>
              <w:rPr>
                <w:color w:val="auto"/>
                <w:vertAlign w:val="subscript"/>
              </w:rPr>
              <w:t>5</w:t>
            </w:r>
            <w:r>
              <w:rPr>
                <w:rFonts w:hint="eastAsia"/>
                <w:color w:val="auto"/>
                <w:lang w:eastAsia="zh-CN"/>
              </w:rPr>
              <w:t>、</w:t>
            </w:r>
            <w:r>
              <w:rPr>
                <w:color w:val="auto"/>
              </w:rPr>
              <w:t>SS</w:t>
            </w:r>
            <w:r>
              <w:rPr>
                <w:rFonts w:hint="eastAsia"/>
                <w:color w:val="auto"/>
                <w:lang w:eastAsia="zh-CN"/>
              </w:rPr>
              <w:t>、</w:t>
            </w:r>
          </w:p>
          <w:p>
            <w:pPr>
              <w:pStyle w:val="22"/>
              <w:bidi w:val="0"/>
              <w:jc w:val="center"/>
              <w:rPr>
                <w:color w:val="auto"/>
              </w:rPr>
            </w:pPr>
            <w:r>
              <w:rPr>
                <w:color w:val="auto"/>
              </w:rPr>
              <w:t>NH</w:t>
            </w:r>
            <w:r>
              <w:rPr>
                <w:color w:val="auto"/>
                <w:vertAlign w:val="subscript"/>
              </w:rPr>
              <w:t>3</w:t>
            </w:r>
            <w:r>
              <w:rPr>
                <w:color w:val="auto"/>
              </w:rPr>
              <w:t>-N</w:t>
            </w:r>
          </w:p>
        </w:tc>
        <w:tc>
          <w:tcPr>
            <w:tcW w:w="1404" w:type="dxa"/>
            <w:gridSpan w:val="2"/>
            <w:tcBorders>
              <w:tl2br w:val="nil"/>
              <w:tr2bl w:val="nil"/>
            </w:tcBorders>
            <w:vAlign w:val="center"/>
          </w:tcPr>
          <w:p>
            <w:pPr>
              <w:pStyle w:val="22"/>
              <w:bidi w:val="0"/>
              <w:jc w:val="center"/>
              <w:rPr>
                <w:color w:val="auto"/>
                <w:highlight w:val="none"/>
              </w:rPr>
            </w:pPr>
            <w:r>
              <w:rPr>
                <w:rFonts w:hint="eastAsia"/>
                <w:color w:val="auto"/>
                <w:highlight w:val="none"/>
                <w:lang w:val="en-US" w:eastAsia="zh-CN"/>
              </w:rPr>
              <w:t>48</w:t>
            </w:r>
            <w:r>
              <w:rPr>
                <w:color w:val="auto"/>
                <w:highlight w:val="none"/>
              </w:rPr>
              <w:t>m</w:t>
            </w:r>
            <w:r>
              <w:rPr>
                <w:color w:val="auto"/>
                <w:highlight w:val="none"/>
                <w:vertAlign w:val="superscript"/>
              </w:rPr>
              <w:t>3</w:t>
            </w:r>
            <w:r>
              <w:rPr>
                <w:color w:val="auto"/>
                <w:highlight w:val="none"/>
              </w:rPr>
              <w:t>/a</w:t>
            </w:r>
          </w:p>
        </w:tc>
        <w:tc>
          <w:tcPr>
            <w:tcW w:w="2087" w:type="dxa"/>
            <w:vMerge w:val="restart"/>
            <w:tcBorders>
              <w:tl2br w:val="nil"/>
              <w:tr2bl w:val="nil"/>
            </w:tcBorders>
            <w:vAlign w:val="center"/>
          </w:tcPr>
          <w:p>
            <w:pPr>
              <w:pStyle w:val="22"/>
              <w:bidi w:val="0"/>
              <w:jc w:val="both"/>
              <w:rPr>
                <w:color w:val="auto"/>
                <w:highlight w:val="none"/>
              </w:rPr>
            </w:pPr>
            <w:r>
              <w:rPr>
                <w:color w:val="auto"/>
                <w:highlight w:val="none"/>
              </w:rPr>
              <w:t>生活污水经化粪池处理后</w:t>
            </w:r>
            <w:r>
              <w:rPr>
                <w:rFonts w:hint="eastAsia"/>
                <w:color w:val="auto"/>
                <w:highlight w:val="none"/>
                <w:lang w:val="en-US" w:eastAsia="zh-CN"/>
              </w:rPr>
              <w:t>经市政管网</w:t>
            </w:r>
            <w:r>
              <w:rPr>
                <w:color w:val="auto"/>
                <w:highlight w:val="none"/>
              </w:rPr>
              <w:t>进入</w:t>
            </w:r>
            <w:r>
              <w:rPr>
                <w:rFonts w:hint="eastAsia"/>
                <w:color w:val="auto"/>
                <w:highlight w:val="none"/>
                <w:lang w:val="en-US" w:eastAsia="zh-CN"/>
              </w:rPr>
              <w:t>皮山农场</w:t>
            </w:r>
            <w:r>
              <w:rPr>
                <w:color w:val="auto"/>
                <w:highlight w:val="none"/>
              </w:rPr>
              <w:t>污水处理厂处理；实验室废水进入自建污水处理站处理后，</w:t>
            </w:r>
            <w:r>
              <w:rPr>
                <w:rFonts w:hint="eastAsia"/>
                <w:color w:val="auto"/>
                <w:highlight w:val="none"/>
                <w:lang w:val="en-US" w:eastAsia="zh-CN"/>
              </w:rPr>
              <w:t>经市政污水管网进入皮山农场</w:t>
            </w:r>
            <w:r>
              <w:rPr>
                <w:color w:val="auto"/>
                <w:highlight w:val="none"/>
              </w:rPr>
              <w:t>污水处理厂处理</w:t>
            </w:r>
          </w:p>
        </w:tc>
        <w:tc>
          <w:tcPr>
            <w:tcW w:w="1063" w:type="dxa"/>
            <w:tcBorders>
              <w:tl2br w:val="nil"/>
              <w:tr2bl w:val="nil"/>
            </w:tcBorders>
            <w:vAlign w:val="center"/>
          </w:tcPr>
          <w:p>
            <w:pPr>
              <w:pStyle w:val="22"/>
              <w:bidi w:val="0"/>
              <w:jc w:val="center"/>
              <w:rPr>
                <w:color w:val="auto"/>
                <w:highlight w:val="none"/>
              </w:rPr>
            </w:pPr>
            <w:r>
              <w:rPr>
                <w:rFonts w:hint="eastAsia"/>
                <w:color w:val="auto"/>
                <w:highlight w:val="none"/>
                <w:lang w:val="en-US" w:eastAsia="zh-CN"/>
              </w:rPr>
              <w:t>48</w:t>
            </w:r>
            <w:r>
              <w:rPr>
                <w:color w:val="auto"/>
                <w:highlight w:val="none"/>
              </w:rPr>
              <w:t>m</w:t>
            </w:r>
            <w:r>
              <w:rPr>
                <w:color w:val="auto"/>
                <w:highlight w:val="none"/>
                <w:vertAlign w:val="superscript"/>
              </w:rPr>
              <w:t>3</w:t>
            </w:r>
            <w:r>
              <w:rPr>
                <w:color w:val="auto"/>
                <w:highlight w:val="none"/>
              </w:rPr>
              <w:t>/a</w:t>
            </w:r>
          </w:p>
        </w:tc>
        <w:tc>
          <w:tcPr>
            <w:tcW w:w="1886" w:type="dxa"/>
            <w:tcBorders>
              <w:tl2br w:val="nil"/>
              <w:tr2bl w:val="nil"/>
            </w:tcBorders>
            <w:vAlign w:val="center"/>
          </w:tcPr>
          <w:p>
            <w:pPr>
              <w:pStyle w:val="22"/>
              <w:bidi w:val="0"/>
              <w:jc w:val="center"/>
              <w:rPr>
                <w:color w:val="auto"/>
              </w:rPr>
            </w:pPr>
            <w:r>
              <w:rPr>
                <w:color w:val="auto"/>
              </w:rPr>
              <w:t>《污水综合排放标准》（GB8978-1996）</w:t>
            </w:r>
          </w:p>
          <w:p>
            <w:pPr>
              <w:pStyle w:val="22"/>
              <w:bidi w:val="0"/>
              <w:jc w:val="center"/>
              <w:rPr>
                <w:color w:val="auto"/>
              </w:rPr>
            </w:pPr>
            <w:r>
              <w:rPr>
                <w:color w:val="auto"/>
              </w:rPr>
              <w:t>中三级标准/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9" w:hRule="atLeast"/>
        </w:trPr>
        <w:tc>
          <w:tcPr>
            <w:tcW w:w="466" w:type="dxa"/>
            <w:vMerge w:val="continue"/>
            <w:tcBorders>
              <w:tl2br w:val="nil"/>
              <w:tr2bl w:val="nil"/>
            </w:tcBorders>
            <w:textDirection w:val="tbRlV"/>
            <w:vAlign w:val="center"/>
          </w:tcPr>
          <w:p>
            <w:pPr>
              <w:pStyle w:val="22"/>
              <w:bidi w:val="0"/>
              <w:jc w:val="center"/>
              <w:rPr>
                <w:rFonts w:hint="eastAsia"/>
                <w:color w:val="auto"/>
                <w:lang w:val="en-US" w:eastAsia="zh-CN"/>
              </w:rPr>
            </w:pPr>
          </w:p>
        </w:tc>
        <w:tc>
          <w:tcPr>
            <w:tcW w:w="845" w:type="dxa"/>
            <w:tcBorders>
              <w:tl2br w:val="nil"/>
              <w:tr2bl w:val="nil"/>
            </w:tcBorders>
            <w:vAlign w:val="center"/>
          </w:tcPr>
          <w:p>
            <w:pPr>
              <w:pStyle w:val="22"/>
              <w:bidi w:val="0"/>
              <w:jc w:val="center"/>
              <w:rPr>
                <w:rFonts w:hint="eastAsia"/>
                <w:color w:val="auto"/>
                <w:lang w:eastAsia="zh-CN"/>
              </w:rPr>
            </w:pPr>
            <w:r>
              <w:rPr>
                <w:color w:val="auto"/>
              </w:rPr>
              <w:t>纯水制备浓水</w:t>
            </w:r>
            <w:r>
              <w:rPr>
                <w:rFonts w:hint="eastAsia"/>
                <w:color w:val="auto"/>
                <w:lang w:eastAsia="zh-CN"/>
              </w:rPr>
              <w:t>、</w:t>
            </w:r>
          </w:p>
          <w:p>
            <w:pPr>
              <w:pStyle w:val="22"/>
              <w:bidi w:val="0"/>
              <w:jc w:val="center"/>
              <w:rPr>
                <w:color w:val="auto"/>
              </w:rPr>
            </w:pPr>
            <w:r>
              <w:rPr>
                <w:color w:val="auto"/>
              </w:rPr>
              <w:t>微生物实验室废水</w:t>
            </w:r>
            <w:r>
              <w:rPr>
                <w:rFonts w:hint="eastAsia"/>
                <w:color w:val="auto"/>
                <w:lang w:eastAsia="zh-CN"/>
              </w:rPr>
              <w:t>、</w:t>
            </w:r>
            <w:r>
              <w:rPr>
                <w:color w:val="auto"/>
              </w:rPr>
              <w:t>理化实验室废水</w:t>
            </w:r>
          </w:p>
        </w:tc>
        <w:tc>
          <w:tcPr>
            <w:tcW w:w="805" w:type="dxa"/>
            <w:tcBorders>
              <w:tl2br w:val="nil"/>
              <w:tr2bl w:val="nil"/>
            </w:tcBorders>
            <w:vAlign w:val="center"/>
          </w:tcPr>
          <w:p>
            <w:pPr>
              <w:pStyle w:val="22"/>
              <w:bidi w:val="0"/>
              <w:jc w:val="center"/>
              <w:rPr>
                <w:color w:val="auto"/>
              </w:rPr>
            </w:pPr>
            <w:r>
              <w:rPr>
                <w:color w:val="auto"/>
              </w:rPr>
              <w:t>全盐类</w:t>
            </w:r>
            <w:r>
              <w:rPr>
                <w:rFonts w:hint="eastAsia"/>
                <w:color w:val="auto"/>
                <w:lang w:eastAsia="zh-CN"/>
              </w:rPr>
              <w:t>、</w:t>
            </w:r>
            <w:r>
              <w:rPr>
                <w:color w:val="auto"/>
              </w:rPr>
              <w:t>COD</w:t>
            </w:r>
            <w:r>
              <w:rPr>
                <w:rFonts w:hint="eastAsia"/>
                <w:color w:val="auto"/>
                <w:lang w:eastAsia="zh-CN"/>
              </w:rPr>
              <w:t>、</w:t>
            </w:r>
            <w:r>
              <w:rPr>
                <w:color w:val="auto"/>
              </w:rPr>
              <w:t>BOD</w:t>
            </w:r>
            <w:r>
              <w:rPr>
                <w:color w:val="auto"/>
                <w:vertAlign w:val="subscript"/>
              </w:rPr>
              <w:t>5</w:t>
            </w:r>
          </w:p>
          <w:p>
            <w:pPr>
              <w:pStyle w:val="22"/>
              <w:bidi w:val="0"/>
              <w:jc w:val="center"/>
              <w:rPr>
                <w:color w:val="auto"/>
              </w:rPr>
            </w:pPr>
            <w:r>
              <w:rPr>
                <w:color w:val="auto"/>
              </w:rPr>
              <w:t>SS</w:t>
            </w:r>
            <w:r>
              <w:rPr>
                <w:rFonts w:hint="eastAsia"/>
                <w:color w:val="auto"/>
                <w:lang w:eastAsia="zh-CN"/>
              </w:rPr>
              <w:t>、</w:t>
            </w:r>
            <w:r>
              <w:rPr>
                <w:color w:val="auto"/>
              </w:rPr>
              <w:t>NH3-N</w:t>
            </w:r>
          </w:p>
          <w:p>
            <w:pPr>
              <w:pStyle w:val="22"/>
              <w:bidi w:val="0"/>
              <w:jc w:val="center"/>
              <w:rPr>
                <w:color w:val="auto"/>
              </w:rPr>
            </w:pPr>
            <w:r>
              <w:rPr>
                <w:color w:val="auto"/>
              </w:rPr>
              <w:t>粪大肠菌群</w:t>
            </w:r>
          </w:p>
        </w:tc>
        <w:tc>
          <w:tcPr>
            <w:tcW w:w="1404" w:type="dxa"/>
            <w:gridSpan w:val="2"/>
            <w:tcBorders>
              <w:tl2br w:val="nil"/>
              <w:tr2bl w:val="nil"/>
            </w:tcBorders>
            <w:vAlign w:val="center"/>
          </w:tcPr>
          <w:p>
            <w:pPr>
              <w:pStyle w:val="22"/>
              <w:bidi w:val="0"/>
              <w:jc w:val="center"/>
              <w:rPr>
                <w:rFonts w:hint="eastAsia"/>
                <w:color w:val="auto"/>
                <w:highlight w:val="none"/>
                <w:lang w:val="en-US" w:eastAsia="zh-CN"/>
              </w:rPr>
            </w:pPr>
            <w:r>
              <w:rPr>
                <w:rFonts w:hint="eastAsia"/>
                <w:color w:val="auto"/>
                <w:highlight w:val="none"/>
                <w:lang w:val="en-US" w:eastAsia="zh-CN"/>
              </w:rPr>
              <w:t>444</w:t>
            </w:r>
            <w:r>
              <w:rPr>
                <w:color w:val="auto"/>
                <w:highlight w:val="none"/>
              </w:rPr>
              <w:t>m</w:t>
            </w:r>
            <w:r>
              <w:rPr>
                <w:color w:val="auto"/>
                <w:highlight w:val="none"/>
                <w:vertAlign w:val="superscript"/>
              </w:rPr>
              <w:t>3</w:t>
            </w:r>
            <w:r>
              <w:rPr>
                <w:color w:val="auto"/>
                <w:highlight w:val="none"/>
              </w:rPr>
              <w:t>/a</w:t>
            </w:r>
          </w:p>
        </w:tc>
        <w:tc>
          <w:tcPr>
            <w:tcW w:w="2087" w:type="dxa"/>
            <w:vMerge w:val="continue"/>
            <w:tcBorders>
              <w:tl2br w:val="nil"/>
              <w:tr2bl w:val="nil"/>
            </w:tcBorders>
            <w:vAlign w:val="center"/>
          </w:tcPr>
          <w:p>
            <w:pPr>
              <w:pStyle w:val="22"/>
              <w:bidi w:val="0"/>
              <w:jc w:val="center"/>
              <w:rPr>
                <w:color w:val="auto"/>
                <w:highlight w:val="none"/>
              </w:rPr>
            </w:pPr>
          </w:p>
        </w:tc>
        <w:tc>
          <w:tcPr>
            <w:tcW w:w="1063" w:type="dxa"/>
            <w:tcBorders>
              <w:tl2br w:val="nil"/>
              <w:tr2bl w:val="nil"/>
            </w:tcBorders>
            <w:vAlign w:val="center"/>
          </w:tcPr>
          <w:p>
            <w:pPr>
              <w:pStyle w:val="22"/>
              <w:bidi w:val="0"/>
              <w:jc w:val="center"/>
              <w:rPr>
                <w:color w:val="auto"/>
                <w:highlight w:val="none"/>
              </w:rPr>
            </w:pPr>
            <w:r>
              <w:rPr>
                <w:rFonts w:hint="eastAsia"/>
                <w:color w:val="auto"/>
                <w:highlight w:val="none"/>
                <w:lang w:val="en-US" w:eastAsia="zh-CN"/>
              </w:rPr>
              <w:t>444</w:t>
            </w:r>
            <w:r>
              <w:rPr>
                <w:color w:val="auto"/>
                <w:highlight w:val="none"/>
              </w:rPr>
              <w:t>m</w:t>
            </w:r>
            <w:r>
              <w:rPr>
                <w:color w:val="auto"/>
                <w:highlight w:val="none"/>
                <w:vertAlign w:val="superscript"/>
              </w:rPr>
              <w:t>3</w:t>
            </w:r>
            <w:r>
              <w:rPr>
                <w:color w:val="auto"/>
                <w:highlight w:val="none"/>
              </w:rPr>
              <w:t>/a</w:t>
            </w:r>
          </w:p>
        </w:tc>
        <w:tc>
          <w:tcPr>
            <w:tcW w:w="1886" w:type="dxa"/>
            <w:tcBorders>
              <w:tl2br w:val="nil"/>
              <w:tr2bl w:val="nil"/>
            </w:tcBorders>
            <w:vAlign w:val="center"/>
          </w:tcPr>
          <w:p>
            <w:pPr>
              <w:pStyle w:val="22"/>
              <w:bidi w:val="0"/>
              <w:jc w:val="center"/>
              <w:rPr>
                <w:color w:val="auto"/>
              </w:rPr>
            </w:pPr>
            <w:r>
              <w:rPr>
                <w:color w:val="auto"/>
              </w:rPr>
              <w:t>《医疗机构水污染物排放标准》（GB18466-2005）表2预处理标准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53" w:hRule="atLeast"/>
        </w:trPr>
        <w:tc>
          <w:tcPr>
            <w:tcW w:w="466" w:type="dxa"/>
            <w:tcBorders>
              <w:tl2br w:val="nil"/>
              <w:tr2bl w:val="nil"/>
            </w:tcBorders>
            <w:textDirection w:val="tbRlV"/>
            <w:vAlign w:val="center"/>
          </w:tcPr>
          <w:p>
            <w:pPr>
              <w:pStyle w:val="22"/>
              <w:bidi w:val="0"/>
              <w:jc w:val="center"/>
              <w:rPr>
                <w:color w:val="auto"/>
              </w:rPr>
            </w:pPr>
            <w:r>
              <w:rPr>
                <w:color w:val="auto"/>
              </w:rPr>
              <w:t>噪声</w:t>
            </w:r>
          </w:p>
        </w:tc>
        <w:tc>
          <w:tcPr>
            <w:tcW w:w="845" w:type="dxa"/>
            <w:tcBorders>
              <w:tl2br w:val="nil"/>
              <w:tr2bl w:val="nil"/>
            </w:tcBorders>
            <w:vAlign w:val="center"/>
          </w:tcPr>
          <w:p>
            <w:pPr>
              <w:pStyle w:val="22"/>
              <w:bidi w:val="0"/>
              <w:jc w:val="center"/>
              <w:rPr>
                <w:color w:val="auto"/>
              </w:rPr>
            </w:pPr>
            <w:r>
              <w:rPr>
                <w:color w:val="auto"/>
              </w:rPr>
              <w:t>设备</w:t>
            </w:r>
          </w:p>
        </w:tc>
        <w:tc>
          <w:tcPr>
            <w:tcW w:w="805" w:type="dxa"/>
            <w:tcBorders>
              <w:tl2br w:val="nil"/>
              <w:tr2bl w:val="nil"/>
            </w:tcBorders>
            <w:vAlign w:val="center"/>
          </w:tcPr>
          <w:p>
            <w:pPr>
              <w:pStyle w:val="22"/>
              <w:bidi w:val="0"/>
              <w:jc w:val="center"/>
              <w:rPr>
                <w:color w:val="auto"/>
              </w:rPr>
            </w:pPr>
            <w:r>
              <w:rPr>
                <w:color w:val="auto"/>
              </w:rPr>
              <w:t>噪声</w:t>
            </w:r>
          </w:p>
        </w:tc>
        <w:tc>
          <w:tcPr>
            <w:tcW w:w="1404" w:type="dxa"/>
            <w:gridSpan w:val="2"/>
            <w:tcBorders>
              <w:tl2br w:val="nil"/>
              <w:tr2bl w:val="nil"/>
            </w:tcBorders>
            <w:vAlign w:val="center"/>
          </w:tcPr>
          <w:p>
            <w:pPr>
              <w:pStyle w:val="22"/>
              <w:bidi w:val="0"/>
              <w:jc w:val="center"/>
              <w:rPr>
                <w:color w:val="auto"/>
              </w:rPr>
            </w:pPr>
            <w:r>
              <w:rPr>
                <w:color w:val="auto"/>
              </w:rPr>
              <w:t>/</w:t>
            </w:r>
          </w:p>
        </w:tc>
        <w:tc>
          <w:tcPr>
            <w:tcW w:w="2087" w:type="dxa"/>
            <w:tcBorders>
              <w:tl2br w:val="nil"/>
              <w:tr2bl w:val="nil"/>
            </w:tcBorders>
            <w:vAlign w:val="center"/>
          </w:tcPr>
          <w:p>
            <w:pPr>
              <w:pStyle w:val="22"/>
              <w:bidi w:val="0"/>
              <w:jc w:val="center"/>
              <w:rPr>
                <w:color w:val="auto"/>
              </w:rPr>
            </w:pPr>
            <w:r>
              <w:rPr>
                <w:color w:val="auto"/>
              </w:rPr>
              <w:t>基础减振</w:t>
            </w:r>
          </w:p>
        </w:tc>
        <w:tc>
          <w:tcPr>
            <w:tcW w:w="1063" w:type="dxa"/>
            <w:tcBorders>
              <w:tl2br w:val="nil"/>
              <w:tr2bl w:val="nil"/>
            </w:tcBorders>
            <w:vAlign w:val="center"/>
          </w:tcPr>
          <w:p>
            <w:pPr>
              <w:pStyle w:val="22"/>
              <w:bidi w:val="0"/>
              <w:jc w:val="center"/>
              <w:rPr>
                <w:color w:val="auto"/>
              </w:rPr>
            </w:pPr>
            <w:r>
              <w:rPr>
                <w:color w:val="auto"/>
              </w:rPr>
              <w:t>/</w:t>
            </w:r>
          </w:p>
        </w:tc>
        <w:tc>
          <w:tcPr>
            <w:tcW w:w="1886" w:type="dxa"/>
            <w:tcBorders>
              <w:tl2br w:val="nil"/>
              <w:tr2bl w:val="nil"/>
            </w:tcBorders>
            <w:vAlign w:val="center"/>
          </w:tcPr>
          <w:p>
            <w:pPr>
              <w:pStyle w:val="22"/>
              <w:bidi w:val="0"/>
              <w:jc w:val="center"/>
              <w:rPr>
                <w:color w:val="auto"/>
              </w:rPr>
            </w:pPr>
            <w:r>
              <w:rPr>
                <w:color w:val="auto"/>
              </w:rPr>
              <w:t>《声环境质量标准》（GB3096-2008）1类标准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2" w:hRule="atLeast"/>
        </w:trPr>
        <w:tc>
          <w:tcPr>
            <w:tcW w:w="466" w:type="dxa"/>
            <w:vMerge w:val="restart"/>
            <w:tcBorders>
              <w:tl2br w:val="nil"/>
              <w:tr2bl w:val="nil"/>
            </w:tcBorders>
            <w:textDirection w:val="tbRlV"/>
            <w:vAlign w:val="center"/>
          </w:tcPr>
          <w:p>
            <w:pPr>
              <w:pStyle w:val="22"/>
              <w:bidi w:val="0"/>
              <w:jc w:val="center"/>
              <w:rPr>
                <w:color w:val="auto"/>
              </w:rPr>
            </w:pPr>
            <w:r>
              <w:rPr>
                <w:color w:val="auto"/>
              </w:rPr>
              <w:t>固废</w:t>
            </w:r>
          </w:p>
        </w:tc>
        <w:tc>
          <w:tcPr>
            <w:tcW w:w="845" w:type="dxa"/>
            <w:tcBorders>
              <w:tl2br w:val="nil"/>
              <w:tr2bl w:val="nil"/>
            </w:tcBorders>
            <w:vAlign w:val="center"/>
          </w:tcPr>
          <w:p>
            <w:pPr>
              <w:pStyle w:val="22"/>
              <w:bidi w:val="0"/>
              <w:jc w:val="center"/>
              <w:rPr>
                <w:color w:val="auto"/>
              </w:rPr>
            </w:pPr>
            <w:r>
              <w:rPr>
                <w:color w:val="auto"/>
              </w:rPr>
              <w:t>生活</w:t>
            </w:r>
          </w:p>
          <w:p>
            <w:pPr>
              <w:pStyle w:val="22"/>
              <w:bidi w:val="0"/>
              <w:jc w:val="center"/>
              <w:rPr>
                <w:color w:val="auto"/>
              </w:rPr>
            </w:pPr>
            <w:r>
              <w:rPr>
                <w:color w:val="auto"/>
              </w:rPr>
              <w:t>区</w:t>
            </w:r>
          </w:p>
        </w:tc>
        <w:tc>
          <w:tcPr>
            <w:tcW w:w="805" w:type="dxa"/>
            <w:tcBorders>
              <w:tl2br w:val="nil"/>
              <w:tr2bl w:val="nil"/>
            </w:tcBorders>
            <w:vAlign w:val="center"/>
          </w:tcPr>
          <w:p>
            <w:pPr>
              <w:pStyle w:val="22"/>
              <w:bidi w:val="0"/>
              <w:jc w:val="center"/>
              <w:rPr>
                <w:color w:val="auto"/>
              </w:rPr>
            </w:pPr>
            <w:r>
              <w:rPr>
                <w:color w:val="auto"/>
              </w:rPr>
              <w:t>生活垃圾</w:t>
            </w:r>
          </w:p>
        </w:tc>
        <w:tc>
          <w:tcPr>
            <w:tcW w:w="1404" w:type="dxa"/>
            <w:gridSpan w:val="2"/>
            <w:tcBorders>
              <w:tl2br w:val="nil"/>
              <w:tr2bl w:val="nil"/>
            </w:tcBorders>
            <w:vAlign w:val="center"/>
          </w:tcPr>
          <w:p>
            <w:pPr>
              <w:pStyle w:val="22"/>
              <w:bidi w:val="0"/>
              <w:jc w:val="center"/>
              <w:rPr>
                <w:color w:val="auto"/>
                <w:highlight w:val="none"/>
              </w:rPr>
            </w:pPr>
            <w:r>
              <w:rPr>
                <w:rFonts w:hint="eastAsia"/>
                <w:color w:val="auto"/>
                <w:highlight w:val="none"/>
                <w:lang w:val="en-US" w:eastAsia="zh-CN"/>
              </w:rPr>
              <w:t>7.5</w:t>
            </w:r>
            <w:r>
              <w:rPr>
                <w:color w:val="auto"/>
                <w:highlight w:val="none"/>
              </w:rPr>
              <w:t>t/a</w:t>
            </w:r>
          </w:p>
        </w:tc>
        <w:tc>
          <w:tcPr>
            <w:tcW w:w="2087" w:type="dxa"/>
            <w:tcBorders>
              <w:tl2br w:val="nil"/>
              <w:tr2bl w:val="nil"/>
            </w:tcBorders>
            <w:vAlign w:val="center"/>
          </w:tcPr>
          <w:p>
            <w:pPr>
              <w:pStyle w:val="22"/>
              <w:bidi w:val="0"/>
              <w:jc w:val="center"/>
              <w:rPr>
                <w:color w:val="auto"/>
              </w:rPr>
            </w:pPr>
            <w:r>
              <w:rPr>
                <w:color w:val="auto"/>
              </w:rPr>
              <w:t>由市政环卫部门统一收集后送至垃圾填埋场处理</w:t>
            </w:r>
          </w:p>
        </w:tc>
        <w:tc>
          <w:tcPr>
            <w:tcW w:w="1063" w:type="dxa"/>
            <w:tcBorders>
              <w:tl2br w:val="nil"/>
              <w:tr2bl w:val="nil"/>
            </w:tcBorders>
            <w:vAlign w:val="center"/>
          </w:tcPr>
          <w:p>
            <w:pPr>
              <w:pStyle w:val="22"/>
              <w:bidi w:val="0"/>
              <w:jc w:val="center"/>
              <w:rPr>
                <w:color w:val="auto"/>
              </w:rPr>
            </w:pPr>
            <w:r>
              <w:rPr>
                <w:rFonts w:hint="eastAsia"/>
                <w:color w:val="auto"/>
                <w:lang w:val="en-US" w:eastAsia="zh-CN"/>
              </w:rPr>
              <w:t>7.5</w:t>
            </w:r>
            <w:r>
              <w:rPr>
                <w:color w:val="auto"/>
              </w:rPr>
              <w:t>t/a</w:t>
            </w:r>
          </w:p>
        </w:tc>
        <w:tc>
          <w:tcPr>
            <w:tcW w:w="1886" w:type="dxa"/>
            <w:tcBorders>
              <w:tl2br w:val="nil"/>
              <w:tr2bl w:val="nil"/>
            </w:tcBorders>
            <w:vAlign w:val="center"/>
          </w:tcPr>
          <w:p>
            <w:pPr>
              <w:pStyle w:val="22"/>
              <w:bidi w:val="0"/>
              <w:jc w:val="center"/>
              <w:rPr>
                <w:color w:val="auto"/>
              </w:rPr>
            </w:pPr>
            <w:r>
              <w:rPr>
                <w:color w:val="auto"/>
              </w:rPr>
              <w:t>合理处置率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92" w:hRule="atLeast"/>
        </w:trPr>
        <w:tc>
          <w:tcPr>
            <w:tcW w:w="466" w:type="dxa"/>
            <w:vMerge w:val="continue"/>
            <w:tcBorders>
              <w:tl2br w:val="nil"/>
              <w:tr2bl w:val="nil"/>
            </w:tcBorders>
            <w:textDirection w:val="tbRlV"/>
            <w:vAlign w:val="center"/>
          </w:tcPr>
          <w:p>
            <w:pPr>
              <w:pStyle w:val="22"/>
              <w:bidi w:val="0"/>
              <w:jc w:val="center"/>
              <w:rPr>
                <w:color w:val="auto"/>
              </w:rPr>
            </w:pPr>
          </w:p>
        </w:tc>
        <w:tc>
          <w:tcPr>
            <w:tcW w:w="845" w:type="dxa"/>
            <w:vMerge w:val="restart"/>
            <w:tcBorders>
              <w:tl2br w:val="nil"/>
              <w:tr2bl w:val="nil"/>
            </w:tcBorders>
            <w:vAlign w:val="center"/>
          </w:tcPr>
          <w:p>
            <w:pPr>
              <w:pStyle w:val="22"/>
              <w:bidi w:val="0"/>
              <w:jc w:val="center"/>
              <w:rPr>
                <w:color w:val="auto"/>
              </w:rPr>
            </w:pPr>
            <w:r>
              <w:rPr>
                <w:color w:val="auto"/>
              </w:rPr>
              <w:t>生产</w:t>
            </w:r>
          </w:p>
          <w:p>
            <w:pPr>
              <w:pStyle w:val="22"/>
              <w:bidi w:val="0"/>
              <w:jc w:val="center"/>
              <w:rPr>
                <w:color w:val="auto"/>
              </w:rPr>
            </w:pPr>
            <w:r>
              <w:rPr>
                <w:color w:val="auto"/>
              </w:rPr>
              <w:t>区</w:t>
            </w:r>
          </w:p>
        </w:tc>
        <w:tc>
          <w:tcPr>
            <w:tcW w:w="805" w:type="dxa"/>
            <w:tcBorders>
              <w:tl2br w:val="nil"/>
              <w:tr2bl w:val="nil"/>
            </w:tcBorders>
            <w:vAlign w:val="center"/>
          </w:tcPr>
          <w:p>
            <w:pPr>
              <w:pStyle w:val="22"/>
              <w:bidi w:val="0"/>
              <w:jc w:val="center"/>
              <w:rPr>
                <w:rFonts w:hint="eastAsia"/>
                <w:color w:val="auto"/>
                <w:lang w:val="en-US" w:eastAsia="zh-CN"/>
              </w:rPr>
            </w:pPr>
            <w:r>
              <w:rPr>
                <w:color w:val="auto"/>
              </w:rPr>
              <w:t>医疗废</w:t>
            </w:r>
            <w:r>
              <w:rPr>
                <w:rFonts w:hint="eastAsia"/>
                <w:color w:val="auto"/>
                <w:lang w:val="en-US" w:eastAsia="zh-CN"/>
              </w:rPr>
              <w:t>物</w:t>
            </w:r>
          </w:p>
        </w:tc>
        <w:tc>
          <w:tcPr>
            <w:tcW w:w="1404" w:type="dxa"/>
            <w:gridSpan w:val="2"/>
            <w:tcBorders>
              <w:tl2br w:val="nil"/>
              <w:tr2bl w:val="nil"/>
            </w:tcBorders>
            <w:vAlign w:val="center"/>
          </w:tcPr>
          <w:p>
            <w:pPr>
              <w:pStyle w:val="22"/>
              <w:bidi w:val="0"/>
              <w:jc w:val="center"/>
              <w:rPr>
                <w:color w:val="auto"/>
                <w:highlight w:val="none"/>
              </w:rPr>
            </w:pPr>
            <w:r>
              <w:rPr>
                <w:rFonts w:hint="eastAsia"/>
                <w:color w:val="auto"/>
                <w:highlight w:val="none"/>
                <w:lang w:val="en-US" w:eastAsia="zh-CN"/>
              </w:rPr>
              <w:t>0.75</w:t>
            </w:r>
            <w:r>
              <w:rPr>
                <w:color w:val="auto"/>
                <w:highlight w:val="none"/>
              </w:rPr>
              <w:t>t/a</w:t>
            </w:r>
          </w:p>
        </w:tc>
        <w:tc>
          <w:tcPr>
            <w:tcW w:w="2087" w:type="dxa"/>
            <w:vMerge w:val="restart"/>
            <w:tcBorders>
              <w:tl2br w:val="nil"/>
              <w:tr2bl w:val="nil"/>
            </w:tcBorders>
            <w:vAlign w:val="center"/>
          </w:tcPr>
          <w:p>
            <w:pPr>
              <w:pStyle w:val="22"/>
              <w:bidi w:val="0"/>
              <w:jc w:val="center"/>
              <w:rPr>
                <w:color w:val="auto"/>
              </w:rPr>
            </w:pPr>
            <w:r>
              <w:rPr>
                <w:color w:val="auto"/>
              </w:rPr>
              <w:t>密闭容器收集，暂存于医疗废物暂存间，定期交由有资质的单位进行处置；污泥清掏前委托有资质的单位进行污泥监测，达到《医疗机构水污染物排放标准》（GB18466-2005）表4医疗机构污泥控制标准后再进行清掏，清掏出的污泥交由有资质的单位进行处置。</w:t>
            </w:r>
          </w:p>
        </w:tc>
        <w:tc>
          <w:tcPr>
            <w:tcW w:w="1063" w:type="dxa"/>
            <w:tcBorders>
              <w:tl2br w:val="nil"/>
              <w:tr2bl w:val="nil"/>
            </w:tcBorders>
            <w:vAlign w:val="center"/>
          </w:tcPr>
          <w:p>
            <w:pPr>
              <w:pStyle w:val="22"/>
              <w:bidi w:val="0"/>
              <w:jc w:val="center"/>
              <w:rPr>
                <w:color w:val="auto"/>
              </w:rPr>
            </w:pPr>
            <w:r>
              <w:rPr>
                <w:rFonts w:hint="eastAsia"/>
                <w:color w:val="auto"/>
                <w:lang w:val="en-US" w:eastAsia="zh-CN"/>
              </w:rPr>
              <w:t>0.75</w:t>
            </w:r>
            <w:r>
              <w:rPr>
                <w:color w:val="auto"/>
              </w:rPr>
              <w:t>t/a</w:t>
            </w:r>
          </w:p>
        </w:tc>
        <w:tc>
          <w:tcPr>
            <w:tcW w:w="1886" w:type="dxa"/>
            <w:vMerge w:val="restart"/>
            <w:tcBorders>
              <w:tl2br w:val="nil"/>
              <w:tr2bl w:val="nil"/>
            </w:tcBorders>
            <w:vAlign w:val="center"/>
          </w:tcPr>
          <w:p>
            <w:pPr>
              <w:pStyle w:val="22"/>
              <w:bidi w:val="0"/>
              <w:jc w:val="center"/>
              <w:rPr>
                <w:color w:val="auto"/>
              </w:rPr>
            </w:pPr>
            <w:r>
              <w:rPr>
                <w:color w:val="auto"/>
              </w:rPr>
              <w:t>满足《危险废物贮存污染控制标准》</w:t>
            </w:r>
          </w:p>
          <w:p>
            <w:pPr>
              <w:pStyle w:val="22"/>
              <w:bidi w:val="0"/>
              <w:jc w:val="center"/>
              <w:rPr>
                <w:color w:val="auto"/>
              </w:rPr>
            </w:pPr>
            <w:r>
              <w:rPr>
                <w:color w:val="auto"/>
              </w:rPr>
              <w:t>（GB18597-2001）</w:t>
            </w:r>
          </w:p>
          <w:p>
            <w:pPr>
              <w:pStyle w:val="22"/>
              <w:bidi w:val="0"/>
              <w:jc w:val="center"/>
              <w:rPr>
                <w:color w:val="auto"/>
              </w:rPr>
            </w:pPr>
            <w:r>
              <w:rPr>
                <w:color w:val="auto"/>
              </w:rPr>
              <w:t>中危险废物贮存要求；满足《医疗机构水污染排放标准》（GB18466-2005）中医疗机构污泥控制标准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5" w:hRule="atLeast"/>
        </w:trPr>
        <w:tc>
          <w:tcPr>
            <w:tcW w:w="466" w:type="dxa"/>
            <w:vMerge w:val="continue"/>
            <w:tcBorders>
              <w:tl2br w:val="nil"/>
              <w:tr2bl w:val="nil"/>
            </w:tcBorders>
            <w:textDirection w:val="tbRlV"/>
            <w:vAlign w:val="center"/>
          </w:tcPr>
          <w:p>
            <w:pPr>
              <w:pStyle w:val="22"/>
              <w:bidi w:val="0"/>
              <w:jc w:val="center"/>
              <w:rPr>
                <w:color w:val="auto"/>
              </w:rPr>
            </w:pPr>
          </w:p>
        </w:tc>
        <w:tc>
          <w:tcPr>
            <w:tcW w:w="845" w:type="dxa"/>
            <w:vMerge w:val="continue"/>
            <w:tcBorders>
              <w:tl2br w:val="nil"/>
              <w:tr2bl w:val="nil"/>
            </w:tcBorders>
            <w:vAlign w:val="center"/>
          </w:tcPr>
          <w:p>
            <w:pPr>
              <w:pStyle w:val="22"/>
              <w:bidi w:val="0"/>
              <w:jc w:val="center"/>
              <w:rPr>
                <w:color w:val="auto"/>
              </w:rPr>
            </w:pPr>
          </w:p>
        </w:tc>
        <w:tc>
          <w:tcPr>
            <w:tcW w:w="805" w:type="dxa"/>
            <w:tcBorders>
              <w:tl2br w:val="nil"/>
              <w:tr2bl w:val="nil"/>
            </w:tcBorders>
            <w:vAlign w:val="center"/>
          </w:tcPr>
          <w:p>
            <w:pPr>
              <w:pStyle w:val="22"/>
              <w:bidi w:val="0"/>
              <w:jc w:val="center"/>
              <w:rPr>
                <w:color w:val="auto"/>
              </w:rPr>
            </w:pPr>
            <w:r>
              <w:rPr>
                <w:color w:val="auto"/>
              </w:rPr>
              <w:t>栅渣、污泥</w:t>
            </w:r>
          </w:p>
        </w:tc>
        <w:tc>
          <w:tcPr>
            <w:tcW w:w="1404" w:type="dxa"/>
            <w:gridSpan w:val="2"/>
            <w:tcBorders>
              <w:tl2br w:val="nil"/>
              <w:tr2bl w:val="nil"/>
            </w:tcBorders>
            <w:vAlign w:val="center"/>
          </w:tcPr>
          <w:p>
            <w:pPr>
              <w:pStyle w:val="22"/>
              <w:bidi w:val="0"/>
              <w:jc w:val="center"/>
              <w:rPr>
                <w:color w:val="auto"/>
                <w:highlight w:val="none"/>
              </w:rPr>
            </w:pPr>
            <w:r>
              <w:rPr>
                <w:color w:val="auto"/>
                <w:highlight w:val="none"/>
              </w:rPr>
              <w:t>0.</w:t>
            </w:r>
            <w:r>
              <w:rPr>
                <w:rFonts w:hint="eastAsia"/>
                <w:color w:val="auto"/>
                <w:highlight w:val="none"/>
                <w:lang w:val="en-US" w:eastAsia="zh-CN"/>
              </w:rPr>
              <w:t>3</w:t>
            </w:r>
            <w:r>
              <w:rPr>
                <w:color w:val="auto"/>
                <w:highlight w:val="none"/>
              </w:rPr>
              <w:t>t/a</w:t>
            </w:r>
          </w:p>
        </w:tc>
        <w:tc>
          <w:tcPr>
            <w:tcW w:w="2087" w:type="dxa"/>
            <w:vMerge w:val="continue"/>
            <w:tcBorders>
              <w:tl2br w:val="nil"/>
              <w:tr2bl w:val="nil"/>
            </w:tcBorders>
            <w:vAlign w:val="center"/>
          </w:tcPr>
          <w:p>
            <w:pPr>
              <w:pStyle w:val="22"/>
              <w:bidi w:val="0"/>
              <w:jc w:val="center"/>
              <w:rPr>
                <w:color w:val="auto"/>
              </w:rPr>
            </w:pPr>
          </w:p>
        </w:tc>
        <w:tc>
          <w:tcPr>
            <w:tcW w:w="1063" w:type="dxa"/>
            <w:tcBorders>
              <w:tl2br w:val="nil"/>
              <w:tr2bl w:val="nil"/>
            </w:tcBorders>
            <w:vAlign w:val="center"/>
          </w:tcPr>
          <w:p>
            <w:pPr>
              <w:pStyle w:val="22"/>
              <w:bidi w:val="0"/>
              <w:jc w:val="center"/>
              <w:rPr>
                <w:color w:val="auto"/>
              </w:rPr>
            </w:pPr>
            <w:r>
              <w:rPr>
                <w:color w:val="auto"/>
              </w:rPr>
              <w:t>0.</w:t>
            </w:r>
            <w:r>
              <w:rPr>
                <w:rFonts w:hint="eastAsia"/>
                <w:color w:val="auto"/>
                <w:lang w:val="en-US" w:eastAsia="zh-CN"/>
              </w:rPr>
              <w:t>3</w:t>
            </w:r>
            <w:r>
              <w:rPr>
                <w:color w:val="auto"/>
              </w:rPr>
              <w:t>t/a</w:t>
            </w:r>
          </w:p>
        </w:tc>
        <w:tc>
          <w:tcPr>
            <w:tcW w:w="1886" w:type="dxa"/>
            <w:vMerge w:val="continue"/>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0" w:hRule="atLeast"/>
        </w:trPr>
        <w:tc>
          <w:tcPr>
            <w:tcW w:w="466" w:type="dxa"/>
            <w:vMerge w:val="continue"/>
            <w:tcBorders>
              <w:tl2br w:val="nil"/>
              <w:tr2bl w:val="nil"/>
            </w:tcBorders>
            <w:textDirection w:val="tbRlV"/>
            <w:vAlign w:val="center"/>
          </w:tcPr>
          <w:p>
            <w:pPr>
              <w:pStyle w:val="22"/>
              <w:bidi w:val="0"/>
              <w:jc w:val="center"/>
              <w:rPr>
                <w:color w:val="auto"/>
              </w:rPr>
            </w:pPr>
          </w:p>
        </w:tc>
        <w:tc>
          <w:tcPr>
            <w:tcW w:w="845" w:type="dxa"/>
            <w:vMerge w:val="continue"/>
            <w:tcBorders>
              <w:tl2br w:val="nil"/>
              <w:tr2bl w:val="nil"/>
            </w:tcBorders>
            <w:vAlign w:val="center"/>
          </w:tcPr>
          <w:p>
            <w:pPr>
              <w:pStyle w:val="22"/>
              <w:bidi w:val="0"/>
              <w:jc w:val="center"/>
              <w:rPr>
                <w:color w:val="auto"/>
              </w:rPr>
            </w:pPr>
          </w:p>
        </w:tc>
        <w:tc>
          <w:tcPr>
            <w:tcW w:w="805" w:type="dxa"/>
            <w:tcBorders>
              <w:tl2br w:val="nil"/>
              <w:tr2bl w:val="nil"/>
            </w:tcBorders>
            <w:vAlign w:val="center"/>
          </w:tcPr>
          <w:p>
            <w:pPr>
              <w:pStyle w:val="22"/>
              <w:bidi w:val="0"/>
              <w:jc w:val="center"/>
              <w:rPr>
                <w:color w:val="auto"/>
              </w:rPr>
            </w:pPr>
            <w:r>
              <w:rPr>
                <w:color w:val="auto"/>
              </w:rPr>
              <w:t>废活性炭</w:t>
            </w:r>
          </w:p>
        </w:tc>
        <w:tc>
          <w:tcPr>
            <w:tcW w:w="1404" w:type="dxa"/>
            <w:gridSpan w:val="2"/>
            <w:tcBorders>
              <w:tl2br w:val="nil"/>
              <w:tr2bl w:val="nil"/>
            </w:tcBorders>
            <w:vAlign w:val="center"/>
          </w:tcPr>
          <w:p>
            <w:pPr>
              <w:pStyle w:val="22"/>
              <w:bidi w:val="0"/>
              <w:jc w:val="center"/>
              <w:rPr>
                <w:color w:val="auto"/>
                <w:highlight w:val="none"/>
              </w:rPr>
            </w:pPr>
            <w:r>
              <w:rPr>
                <w:color w:val="auto"/>
                <w:highlight w:val="none"/>
              </w:rPr>
              <w:t>0</w:t>
            </w:r>
            <w:r>
              <w:rPr>
                <w:rFonts w:hint="eastAsia"/>
                <w:color w:val="auto"/>
                <w:highlight w:val="none"/>
                <w:lang w:val="en-US" w:eastAsia="zh-CN"/>
              </w:rPr>
              <w:t>.15</w:t>
            </w:r>
            <w:r>
              <w:rPr>
                <w:color w:val="auto"/>
                <w:highlight w:val="none"/>
              </w:rPr>
              <w:t>t/a</w:t>
            </w:r>
          </w:p>
        </w:tc>
        <w:tc>
          <w:tcPr>
            <w:tcW w:w="2087" w:type="dxa"/>
            <w:vMerge w:val="continue"/>
            <w:tcBorders>
              <w:tl2br w:val="nil"/>
              <w:tr2bl w:val="nil"/>
            </w:tcBorders>
            <w:vAlign w:val="center"/>
          </w:tcPr>
          <w:p>
            <w:pPr>
              <w:pStyle w:val="22"/>
              <w:bidi w:val="0"/>
              <w:jc w:val="center"/>
              <w:rPr>
                <w:color w:val="auto"/>
              </w:rPr>
            </w:pPr>
          </w:p>
        </w:tc>
        <w:tc>
          <w:tcPr>
            <w:tcW w:w="1063" w:type="dxa"/>
            <w:tcBorders>
              <w:tl2br w:val="nil"/>
              <w:tr2bl w:val="nil"/>
            </w:tcBorders>
            <w:vAlign w:val="center"/>
          </w:tcPr>
          <w:p>
            <w:pPr>
              <w:pStyle w:val="22"/>
              <w:bidi w:val="0"/>
              <w:jc w:val="center"/>
              <w:rPr>
                <w:rFonts w:hint="default"/>
                <w:color w:val="auto"/>
                <w:lang w:val="en-US" w:eastAsia="zh-CN"/>
              </w:rPr>
            </w:pPr>
            <w:r>
              <w:rPr>
                <w:rFonts w:hint="eastAsia"/>
                <w:color w:val="auto"/>
                <w:lang w:val="en-US" w:eastAsia="zh-CN"/>
              </w:rPr>
              <w:t>0.15</w:t>
            </w:r>
            <w:r>
              <w:rPr>
                <w:color w:val="auto"/>
              </w:rPr>
              <w:t>t/a</w:t>
            </w:r>
          </w:p>
        </w:tc>
        <w:tc>
          <w:tcPr>
            <w:tcW w:w="1886" w:type="dxa"/>
            <w:vMerge w:val="continue"/>
            <w:tcBorders>
              <w:tl2br w:val="nil"/>
              <w:tr2bl w:val="nil"/>
            </w:tcBorders>
            <w:vAlign w:val="center"/>
          </w:tcPr>
          <w:p>
            <w:pPr>
              <w:pStyle w:val="22"/>
              <w:bidi w:val="0"/>
              <w:jc w:val="center"/>
              <w:rPr>
                <w:color w:val="auto"/>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466" w:type="dxa"/>
            <w:vMerge w:val="continue"/>
            <w:tcBorders>
              <w:tl2br w:val="nil"/>
              <w:tr2bl w:val="nil"/>
            </w:tcBorders>
            <w:textDirection w:val="tbRlV"/>
            <w:vAlign w:val="center"/>
          </w:tcPr>
          <w:p>
            <w:pPr>
              <w:pStyle w:val="22"/>
              <w:bidi w:val="0"/>
              <w:jc w:val="center"/>
              <w:rPr>
                <w:color w:val="auto"/>
              </w:rPr>
            </w:pPr>
          </w:p>
        </w:tc>
        <w:tc>
          <w:tcPr>
            <w:tcW w:w="845" w:type="dxa"/>
            <w:vMerge w:val="continue"/>
            <w:tcBorders>
              <w:tl2br w:val="nil"/>
              <w:tr2bl w:val="nil"/>
            </w:tcBorders>
            <w:vAlign w:val="center"/>
          </w:tcPr>
          <w:p>
            <w:pPr>
              <w:pStyle w:val="22"/>
              <w:bidi w:val="0"/>
              <w:jc w:val="center"/>
              <w:rPr>
                <w:color w:val="auto"/>
              </w:rPr>
            </w:pPr>
          </w:p>
        </w:tc>
        <w:tc>
          <w:tcPr>
            <w:tcW w:w="805" w:type="dxa"/>
            <w:tcBorders>
              <w:tl2br w:val="nil"/>
              <w:tr2bl w:val="nil"/>
            </w:tcBorders>
            <w:vAlign w:val="center"/>
          </w:tcPr>
          <w:p>
            <w:pPr>
              <w:pStyle w:val="22"/>
              <w:bidi w:val="0"/>
              <w:jc w:val="center"/>
              <w:rPr>
                <w:color w:val="auto"/>
              </w:rPr>
            </w:pPr>
            <w:r>
              <w:rPr>
                <w:color w:val="auto"/>
              </w:rPr>
              <w:t>废离子树脂</w:t>
            </w:r>
          </w:p>
        </w:tc>
        <w:tc>
          <w:tcPr>
            <w:tcW w:w="1404" w:type="dxa"/>
            <w:gridSpan w:val="2"/>
            <w:tcBorders>
              <w:tl2br w:val="nil"/>
              <w:tr2bl w:val="nil"/>
            </w:tcBorders>
            <w:vAlign w:val="center"/>
          </w:tcPr>
          <w:p>
            <w:pPr>
              <w:pStyle w:val="22"/>
              <w:bidi w:val="0"/>
              <w:jc w:val="center"/>
              <w:rPr>
                <w:color w:val="auto"/>
                <w:highlight w:val="yellow"/>
              </w:rPr>
            </w:pPr>
            <w:r>
              <w:rPr>
                <w:color w:val="auto"/>
                <w:highlight w:val="none"/>
              </w:rPr>
              <w:t>0.00</w:t>
            </w:r>
            <w:r>
              <w:rPr>
                <w:rFonts w:hint="eastAsia"/>
                <w:color w:val="auto"/>
                <w:highlight w:val="none"/>
                <w:lang w:val="en-US" w:eastAsia="zh-CN"/>
              </w:rPr>
              <w:t>3</w:t>
            </w:r>
            <w:r>
              <w:rPr>
                <w:color w:val="auto"/>
                <w:highlight w:val="none"/>
              </w:rPr>
              <w:t>t/a</w:t>
            </w:r>
          </w:p>
        </w:tc>
        <w:tc>
          <w:tcPr>
            <w:tcW w:w="2087" w:type="dxa"/>
            <w:tcBorders>
              <w:tl2br w:val="nil"/>
              <w:tr2bl w:val="nil"/>
            </w:tcBorders>
            <w:vAlign w:val="center"/>
          </w:tcPr>
          <w:p>
            <w:pPr>
              <w:pStyle w:val="22"/>
              <w:bidi w:val="0"/>
              <w:jc w:val="center"/>
              <w:rPr>
                <w:color w:val="auto"/>
              </w:rPr>
            </w:pPr>
            <w:r>
              <w:rPr>
                <w:color w:val="auto"/>
              </w:rPr>
              <w:t>经收集后由专门厂家回收</w:t>
            </w:r>
          </w:p>
        </w:tc>
        <w:tc>
          <w:tcPr>
            <w:tcW w:w="1063" w:type="dxa"/>
            <w:tcBorders>
              <w:tl2br w:val="nil"/>
              <w:tr2bl w:val="nil"/>
            </w:tcBorders>
            <w:vAlign w:val="center"/>
          </w:tcPr>
          <w:p>
            <w:pPr>
              <w:pStyle w:val="22"/>
              <w:bidi w:val="0"/>
              <w:jc w:val="center"/>
              <w:rPr>
                <w:color w:val="auto"/>
              </w:rPr>
            </w:pPr>
            <w:r>
              <w:rPr>
                <w:color w:val="auto"/>
              </w:rPr>
              <w:t>0.00</w:t>
            </w:r>
            <w:r>
              <w:rPr>
                <w:rFonts w:hint="eastAsia"/>
                <w:color w:val="auto"/>
                <w:lang w:val="en-US" w:eastAsia="zh-CN"/>
              </w:rPr>
              <w:t>3</w:t>
            </w:r>
            <w:r>
              <w:rPr>
                <w:color w:val="auto"/>
              </w:rPr>
              <w:t>t/a</w:t>
            </w:r>
          </w:p>
        </w:tc>
        <w:tc>
          <w:tcPr>
            <w:tcW w:w="1886" w:type="dxa"/>
            <w:vMerge w:val="continue"/>
            <w:tcBorders>
              <w:tl2br w:val="nil"/>
              <w:tr2bl w:val="nil"/>
            </w:tcBorders>
            <w:vAlign w:val="center"/>
          </w:tcPr>
          <w:p>
            <w:pPr>
              <w:pStyle w:val="22"/>
              <w:bidi w:val="0"/>
              <w:jc w:val="center"/>
              <w:rPr>
                <w:color w:val="auto"/>
              </w:rPr>
            </w:pPr>
          </w:p>
        </w:tc>
      </w:tr>
    </w:tbl>
    <w:p>
      <w:pPr>
        <w:pStyle w:val="5"/>
        <w:bidi w:val="0"/>
        <w:outlineLvl w:val="0"/>
        <w:rPr>
          <w:color w:val="auto"/>
        </w:rPr>
      </w:pPr>
      <w:bookmarkStart w:id="137" w:name="_Toc17338"/>
      <w:r>
        <w:rPr>
          <w:color w:val="auto"/>
        </w:rPr>
        <w:t>8.2环境监测计划</w:t>
      </w:r>
      <w:bookmarkEnd w:id="137"/>
    </w:p>
    <w:p>
      <w:pPr>
        <w:pStyle w:val="6"/>
        <w:bidi w:val="0"/>
        <w:outlineLvl w:val="1"/>
        <w:rPr>
          <w:color w:val="auto"/>
        </w:rPr>
      </w:pPr>
      <w:bookmarkStart w:id="138" w:name="_Toc15650"/>
      <w:r>
        <w:rPr>
          <w:color w:val="auto"/>
        </w:rPr>
        <w:t>8.2.1环境监测目的</w:t>
      </w:r>
      <w:bookmarkEnd w:id="138"/>
    </w:p>
    <w:p>
      <w:pPr>
        <w:bidi w:val="0"/>
        <w:rPr>
          <w:color w:val="auto"/>
        </w:rPr>
      </w:pPr>
      <w:r>
        <w:rPr>
          <w:color w:val="auto"/>
        </w:rPr>
        <w:t>环境监测目的是通过对污染源监测和周围环境的监测，及时准确掌握污染状况，了解污染程度和范围，分析变化趋势和规律，为加强环境管理，实施清洁生产提供可靠的技术依据。按照环境监测技术的规范要求，在排气筒上设置废气监测孔，定时对废气排放口和场界无组织排放监测点进行监测，以确保外排废气达到规定的排放标准要求。</w:t>
      </w:r>
    </w:p>
    <w:p>
      <w:pPr>
        <w:pStyle w:val="6"/>
        <w:bidi w:val="0"/>
        <w:outlineLvl w:val="1"/>
        <w:rPr>
          <w:color w:val="auto"/>
        </w:rPr>
      </w:pPr>
      <w:bookmarkStart w:id="139" w:name="_Toc32405"/>
      <w:r>
        <w:rPr>
          <w:color w:val="auto"/>
        </w:rPr>
        <w:t>8.2.2环境监测计划</w:t>
      </w:r>
      <w:bookmarkEnd w:id="139"/>
    </w:p>
    <w:p>
      <w:pPr>
        <w:bidi w:val="0"/>
        <w:rPr>
          <w:color w:val="auto"/>
        </w:rPr>
      </w:pPr>
      <w:r>
        <w:rPr>
          <w:color w:val="auto"/>
        </w:rPr>
        <w:t>根据项目的特点，本工程环境监测主要是对疾控中心的环境质量进行定期监测，并对监测数据进行统计、分析，以便环境管理部门及时、准确地掌握本工程的污染动态和区域环境质量变化情况。环境监测工作的重点是对项目运营期的污染源进行监测，其监测的具体内容、目的和频率如下：</w:t>
      </w:r>
    </w:p>
    <w:p>
      <w:pPr>
        <w:bidi w:val="0"/>
        <w:rPr>
          <w:color w:val="auto"/>
        </w:rPr>
      </w:pPr>
      <w:r>
        <w:rPr>
          <w:color w:val="auto"/>
        </w:rPr>
        <w:t>（1）噪声</w:t>
      </w:r>
    </w:p>
    <w:p>
      <w:pPr>
        <w:bidi w:val="0"/>
        <w:rPr>
          <w:color w:val="auto"/>
        </w:rPr>
      </w:pPr>
      <w:r>
        <w:rPr>
          <w:color w:val="auto"/>
        </w:rPr>
        <w:t>委托具有相关资质的单位对疾控中心的场界噪声进行监测。监测项目：场界噪声</w:t>
      </w:r>
      <w:r>
        <w:rPr>
          <w:rFonts w:hint="eastAsia"/>
          <w:color w:val="auto"/>
          <w:lang w:eastAsia="zh-CN"/>
        </w:rPr>
        <w:t>的</w:t>
      </w:r>
      <w:r>
        <w:rPr>
          <w:color w:val="auto"/>
        </w:rPr>
        <w:t>等效连续A声级</w:t>
      </w:r>
    </w:p>
    <w:p>
      <w:pPr>
        <w:bidi w:val="0"/>
        <w:rPr>
          <w:color w:val="auto"/>
        </w:rPr>
      </w:pPr>
      <w:r>
        <w:rPr>
          <w:color w:val="auto"/>
        </w:rPr>
        <w:t>监测频次：1次/半年</w:t>
      </w:r>
    </w:p>
    <w:p>
      <w:pPr>
        <w:bidi w:val="0"/>
        <w:rPr>
          <w:color w:val="auto"/>
        </w:rPr>
      </w:pPr>
      <w:r>
        <w:rPr>
          <w:color w:val="auto"/>
        </w:rPr>
        <w:t>监测点位：疾控中心四周场界共设置4个监测点</w:t>
      </w:r>
    </w:p>
    <w:p>
      <w:pPr>
        <w:bidi w:val="0"/>
        <w:rPr>
          <w:color w:val="auto"/>
        </w:rPr>
      </w:pPr>
      <w:r>
        <w:rPr>
          <w:color w:val="auto"/>
        </w:rPr>
        <w:t>（2）大气</w:t>
      </w:r>
    </w:p>
    <w:p>
      <w:pPr>
        <w:bidi w:val="0"/>
        <w:rPr>
          <w:color w:val="auto"/>
        </w:rPr>
      </w:pPr>
      <w:r>
        <w:rPr>
          <w:color w:val="auto"/>
        </w:rPr>
        <w:t>委托具有相关资质的单位对疾控中心的场界</w:t>
      </w:r>
      <w:r>
        <w:rPr>
          <w:rFonts w:hint="eastAsia"/>
          <w:color w:val="auto"/>
          <w:lang w:val="en-US" w:eastAsia="zh-CN"/>
        </w:rPr>
        <w:t>大气</w:t>
      </w:r>
      <w:r>
        <w:rPr>
          <w:color w:val="auto"/>
        </w:rPr>
        <w:t>进行监测。</w:t>
      </w:r>
    </w:p>
    <w:p>
      <w:pPr>
        <w:bidi w:val="0"/>
        <w:rPr>
          <w:color w:val="auto"/>
        </w:rPr>
      </w:pPr>
      <w:r>
        <w:rPr>
          <w:color w:val="auto"/>
        </w:rPr>
        <w:t>污水站监测项目：氨、硫化氢、臭气浓度</w:t>
      </w:r>
    </w:p>
    <w:p>
      <w:pPr>
        <w:bidi w:val="0"/>
        <w:rPr>
          <w:color w:val="auto"/>
        </w:rPr>
      </w:pPr>
      <w:r>
        <w:rPr>
          <w:color w:val="auto"/>
        </w:rPr>
        <w:t>监测频次：1次/年</w:t>
      </w:r>
    </w:p>
    <w:p>
      <w:pPr>
        <w:bidi w:val="0"/>
        <w:rPr>
          <w:color w:val="auto"/>
        </w:rPr>
      </w:pPr>
      <w:r>
        <w:rPr>
          <w:color w:val="auto"/>
        </w:rPr>
        <w:t>监测点位：厂界下风向、排放口</w:t>
      </w:r>
    </w:p>
    <w:p>
      <w:pPr>
        <w:bidi w:val="0"/>
        <w:rPr>
          <w:color w:val="auto"/>
        </w:rPr>
      </w:pPr>
      <w:r>
        <w:rPr>
          <w:rFonts w:hint="eastAsia"/>
          <w:color w:val="auto"/>
          <w:lang w:eastAsia="zh-CN"/>
        </w:rPr>
        <w:t>（</w:t>
      </w:r>
      <w:r>
        <w:rPr>
          <w:rFonts w:hint="eastAsia"/>
          <w:color w:val="auto"/>
          <w:lang w:val="en-US" w:eastAsia="zh-CN"/>
        </w:rPr>
        <w:t>3</w:t>
      </w:r>
      <w:r>
        <w:rPr>
          <w:rFonts w:hint="eastAsia"/>
          <w:color w:val="auto"/>
          <w:lang w:eastAsia="zh-CN"/>
        </w:rPr>
        <w:t>）</w:t>
      </w:r>
      <w:r>
        <w:rPr>
          <w:color w:val="auto"/>
        </w:rPr>
        <w:t>废水</w:t>
      </w:r>
    </w:p>
    <w:p>
      <w:pPr>
        <w:numPr>
          <w:ilvl w:val="0"/>
          <w:numId w:val="0"/>
        </w:numPr>
        <w:bidi w:val="0"/>
        <w:ind w:left="720" w:leftChars="0"/>
        <w:rPr>
          <w:color w:val="auto"/>
        </w:rPr>
      </w:pPr>
      <w:r>
        <w:rPr>
          <w:color w:val="auto"/>
        </w:rPr>
        <w:t>委托具有相关资质的单位对疾控中心的污水排放口进行监测。</w:t>
      </w:r>
    </w:p>
    <w:p>
      <w:pPr>
        <w:bidi w:val="0"/>
        <w:rPr>
          <w:color w:val="auto"/>
        </w:rPr>
      </w:pPr>
      <w:r>
        <w:rPr>
          <w:color w:val="auto"/>
        </w:rPr>
        <w:t>监测项目：CODcr、BOD</w:t>
      </w:r>
      <w:r>
        <w:rPr>
          <w:color w:val="auto"/>
          <w:vertAlign w:val="subscript"/>
        </w:rPr>
        <w:t>5</w:t>
      </w:r>
      <w:r>
        <w:rPr>
          <w:color w:val="auto"/>
        </w:rPr>
        <w:t>、SS、氨氮、粪大肠菌群、总余氯、总磷等</w:t>
      </w:r>
    </w:p>
    <w:p>
      <w:pPr>
        <w:bidi w:val="0"/>
        <w:rPr>
          <w:color w:val="auto"/>
        </w:rPr>
      </w:pPr>
      <w:r>
        <w:rPr>
          <w:color w:val="auto"/>
        </w:rPr>
        <w:t>监测频次：1次/年</w:t>
      </w:r>
    </w:p>
    <w:p>
      <w:pPr>
        <w:bidi w:val="0"/>
        <w:jc w:val="left"/>
        <w:rPr>
          <w:color w:val="auto"/>
        </w:rPr>
      </w:pPr>
      <w:r>
        <w:rPr>
          <w:color w:val="auto"/>
        </w:rPr>
        <w:t>监测点位：企业污水处理设备排放口监测应由具有资质的环境监测机构进行。环境监测分析方法按国家颁布的</w:t>
      </w:r>
    </w:p>
    <w:p>
      <w:pPr>
        <w:bidi w:val="0"/>
        <w:rPr>
          <w:color w:val="auto"/>
        </w:rPr>
      </w:pPr>
      <w:r>
        <w:rPr>
          <w:color w:val="auto"/>
        </w:rPr>
        <w:t>有关环境监测分析方法标准的规定执行，污染源监测按国家规定的污染源采样与监测分析方法执行。</w:t>
      </w:r>
    </w:p>
    <w:p>
      <w:pPr>
        <w:bidi w:val="0"/>
        <w:rPr>
          <w:color w:val="auto"/>
        </w:rPr>
      </w:pPr>
      <w:r>
        <w:rPr>
          <w:color w:val="auto"/>
        </w:rPr>
        <w:t>本工程环境监测计划建议按表8.2-1执行。</w:t>
      </w:r>
    </w:p>
    <w:p>
      <w:pPr>
        <w:pStyle w:val="22"/>
        <w:bidi w:val="0"/>
        <w:rPr>
          <w:b/>
          <w:bCs/>
          <w:color w:val="auto"/>
        </w:rPr>
      </w:pPr>
      <w:r>
        <w:rPr>
          <w:b/>
          <w:bCs/>
          <w:color w:val="auto"/>
        </w:rPr>
        <w:t>表8.2-1项目监测计划</w:t>
      </w:r>
    </w:p>
    <w:tbl>
      <w:tblPr>
        <w:tblStyle w:val="23"/>
        <w:tblW w:w="8516" w:type="dxa"/>
        <w:tblInd w:w="1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3"/>
        <w:gridCol w:w="2227"/>
        <w:gridCol w:w="2930"/>
        <w:gridCol w:w="1325"/>
        <w:gridCol w:w="11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873" w:type="dxa"/>
            <w:tcBorders>
              <w:tl2br w:val="nil"/>
              <w:tr2bl w:val="nil"/>
            </w:tcBorders>
            <w:vAlign w:val="center"/>
          </w:tcPr>
          <w:p>
            <w:pPr>
              <w:pStyle w:val="22"/>
              <w:bidi w:val="0"/>
              <w:jc w:val="center"/>
              <w:rPr>
                <w:b/>
                <w:bCs/>
                <w:color w:val="auto"/>
              </w:rPr>
            </w:pPr>
            <w:r>
              <w:rPr>
                <w:b/>
                <w:bCs/>
                <w:color w:val="auto"/>
              </w:rPr>
              <w:t>项目</w:t>
            </w:r>
          </w:p>
        </w:tc>
        <w:tc>
          <w:tcPr>
            <w:tcW w:w="2227" w:type="dxa"/>
            <w:tcBorders>
              <w:tl2br w:val="nil"/>
              <w:tr2bl w:val="nil"/>
            </w:tcBorders>
            <w:vAlign w:val="center"/>
          </w:tcPr>
          <w:p>
            <w:pPr>
              <w:pStyle w:val="22"/>
              <w:bidi w:val="0"/>
              <w:jc w:val="center"/>
              <w:rPr>
                <w:b/>
                <w:bCs/>
                <w:color w:val="auto"/>
              </w:rPr>
            </w:pPr>
            <w:r>
              <w:rPr>
                <w:b/>
                <w:bCs/>
                <w:color w:val="auto"/>
              </w:rPr>
              <w:t>监测点</w:t>
            </w:r>
          </w:p>
        </w:tc>
        <w:tc>
          <w:tcPr>
            <w:tcW w:w="2930" w:type="dxa"/>
            <w:tcBorders>
              <w:tl2br w:val="nil"/>
              <w:tr2bl w:val="nil"/>
            </w:tcBorders>
            <w:vAlign w:val="center"/>
          </w:tcPr>
          <w:p>
            <w:pPr>
              <w:pStyle w:val="22"/>
              <w:bidi w:val="0"/>
              <w:jc w:val="center"/>
              <w:rPr>
                <w:b/>
                <w:bCs/>
                <w:color w:val="auto"/>
              </w:rPr>
            </w:pPr>
            <w:r>
              <w:rPr>
                <w:b/>
                <w:bCs/>
                <w:color w:val="auto"/>
              </w:rPr>
              <w:t>监测因子</w:t>
            </w:r>
          </w:p>
        </w:tc>
        <w:tc>
          <w:tcPr>
            <w:tcW w:w="1325" w:type="dxa"/>
            <w:tcBorders>
              <w:tl2br w:val="nil"/>
              <w:tr2bl w:val="nil"/>
            </w:tcBorders>
            <w:vAlign w:val="center"/>
          </w:tcPr>
          <w:p>
            <w:pPr>
              <w:pStyle w:val="22"/>
              <w:bidi w:val="0"/>
              <w:jc w:val="center"/>
              <w:rPr>
                <w:b/>
                <w:bCs/>
                <w:color w:val="auto"/>
              </w:rPr>
            </w:pPr>
            <w:r>
              <w:rPr>
                <w:b/>
                <w:bCs/>
                <w:color w:val="auto"/>
              </w:rPr>
              <w:t>监测频次</w:t>
            </w:r>
          </w:p>
        </w:tc>
        <w:tc>
          <w:tcPr>
            <w:tcW w:w="1161" w:type="dxa"/>
            <w:tcBorders>
              <w:tl2br w:val="nil"/>
              <w:tr2bl w:val="nil"/>
            </w:tcBorders>
            <w:vAlign w:val="center"/>
          </w:tcPr>
          <w:p>
            <w:pPr>
              <w:pStyle w:val="22"/>
              <w:bidi w:val="0"/>
              <w:jc w:val="center"/>
              <w:rPr>
                <w:b/>
                <w:bCs/>
                <w:color w:val="auto"/>
              </w:rPr>
            </w:pPr>
            <w:r>
              <w:rPr>
                <w:b/>
                <w:bCs/>
                <w:color w:val="auto"/>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873" w:type="dxa"/>
            <w:tcBorders>
              <w:tl2br w:val="nil"/>
              <w:tr2bl w:val="nil"/>
            </w:tcBorders>
            <w:vAlign w:val="center"/>
          </w:tcPr>
          <w:p>
            <w:pPr>
              <w:pStyle w:val="22"/>
              <w:bidi w:val="0"/>
              <w:jc w:val="center"/>
              <w:rPr>
                <w:color w:val="auto"/>
              </w:rPr>
            </w:pPr>
            <w:r>
              <w:rPr>
                <w:color w:val="auto"/>
              </w:rPr>
              <w:t>噪声</w:t>
            </w:r>
          </w:p>
        </w:tc>
        <w:tc>
          <w:tcPr>
            <w:tcW w:w="2227" w:type="dxa"/>
            <w:tcBorders>
              <w:tl2br w:val="nil"/>
              <w:tr2bl w:val="nil"/>
            </w:tcBorders>
            <w:vAlign w:val="center"/>
          </w:tcPr>
          <w:p>
            <w:pPr>
              <w:pStyle w:val="22"/>
              <w:bidi w:val="0"/>
              <w:jc w:val="center"/>
              <w:rPr>
                <w:color w:val="auto"/>
              </w:rPr>
            </w:pPr>
            <w:r>
              <w:rPr>
                <w:color w:val="auto"/>
              </w:rPr>
              <w:t>疾控中心厂界四周</w:t>
            </w:r>
          </w:p>
        </w:tc>
        <w:tc>
          <w:tcPr>
            <w:tcW w:w="2930" w:type="dxa"/>
            <w:tcBorders>
              <w:tl2br w:val="nil"/>
              <w:tr2bl w:val="nil"/>
            </w:tcBorders>
            <w:vAlign w:val="center"/>
          </w:tcPr>
          <w:p>
            <w:pPr>
              <w:pStyle w:val="22"/>
              <w:bidi w:val="0"/>
              <w:jc w:val="center"/>
              <w:rPr>
                <w:color w:val="auto"/>
              </w:rPr>
            </w:pPr>
            <w:r>
              <w:rPr>
                <w:color w:val="auto"/>
              </w:rPr>
              <w:t>等效连续A声级</w:t>
            </w:r>
          </w:p>
        </w:tc>
        <w:tc>
          <w:tcPr>
            <w:tcW w:w="1325" w:type="dxa"/>
            <w:tcBorders>
              <w:tl2br w:val="nil"/>
              <w:tr2bl w:val="nil"/>
            </w:tcBorders>
            <w:vAlign w:val="center"/>
          </w:tcPr>
          <w:p>
            <w:pPr>
              <w:pStyle w:val="22"/>
              <w:bidi w:val="0"/>
              <w:jc w:val="center"/>
              <w:rPr>
                <w:color w:val="auto"/>
              </w:rPr>
            </w:pPr>
            <w:r>
              <w:rPr>
                <w:color w:val="auto"/>
              </w:rPr>
              <w:t>1次/半年</w:t>
            </w:r>
          </w:p>
        </w:tc>
        <w:tc>
          <w:tcPr>
            <w:tcW w:w="1161" w:type="dxa"/>
            <w:tcBorders>
              <w:tl2br w:val="nil"/>
              <w:tr2bl w:val="nil"/>
            </w:tcBorders>
            <w:vAlign w:val="center"/>
          </w:tcPr>
          <w:p>
            <w:pPr>
              <w:pStyle w:val="22"/>
              <w:bidi w:val="0"/>
              <w:jc w:val="center"/>
              <w:rPr>
                <w:color w:val="auto"/>
              </w:rPr>
            </w:pPr>
            <w:r>
              <w:rPr>
                <w:color w:val="auto"/>
              </w:rPr>
              <w:t>疾控中心厂界四周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7" w:hRule="atLeast"/>
        </w:trPr>
        <w:tc>
          <w:tcPr>
            <w:tcW w:w="873" w:type="dxa"/>
            <w:tcBorders>
              <w:tl2br w:val="nil"/>
              <w:tr2bl w:val="nil"/>
            </w:tcBorders>
            <w:vAlign w:val="center"/>
          </w:tcPr>
          <w:p>
            <w:pPr>
              <w:pStyle w:val="22"/>
              <w:bidi w:val="0"/>
              <w:jc w:val="center"/>
              <w:rPr>
                <w:color w:val="auto"/>
              </w:rPr>
            </w:pPr>
            <w:r>
              <w:rPr>
                <w:color w:val="auto"/>
              </w:rPr>
              <w:t>大气</w:t>
            </w:r>
          </w:p>
        </w:tc>
        <w:tc>
          <w:tcPr>
            <w:tcW w:w="2227" w:type="dxa"/>
            <w:tcBorders>
              <w:tl2br w:val="nil"/>
              <w:tr2bl w:val="nil"/>
            </w:tcBorders>
            <w:vAlign w:val="center"/>
          </w:tcPr>
          <w:p>
            <w:pPr>
              <w:pStyle w:val="22"/>
              <w:bidi w:val="0"/>
              <w:jc w:val="center"/>
              <w:rPr>
                <w:color w:val="auto"/>
              </w:rPr>
            </w:pPr>
            <w:r>
              <w:rPr>
                <w:color w:val="auto"/>
              </w:rPr>
              <w:t>厂界下风向</w:t>
            </w:r>
          </w:p>
        </w:tc>
        <w:tc>
          <w:tcPr>
            <w:tcW w:w="2930" w:type="dxa"/>
            <w:tcBorders>
              <w:tl2br w:val="nil"/>
              <w:tr2bl w:val="nil"/>
            </w:tcBorders>
            <w:vAlign w:val="center"/>
          </w:tcPr>
          <w:p>
            <w:pPr>
              <w:pStyle w:val="22"/>
              <w:bidi w:val="0"/>
              <w:jc w:val="center"/>
              <w:rPr>
                <w:color w:val="auto"/>
              </w:rPr>
            </w:pPr>
            <w:r>
              <w:rPr>
                <w:color w:val="auto"/>
              </w:rPr>
              <w:t>氨、硫化氢、臭气浓度</w:t>
            </w:r>
          </w:p>
        </w:tc>
        <w:tc>
          <w:tcPr>
            <w:tcW w:w="1325" w:type="dxa"/>
            <w:tcBorders>
              <w:tl2br w:val="nil"/>
              <w:tr2bl w:val="nil"/>
            </w:tcBorders>
            <w:vAlign w:val="center"/>
          </w:tcPr>
          <w:p>
            <w:pPr>
              <w:pStyle w:val="22"/>
              <w:bidi w:val="0"/>
              <w:jc w:val="center"/>
              <w:rPr>
                <w:color w:val="auto"/>
              </w:rPr>
            </w:pPr>
            <w:r>
              <w:rPr>
                <w:color w:val="auto"/>
              </w:rPr>
              <w:t>1次/年</w:t>
            </w:r>
          </w:p>
        </w:tc>
        <w:tc>
          <w:tcPr>
            <w:tcW w:w="1161" w:type="dxa"/>
            <w:tcBorders>
              <w:tl2br w:val="nil"/>
              <w:tr2bl w:val="nil"/>
            </w:tcBorders>
            <w:vAlign w:val="center"/>
          </w:tcPr>
          <w:p>
            <w:pPr>
              <w:pStyle w:val="22"/>
              <w:bidi w:val="0"/>
              <w:jc w:val="center"/>
              <w:rPr>
                <w:color w:val="auto"/>
              </w:rPr>
            </w:pPr>
            <w:r>
              <w:rPr>
                <w:color w:val="auto"/>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873" w:type="dxa"/>
            <w:tcBorders>
              <w:tl2br w:val="nil"/>
              <w:tr2bl w:val="nil"/>
            </w:tcBorders>
            <w:vAlign w:val="center"/>
          </w:tcPr>
          <w:p>
            <w:pPr>
              <w:pStyle w:val="22"/>
              <w:bidi w:val="0"/>
              <w:jc w:val="center"/>
              <w:rPr>
                <w:color w:val="auto"/>
              </w:rPr>
            </w:pPr>
            <w:r>
              <w:rPr>
                <w:color w:val="auto"/>
              </w:rPr>
              <w:t>废水</w:t>
            </w:r>
          </w:p>
        </w:tc>
        <w:tc>
          <w:tcPr>
            <w:tcW w:w="2227" w:type="dxa"/>
            <w:tcBorders>
              <w:tl2br w:val="nil"/>
              <w:tr2bl w:val="nil"/>
            </w:tcBorders>
            <w:vAlign w:val="center"/>
          </w:tcPr>
          <w:p>
            <w:pPr>
              <w:pStyle w:val="22"/>
              <w:bidi w:val="0"/>
              <w:jc w:val="center"/>
              <w:rPr>
                <w:color w:val="auto"/>
              </w:rPr>
            </w:pPr>
            <w:r>
              <w:rPr>
                <w:color w:val="auto"/>
              </w:rPr>
              <w:t>污水处理设备排放口</w:t>
            </w:r>
          </w:p>
        </w:tc>
        <w:tc>
          <w:tcPr>
            <w:tcW w:w="2930" w:type="dxa"/>
            <w:tcBorders>
              <w:tl2br w:val="nil"/>
              <w:tr2bl w:val="nil"/>
            </w:tcBorders>
            <w:vAlign w:val="center"/>
          </w:tcPr>
          <w:p>
            <w:pPr>
              <w:pStyle w:val="22"/>
              <w:bidi w:val="0"/>
              <w:jc w:val="center"/>
              <w:rPr>
                <w:color w:val="auto"/>
              </w:rPr>
            </w:pPr>
            <w:r>
              <w:rPr>
                <w:color w:val="auto"/>
              </w:rPr>
              <w:t>CODcr、BOD</w:t>
            </w:r>
            <w:r>
              <w:rPr>
                <w:color w:val="auto"/>
                <w:vertAlign w:val="subscript"/>
              </w:rPr>
              <w:t>5</w:t>
            </w:r>
            <w:r>
              <w:rPr>
                <w:color w:val="auto"/>
              </w:rPr>
              <w:t>、SS、氨氮、粪大肠菌群、总余氯、总磷</w:t>
            </w:r>
          </w:p>
        </w:tc>
        <w:tc>
          <w:tcPr>
            <w:tcW w:w="1325" w:type="dxa"/>
            <w:tcBorders>
              <w:tl2br w:val="nil"/>
              <w:tr2bl w:val="nil"/>
            </w:tcBorders>
            <w:vAlign w:val="center"/>
          </w:tcPr>
          <w:p>
            <w:pPr>
              <w:pStyle w:val="22"/>
              <w:bidi w:val="0"/>
              <w:jc w:val="center"/>
              <w:rPr>
                <w:color w:val="auto"/>
              </w:rPr>
            </w:pPr>
            <w:r>
              <w:rPr>
                <w:color w:val="auto"/>
              </w:rPr>
              <w:t>1次/年</w:t>
            </w:r>
          </w:p>
        </w:tc>
        <w:tc>
          <w:tcPr>
            <w:tcW w:w="1161" w:type="dxa"/>
            <w:tcBorders>
              <w:tl2br w:val="nil"/>
              <w:tr2bl w:val="nil"/>
            </w:tcBorders>
            <w:vAlign w:val="center"/>
          </w:tcPr>
          <w:p>
            <w:pPr>
              <w:pStyle w:val="22"/>
              <w:bidi w:val="0"/>
              <w:jc w:val="center"/>
              <w:rPr>
                <w:color w:val="auto"/>
              </w:rPr>
            </w:pPr>
            <w:r>
              <w:rPr>
                <w:color w:val="auto"/>
              </w:rPr>
              <w:t>/</w:t>
            </w:r>
          </w:p>
        </w:tc>
      </w:tr>
    </w:tbl>
    <w:p>
      <w:pPr>
        <w:pStyle w:val="5"/>
        <w:bidi w:val="0"/>
        <w:outlineLvl w:val="0"/>
        <w:rPr>
          <w:color w:val="auto"/>
        </w:rPr>
      </w:pPr>
      <w:bookmarkStart w:id="140" w:name="_Toc23529"/>
      <w:r>
        <w:rPr>
          <w:color w:val="auto"/>
        </w:rPr>
        <w:t>8.3排污口规范化管理</w:t>
      </w:r>
      <w:bookmarkEnd w:id="140"/>
    </w:p>
    <w:p>
      <w:pPr>
        <w:bidi w:val="0"/>
        <w:rPr>
          <w:color w:val="auto"/>
        </w:rPr>
      </w:pPr>
      <w:r>
        <w:rPr>
          <w:color w:val="auto"/>
        </w:rPr>
        <w:t>根据《环境保护图形标志排放口》（GB15562.1-1995）及《环境保护图形标志固体废物贮存（处置）场》（GB15562.2-1995）中有关规定，在项目污水排放口、医疗废物、生活垃圾收集点设置环境保护图形标志牌。标志牌应设在与之功能相应的醒目处。标志牌必须保持清晰、完整，当发现有形象损坏、颜色污染、退色等情况时，应及时修复或更换。检查时间至少每年一次。同时污水总排口均应根据《污染源监测技术规范》设置规范的、便于测量流量和流速的测流段和采样口。排放口标志见表8.3-1。</w:t>
      </w:r>
    </w:p>
    <w:p>
      <w:pPr>
        <w:pStyle w:val="22"/>
        <w:bidi w:val="0"/>
        <w:rPr>
          <w:b/>
          <w:bCs/>
          <w:color w:val="auto"/>
        </w:rPr>
      </w:pPr>
      <w:r>
        <w:rPr>
          <w:b/>
          <w:bCs/>
          <w:color w:val="auto"/>
        </w:rPr>
        <w:t>表8.3-1排放口图形标志</w:t>
      </w:r>
    </w:p>
    <w:tbl>
      <w:tblPr>
        <w:tblStyle w:val="23"/>
        <w:tblW w:w="889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31"/>
        <w:gridCol w:w="1635"/>
        <w:gridCol w:w="1633"/>
        <w:gridCol w:w="1804"/>
        <w:gridCol w:w="1713"/>
        <w:gridCol w:w="167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431" w:type="dxa"/>
            <w:textDirection w:val="tbRlV"/>
            <w:vAlign w:val="center"/>
          </w:tcPr>
          <w:p>
            <w:pPr>
              <w:pStyle w:val="22"/>
              <w:bidi w:val="0"/>
              <w:jc w:val="center"/>
              <w:rPr>
                <w:b/>
                <w:bCs/>
                <w:color w:val="auto"/>
              </w:rPr>
            </w:pPr>
            <w:r>
              <w:rPr>
                <w:b/>
                <w:bCs/>
                <w:color w:val="auto"/>
              </w:rPr>
              <w:t>排放口</w:t>
            </w:r>
          </w:p>
        </w:tc>
        <w:tc>
          <w:tcPr>
            <w:tcW w:w="1635" w:type="dxa"/>
            <w:vAlign w:val="center"/>
          </w:tcPr>
          <w:p>
            <w:pPr>
              <w:pStyle w:val="22"/>
              <w:bidi w:val="0"/>
              <w:jc w:val="center"/>
              <w:rPr>
                <w:b/>
                <w:bCs/>
                <w:color w:val="auto"/>
              </w:rPr>
            </w:pPr>
          </w:p>
          <w:p>
            <w:pPr>
              <w:pStyle w:val="22"/>
              <w:bidi w:val="0"/>
              <w:jc w:val="center"/>
              <w:rPr>
                <w:b/>
                <w:bCs/>
                <w:color w:val="auto"/>
              </w:rPr>
            </w:pPr>
            <w:r>
              <w:rPr>
                <w:b/>
                <w:bCs/>
                <w:color w:val="auto"/>
              </w:rPr>
              <w:t>废气排放口</w:t>
            </w:r>
          </w:p>
        </w:tc>
        <w:tc>
          <w:tcPr>
            <w:tcW w:w="1633" w:type="dxa"/>
            <w:vAlign w:val="center"/>
          </w:tcPr>
          <w:p>
            <w:pPr>
              <w:pStyle w:val="22"/>
              <w:bidi w:val="0"/>
              <w:jc w:val="center"/>
              <w:rPr>
                <w:b/>
                <w:bCs/>
                <w:color w:val="auto"/>
              </w:rPr>
            </w:pPr>
          </w:p>
          <w:p>
            <w:pPr>
              <w:pStyle w:val="22"/>
              <w:bidi w:val="0"/>
              <w:jc w:val="center"/>
              <w:rPr>
                <w:b/>
                <w:bCs/>
                <w:color w:val="auto"/>
              </w:rPr>
            </w:pPr>
            <w:r>
              <w:rPr>
                <w:b/>
                <w:bCs/>
                <w:color w:val="auto"/>
              </w:rPr>
              <w:t>废水排放口</w:t>
            </w:r>
          </w:p>
        </w:tc>
        <w:tc>
          <w:tcPr>
            <w:tcW w:w="1804" w:type="dxa"/>
            <w:vAlign w:val="center"/>
          </w:tcPr>
          <w:p>
            <w:pPr>
              <w:pStyle w:val="22"/>
              <w:bidi w:val="0"/>
              <w:jc w:val="center"/>
              <w:rPr>
                <w:b/>
                <w:bCs/>
                <w:color w:val="auto"/>
              </w:rPr>
            </w:pPr>
          </w:p>
          <w:p>
            <w:pPr>
              <w:pStyle w:val="22"/>
              <w:bidi w:val="0"/>
              <w:jc w:val="center"/>
              <w:rPr>
                <w:b/>
                <w:bCs/>
                <w:color w:val="auto"/>
              </w:rPr>
            </w:pPr>
            <w:r>
              <w:rPr>
                <w:b/>
                <w:bCs/>
                <w:color w:val="auto"/>
              </w:rPr>
              <w:t>噪声排放源</w:t>
            </w:r>
          </w:p>
        </w:tc>
        <w:tc>
          <w:tcPr>
            <w:tcW w:w="3392" w:type="dxa"/>
            <w:gridSpan w:val="2"/>
            <w:vAlign w:val="center"/>
          </w:tcPr>
          <w:p>
            <w:pPr>
              <w:pStyle w:val="22"/>
              <w:bidi w:val="0"/>
              <w:jc w:val="center"/>
              <w:rPr>
                <w:b/>
                <w:bCs/>
                <w:color w:val="auto"/>
              </w:rPr>
            </w:pPr>
          </w:p>
          <w:p>
            <w:pPr>
              <w:pStyle w:val="22"/>
              <w:bidi w:val="0"/>
              <w:jc w:val="center"/>
              <w:rPr>
                <w:b/>
                <w:bCs/>
                <w:color w:val="auto"/>
              </w:rPr>
            </w:pPr>
            <w:r>
              <w:rPr>
                <w:b/>
                <w:bCs/>
                <w:color w:val="auto"/>
              </w:rPr>
              <w:t>固体废物堆场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9" w:hRule="atLeast"/>
        </w:trPr>
        <w:tc>
          <w:tcPr>
            <w:tcW w:w="431" w:type="dxa"/>
            <w:textDirection w:val="tbRlV"/>
            <w:vAlign w:val="center"/>
          </w:tcPr>
          <w:p>
            <w:pPr>
              <w:pStyle w:val="22"/>
              <w:bidi w:val="0"/>
              <w:jc w:val="center"/>
              <w:rPr>
                <w:color w:val="auto"/>
              </w:rPr>
            </w:pPr>
            <w:r>
              <w:rPr>
                <w:color w:val="auto"/>
              </w:rPr>
              <w:t>图形符号</w:t>
            </w:r>
          </w:p>
        </w:tc>
        <w:tc>
          <w:tcPr>
            <w:tcW w:w="1635" w:type="dxa"/>
            <w:vAlign w:val="center"/>
          </w:tcPr>
          <w:p>
            <w:pPr>
              <w:pStyle w:val="22"/>
              <w:bidi w:val="0"/>
              <w:jc w:val="center"/>
              <w:rPr>
                <w:color w:val="auto"/>
              </w:rPr>
            </w:pPr>
            <w:r>
              <w:rPr>
                <w:color w:val="auto"/>
              </w:rPr>
              <w:drawing>
                <wp:inline distT="0" distB="0" distL="0" distR="0">
                  <wp:extent cx="904875" cy="894080"/>
                  <wp:effectExtent l="0" t="0" r="9525" b="1270"/>
                  <wp:docPr id="164" name="IM 164"/>
                  <wp:cNvGraphicFramePr/>
                  <a:graphic xmlns:a="http://schemas.openxmlformats.org/drawingml/2006/main">
                    <a:graphicData uri="http://schemas.openxmlformats.org/drawingml/2006/picture">
                      <pic:pic xmlns:pic="http://schemas.openxmlformats.org/drawingml/2006/picture">
                        <pic:nvPicPr>
                          <pic:cNvPr id="164" name="IM 164"/>
                          <pic:cNvPicPr/>
                        </pic:nvPicPr>
                        <pic:blipFill>
                          <a:blip r:embed="rId19"/>
                          <a:stretch>
                            <a:fillRect/>
                          </a:stretch>
                        </pic:blipFill>
                        <pic:spPr>
                          <a:xfrm>
                            <a:off x="0" y="0"/>
                            <a:ext cx="905255" cy="894588"/>
                          </a:xfrm>
                          <a:prstGeom prst="rect">
                            <a:avLst/>
                          </a:prstGeom>
                        </pic:spPr>
                      </pic:pic>
                    </a:graphicData>
                  </a:graphic>
                </wp:inline>
              </w:drawing>
            </w:r>
          </w:p>
        </w:tc>
        <w:tc>
          <w:tcPr>
            <w:tcW w:w="1633" w:type="dxa"/>
            <w:vAlign w:val="center"/>
          </w:tcPr>
          <w:p>
            <w:pPr>
              <w:pStyle w:val="22"/>
              <w:bidi w:val="0"/>
              <w:jc w:val="center"/>
              <w:rPr>
                <w:color w:val="auto"/>
              </w:rPr>
            </w:pPr>
            <w:r>
              <w:rPr>
                <w:color w:val="auto"/>
              </w:rPr>
              <w:drawing>
                <wp:inline distT="0" distB="0" distL="0" distR="0">
                  <wp:extent cx="904875" cy="894080"/>
                  <wp:effectExtent l="0" t="0" r="9525" b="1270"/>
                  <wp:docPr id="165" name="IM 165"/>
                  <wp:cNvGraphicFramePr/>
                  <a:graphic xmlns:a="http://schemas.openxmlformats.org/drawingml/2006/main">
                    <a:graphicData uri="http://schemas.openxmlformats.org/drawingml/2006/picture">
                      <pic:pic xmlns:pic="http://schemas.openxmlformats.org/drawingml/2006/picture">
                        <pic:nvPicPr>
                          <pic:cNvPr id="165" name="IM 165"/>
                          <pic:cNvPicPr/>
                        </pic:nvPicPr>
                        <pic:blipFill>
                          <a:blip r:embed="rId20"/>
                          <a:stretch>
                            <a:fillRect/>
                          </a:stretch>
                        </pic:blipFill>
                        <pic:spPr>
                          <a:xfrm>
                            <a:off x="0" y="0"/>
                            <a:ext cx="905255" cy="894588"/>
                          </a:xfrm>
                          <a:prstGeom prst="rect">
                            <a:avLst/>
                          </a:prstGeom>
                        </pic:spPr>
                      </pic:pic>
                    </a:graphicData>
                  </a:graphic>
                </wp:inline>
              </w:drawing>
            </w:r>
          </w:p>
        </w:tc>
        <w:tc>
          <w:tcPr>
            <w:tcW w:w="1804" w:type="dxa"/>
            <w:vAlign w:val="center"/>
          </w:tcPr>
          <w:p>
            <w:pPr>
              <w:pStyle w:val="22"/>
              <w:bidi w:val="0"/>
              <w:jc w:val="center"/>
              <w:rPr>
                <w:color w:val="auto"/>
              </w:rPr>
            </w:pPr>
            <w:r>
              <w:rPr>
                <w:color w:val="auto"/>
              </w:rPr>
              <w:drawing>
                <wp:inline distT="0" distB="0" distL="0" distR="0">
                  <wp:extent cx="924560" cy="904875"/>
                  <wp:effectExtent l="0" t="0" r="8890" b="9525"/>
                  <wp:docPr id="166" name="IM 166"/>
                  <wp:cNvGraphicFramePr/>
                  <a:graphic xmlns:a="http://schemas.openxmlformats.org/drawingml/2006/main">
                    <a:graphicData uri="http://schemas.openxmlformats.org/drawingml/2006/picture">
                      <pic:pic xmlns:pic="http://schemas.openxmlformats.org/drawingml/2006/picture">
                        <pic:nvPicPr>
                          <pic:cNvPr id="166" name="IM 166"/>
                          <pic:cNvPicPr/>
                        </pic:nvPicPr>
                        <pic:blipFill>
                          <a:blip r:embed="rId21"/>
                          <a:stretch>
                            <a:fillRect/>
                          </a:stretch>
                        </pic:blipFill>
                        <pic:spPr>
                          <a:xfrm>
                            <a:off x="0" y="0"/>
                            <a:ext cx="925067" cy="905256"/>
                          </a:xfrm>
                          <a:prstGeom prst="rect">
                            <a:avLst/>
                          </a:prstGeom>
                        </pic:spPr>
                      </pic:pic>
                    </a:graphicData>
                  </a:graphic>
                </wp:inline>
              </w:drawing>
            </w:r>
          </w:p>
        </w:tc>
        <w:tc>
          <w:tcPr>
            <w:tcW w:w="1713" w:type="dxa"/>
            <w:vAlign w:val="center"/>
          </w:tcPr>
          <w:p>
            <w:pPr>
              <w:pStyle w:val="22"/>
              <w:bidi w:val="0"/>
              <w:jc w:val="center"/>
              <w:rPr>
                <w:color w:val="auto"/>
              </w:rPr>
            </w:pPr>
            <w:r>
              <w:rPr>
                <w:color w:val="auto"/>
              </w:rPr>
              <w:drawing>
                <wp:inline distT="0" distB="0" distL="0" distR="0">
                  <wp:extent cx="952500" cy="894080"/>
                  <wp:effectExtent l="0" t="0" r="0" b="1270"/>
                  <wp:docPr id="167" name="IM 167"/>
                  <wp:cNvGraphicFramePr/>
                  <a:graphic xmlns:a="http://schemas.openxmlformats.org/drawingml/2006/main">
                    <a:graphicData uri="http://schemas.openxmlformats.org/drawingml/2006/picture">
                      <pic:pic xmlns:pic="http://schemas.openxmlformats.org/drawingml/2006/picture">
                        <pic:nvPicPr>
                          <pic:cNvPr id="167" name="IM 167"/>
                          <pic:cNvPicPr/>
                        </pic:nvPicPr>
                        <pic:blipFill>
                          <a:blip r:embed="rId22"/>
                          <a:stretch>
                            <a:fillRect/>
                          </a:stretch>
                        </pic:blipFill>
                        <pic:spPr>
                          <a:xfrm>
                            <a:off x="0" y="0"/>
                            <a:ext cx="952500" cy="894588"/>
                          </a:xfrm>
                          <a:prstGeom prst="rect">
                            <a:avLst/>
                          </a:prstGeom>
                        </pic:spPr>
                      </pic:pic>
                    </a:graphicData>
                  </a:graphic>
                </wp:inline>
              </w:drawing>
            </w:r>
          </w:p>
        </w:tc>
        <w:tc>
          <w:tcPr>
            <w:tcW w:w="1679" w:type="dxa"/>
            <w:vAlign w:val="center"/>
          </w:tcPr>
          <w:p>
            <w:pPr>
              <w:pStyle w:val="22"/>
              <w:bidi w:val="0"/>
              <w:jc w:val="center"/>
              <w:rPr>
                <w:color w:val="auto"/>
              </w:rPr>
            </w:pPr>
          </w:p>
          <w:p>
            <w:pPr>
              <w:pStyle w:val="22"/>
              <w:bidi w:val="0"/>
              <w:jc w:val="center"/>
              <w:rPr>
                <w:color w:val="auto"/>
              </w:rPr>
            </w:pPr>
            <w:r>
              <w:rPr>
                <w:color w:val="auto"/>
              </w:rPr>
              <w:drawing>
                <wp:anchor distT="0" distB="0" distL="0" distR="0" simplePos="0" relativeHeight="251664384" behindDoc="0" locked="0" layoutInCell="1" allowOverlap="1">
                  <wp:simplePos x="0" y="0"/>
                  <wp:positionH relativeFrom="column">
                    <wp:posOffset>64770</wp:posOffset>
                  </wp:positionH>
                  <wp:positionV relativeFrom="paragraph">
                    <wp:posOffset>38100</wp:posOffset>
                  </wp:positionV>
                  <wp:extent cx="924560" cy="913130"/>
                  <wp:effectExtent l="0" t="0" r="8890" b="1270"/>
                  <wp:wrapTopAndBottom/>
                  <wp:docPr id="168" name="IM 168"/>
                  <wp:cNvGraphicFramePr/>
                  <a:graphic xmlns:a="http://schemas.openxmlformats.org/drawingml/2006/main">
                    <a:graphicData uri="http://schemas.openxmlformats.org/drawingml/2006/picture">
                      <pic:pic xmlns:pic="http://schemas.openxmlformats.org/drawingml/2006/picture">
                        <pic:nvPicPr>
                          <pic:cNvPr id="168" name="IM 168"/>
                          <pic:cNvPicPr/>
                        </pic:nvPicPr>
                        <pic:blipFill>
                          <a:blip r:embed="rId23"/>
                          <a:stretch>
                            <a:fillRect/>
                          </a:stretch>
                        </pic:blipFill>
                        <pic:spPr>
                          <a:xfrm>
                            <a:off x="0" y="0"/>
                            <a:ext cx="925067" cy="913130"/>
                          </a:xfrm>
                          <a:prstGeom prst="rect">
                            <a:avLst/>
                          </a:prstGeom>
                        </pic:spPr>
                      </pic:pic>
                    </a:graphicData>
                  </a:graphic>
                </wp:anchor>
              </w:drawing>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1" w:hRule="atLeast"/>
        </w:trPr>
        <w:tc>
          <w:tcPr>
            <w:tcW w:w="431" w:type="dxa"/>
            <w:textDirection w:val="tbRlV"/>
            <w:vAlign w:val="center"/>
          </w:tcPr>
          <w:p>
            <w:pPr>
              <w:pStyle w:val="22"/>
              <w:bidi w:val="0"/>
              <w:jc w:val="center"/>
              <w:rPr>
                <w:color w:val="auto"/>
              </w:rPr>
            </w:pPr>
            <w:r>
              <w:rPr>
                <w:color w:val="auto"/>
              </w:rPr>
              <w:t>背景颜色</w:t>
            </w:r>
          </w:p>
        </w:tc>
        <w:tc>
          <w:tcPr>
            <w:tcW w:w="8464" w:type="dxa"/>
            <w:gridSpan w:val="5"/>
            <w:vAlign w:val="center"/>
          </w:tcPr>
          <w:p>
            <w:pPr>
              <w:pStyle w:val="22"/>
              <w:bidi w:val="0"/>
              <w:jc w:val="center"/>
              <w:rPr>
                <w:color w:val="auto"/>
              </w:rPr>
            </w:pPr>
          </w:p>
          <w:p>
            <w:pPr>
              <w:pStyle w:val="22"/>
              <w:bidi w:val="0"/>
              <w:jc w:val="center"/>
              <w:rPr>
                <w:color w:val="auto"/>
              </w:rPr>
            </w:pPr>
            <w:r>
              <w:rPr>
                <w:color w:val="auto"/>
              </w:rPr>
              <w:t>绿色和黄色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6" w:hRule="atLeast"/>
        </w:trPr>
        <w:tc>
          <w:tcPr>
            <w:tcW w:w="431" w:type="dxa"/>
            <w:textDirection w:val="tbRlV"/>
            <w:vAlign w:val="center"/>
          </w:tcPr>
          <w:p>
            <w:pPr>
              <w:pStyle w:val="22"/>
              <w:bidi w:val="0"/>
              <w:jc w:val="center"/>
              <w:rPr>
                <w:color w:val="auto"/>
              </w:rPr>
            </w:pPr>
            <w:r>
              <w:rPr>
                <w:color w:val="auto"/>
              </w:rPr>
              <w:t>图形颜色</w:t>
            </w:r>
          </w:p>
        </w:tc>
        <w:tc>
          <w:tcPr>
            <w:tcW w:w="8464" w:type="dxa"/>
            <w:gridSpan w:val="5"/>
            <w:vAlign w:val="center"/>
          </w:tcPr>
          <w:p>
            <w:pPr>
              <w:pStyle w:val="22"/>
              <w:bidi w:val="0"/>
              <w:jc w:val="center"/>
              <w:rPr>
                <w:color w:val="auto"/>
              </w:rPr>
            </w:pPr>
          </w:p>
          <w:p>
            <w:pPr>
              <w:pStyle w:val="22"/>
              <w:bidi w:val="0"/>
              <w:jc w:val="center"/>
              <w:rPr>
                <w:color w:val="auto"/>
              </w:rPr>
            </w:pPr>
            <w:r>
              <w:rPr>
                <w:color w:val="auto"/>
              </w:rPr>
              <w:t>白色</w:t>
            </w:r>
          </w:p>
        </w:tc>
      </w:tr>
    </w:tbl>
    <w:p>
      <w:pPr>
        <w:pStyle w:val="5"/>
        <w:bidi w:val="0"/>
        <w:outlineLvl w:val="0"/>
        <w:rPr>
          <w:color w:val="auto"/>
        </w:rPr>
      </w:pPr>
      <w:bookmarkStart w:id="141" w:name="_Toc7888"/>
      <w:r>
        <w:rPr>
          <w:color w:val="auto"/>
        </w:rPr>
        <w:t>8.4环境管理制度</w:t>
      </w:r>
      <w:bookmarkEnd w:id="141"/>
    </w:p>
    <w:p>
      <w:pPr>
        <w:bidi w:val="0"/>
        <w:rPr>
          <w:color w:val="auto"/>
        </w:rPr>
      </w:pPr>
      <w:r>
        <w:rPr>
          <w:color w:val="auto"/>
        </w:rPr>
        <w:t>疾控中心应制定一系列规章制度以促进环境保护工作，使环境保护工作规范化和程序化，并通过经济杠杆来保证环境保护管理制度的认真执行。根据需要，建议制定的环境保护工作条例有：</w:t>
      </w:r>
    </w:p>
    <w:p>
      <w:pPr>
        <w:bidi w:val="0"/>
        <w:rPr>
          <w:color w:val="auto"/>
        </w:rPr>
      </w:pPr>
      <w:r>
        <w:rPr>
          <w:color w:val="auto"/>
        </w:rPr>
        <w:t>（1）环境保护职责管理条例；</w:t>
      </w:r>
    </w:p>
    <w:p>
      <w:pPr>
        <w:bidi w:val="0"/>
        <w:rPr>
          <w:color w:val="auto"/>
        </w:rPr>
      </w:pPr>
      <w:r>
        <w:rPr>
          <w:color w:val="auto"/>
        </w:rPr>
        <w:t>（2）废气、污水、固体废物排放管理制度；</w:t>
      </w:r>
    </w:p>
    <w:p>
      <w:pPr>
        <w:bidi w:val="0"/>
        <w:rPr>
          <w:color w:val="auto"/>
        </w:rPr>
      </w:pPr>
      <w:r>
        <w:rPr>
          <w:color w:val="auto"/>
        </w:rPr>
        <w:t>（3）处理装置日常运行管理制度；</w:t>
      </w:r>
    </w:p>
    <w:p>
      <w:pPr>
        <w:bidi w:val="0"/>
        <w:rPr>
          <w:color w:val="auto"/>
        </w:rPr>
      </w:pPr>
      <w:r>
        <w:rPr>
          <w:color w:val="auto"/>
        </w:rPr>
        <w:t>（4）排污情况报告制度；</w:t>
      </w:r>
    </w:p>
    <w:p>
      <w:pPr>
        <w:bidi w:val="0"/>
        <w:rPr>
          <w:color w:val="auto"/>
        </w:rPr>
      </w:pPr>
      <w:r>
        <w:rPr>
          <w:color w:val="auto"/>
        </w:rPr>
        <w:t>（5）污染事故处理制度；</w:t>
      </w:r>
    </w:p>
    <w:p>
      <w:pPr>
        <w:bidi w:val="0"/>
        <w:rPr>
          <w:color w:val="auto"/>
        </w:rPr>
      </w:pPr>
      <w:r>
        <w:rPr>
          <w:color w:val="auto"/>
        </w:rPr>
        <w:t>（6）环保教育制度。</w:t>
      </w:r>
    </w:p>
    <w:p>
      <w:pPr>
        <w:pStyle w:val="5"/>
        <w:bidi w:val="0"/>
        <w:outlineLvl w:val="0"/>
        <w:rPr>
          <w:color w:val="auto"/>
        </w:rPr>
      </w:pPr>
      <w:bookmarkStart w:id="142" w:name="_bookmark36"/>
      <w:bookmarkEnd w:id="142"/>
      <w:bookmarkStart w:id="143" w:name="_Toc17829"/>
      <w:r>
        <w:rPr>
          <w:color w:val="auto"/>
        </w:rPr>
        <w:t>8.5“三同时”竣工验收一览表</w:t>
      </w:r>
      <w:bookmarkEnd w:id="143"/>
    </w:p>
    <w:p>
      <w:pPr>
        <w:bidi w:val="0"/>
        <w:rPr>
          <w:color w:val="auto"/>
        </w:rPr>
      </w:pPr>
      <w:r>
        <w:rPr>
          <w:color w:val="auto"/>
        </w:rPr>
        <w:t>本工程完成后，根据《国务院关于修改〈建设项目环境保护管理条例〉的决定》（国务院令第682号，2017年10月1日）和《建设项目环境保护事中事后监督管理办法》的要求，由企业自行进行验收调查。其验收的主要内容见表8.5-1。</w:t>
      </w:r>
    </w:p>
    <w:p>
      <w:pPr>
        <w:pStyle w:val="22"/>
        <w:bidi w:val="0"/>
        <w:rPr>
          <w:b/>
          <w:bCs/>
          <w:color w:val="auto"/>
        </w:rPr>
      </w:pPr>
      <w:r>
        <w:rPr>
          <w:b/>
          <w:bCs/>
          <w:color w:val="auto"/>
        </w:rPr>
        <w:t>表8.5-1环保“三同时”竣工验收一览表</w:t>
      </w:r>
    </w:p>
    <w:tbl>
      <w:tblPr>
        <w:tblStyle w:val="23"/>
        <w:tblW w:w="8715"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32"/>
        <w:gridCol w:w="968"/>
        <w:gridCol w:w="1636"/>
        <w:gridCol w:w="2346"/>
        <w:gridCol w:w="2100"/>
        <w:gridCol w:w="733"/>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25" w:hRule="atLeast"/>
        </w:trPr>
        <w:tc>
          <w:tcPr>
            <w:tcW w:w="932" w:type="dxa"/>
            <w:tcBorders>
              <w:tl2br w:val="nil"/>
              <w:tr2bl w:val="nil"/>
            </w:tcBorders>
            <w:vAlign w:val="center"/>
          </w:tcPr>
          <w:p>
            <w:pPr>
              <w:pStyle w:val="22"/>
              <w:bidi w:val="0"/>
              <w:rPr>
                <w:b/>
                <w:bCs/>
                <w:color w:val="auto"/>
                <w:highlight w:val="none"/>
              </w:rPr>
            </w:pPr>
            <w:r>
              <w:rPr>
                <w:b/>
                <w:bCs/>
                <w:color w:val="auto"/>
                <w:highlight w:val="none"/>
              </w:rPr>
              <w:t>项目</w:t>
            </w:r>
          </w:p>
        </w:tc>
        <w:tc>
          <w:tcPr>
            <w:tcW w:w="968" w:type="dxa"/>
            <w:tcBorders>
              <w:tl2br w:val="nil"/>
              <w:tr2bl w:val="nil"/>
            </w:tcBorders>
            <w:vAlign w:val="center"/>
          </w:tcPr>
          <w:p>
            <w:pPr>
              <w:pStyle w:val="22"/>
              <w:bidi w:val="0"/>
              <w:rPr>
                <w:b/>
                <w:bCs/>
                <w:color w:val="auto"/>
                <w:highlight w:val="none"/>
              </w:rPr>
            </w:pPr>
            <w:r>
              <w:rPr>
                <w:b/>
                <w:bCs/>
                <w:color w:val="auto"/>
                <w:highlight w:val="none"/>
              </w:rPr>
              <w:t>污染源</w:t>
            </w:r>
          </w:p>
        </w:tc>
        <w:tc>
          <w:tcPr>
            <w:tcW w:w="1636" w:type="dxa"/>
            <w:tcBorders>
              <w:tl2br w:val="nil"/>
              <w:tr2bl w:val="nil"/>
            </w:tcBorders>
            <w:vAlign w:val="center"/>
          </w:tcPr>
          <w:p>
            <w:pPr>
              <w:pStyle w:val="22"/>
              <w:bidi w:val="0"/>
              <w:rPr>
                <w:b/>
                <w:bCs/>
                <w:color w:val="auto"/>
                <w:highlight w:val="none"/>
              </w:rPr>
            </w:pPr>
            <w:r>
              <w:rPr>
                <w:b/>
                <w:bCs/>
                <w:color w:val="auto"/>
                <w:highlight w:val="none"/>
              </w:rPr>
              <w:t>污染物</w:t>
            </w:r>
          </w:p>
        </w:tc>
        <w:tc>
          <w:tcPr>
            <w:tcW w:w="2346" w:type="dxa"/>
            <w:tcBorders>
              <w:tl2br w:val="nil"/>
              <w:tr2bl w:val="nil"/>
            </w:tcBorders>
            <w:vAlign w:val="center"/>
          </w:tcPr>
          <w:p>
            <w:pPr>
              <w:pStyle w:val="22"/>
              <w:bidi w:val="0"/>
              <w:rPr>
                <w:b/>
                <w:bCs/>
                <w:color w:val="auto"/>
                <w:highlight w:val="none"/>
              </w:rPr>
            </w:pPr>
            <w:r>
              <w:rPr>
                <w:b/>
                <w:bCs/>
                <w:color w:val="auto"/>
                <w:highlight w:val="none"/>
              </w:rPr>
              <w:t>治理措施</w:t>
            </w:r>
          </w:p>
        </w:tc>
        <w:tc>
          <w:tcPr>
            <w:tcW w:w="2100" w:type="dxa"/>
            <w:tcBorders>
              <w:tl2br w:val="nil"/>
              <w:tr2bl w:val="nil"/>
            </w:tcBorders>
            <w:vAlign w:val="center"/>
          </w:tcPr>
          <w:p>
            <w:pPr>
              <w:pStyle w:val="22"/>
              <w:bidi w:val="0"/>
              <w:rPr>
                <w:b/>
                <w:bCs/>
                <w:color w:val="auto"/>
                <w:highlight w:val="none"/>
              </w:rPr>
            </w:pPr>
            <w:r>
              <w:rPr>
                <w:b/>
                <w:bCs/>
                <w:color w:val="auto"/>
                <w:highlight w:val="none"/>
              </w:rPr>
              <w:t>验收标准</w:t>
            </w:r>
          </w:p>
        </w:tc>
        <w:tc>
          <w:tcPr>
            <w:tcW w:w="733" w:type="dxa"/>
            <w:tcBorders>
              <w:tl2br w:val="nil"/>
              <w:tr2bl w:val="nil"/>
            </w:tcBorders>
            <w:vAlign w:val="center"/>
          </w:tcPr>
          <w:p>
            <w:pPr>
              <w:pStyle w:val="22"/>
              <w:bidi w:val="0"/>
              <w:rPr>
                <w:b/>
                <w:bCs/>
                <w:color w:val="auto"/>
                <w:highlight w:val="none"/>
              </w:rPr>
            </w:pPr>
            <w:r>
              <w:rPr>
                <w:b/>
                <w:bCs/>
                <w:color w:val="auto"/>
                <w:highlight w:val="none"/>
              </w:rPr>
              <w:t>检测</w:t>
            </w:r>
          </w:p>
          <w:p>
            <w:pPr>
              <w:pStyle w:val="22"/>
              <w:bidi w:val="0"/>
              <w:rPr>
                <w:b/>
                <w:bCs/>
                <w:color w:val="auto"/>
                <w:highlight w:val="none"/>
              </w:rPr>
            </w:pPr>
            <w:r>
              <w:rPr>
                <w:b/>
                <w:bCs/>
                <w:color w:val="auto"/>
                <w:highlight w:val="none"/>
              </w:rPr>
              <w:t>因子</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932" w:type="dxa"/>
            <w:vMerge w:val="restart"/>
            <w:tcBorders>
              <w:tl2br w:val="nil"/>
              <w:tr2bl w:val="nil"/>
            </w:tcBorders>
            <w:vAlign w:val="center"/>
          </w:tcPr>
          <w:p>
            <w:pPr>
              <w:pStyle w:val="22"/>
              <w:bidi w:val="0"/>
              <w:rPr>
                <w:color w:val="auto"/>
                <w:highlight w:val="none"/>
              </w:rPr>
            </w:pPr>
            <w:r>
              <w:rPr>
                <w:color w:val="auto"/>
                <w:highlight w:val="none"/>
              </w:rPr>
              <w:t>废气</w:t>
            </w:r>
          </w:p>
        </w:tc>
        <w:tc>
          <w:tcPr>
            <w:tcW w:w="968" w:type="dxa"/>
            <w:vMerge w:val="restart"/>
            <w:tcBorders>
              <w:tl2br w:val="nil"/>
              <w:tr2bl w:val="nil"/>
            </w:tcBorders>
            <w:vAlign w:val="center"/>
          </w:tcPr>
          <w:p>
            <w:pPr>
              <w:pStyle w:val="22"/>
              <w:bidi w:val="0"/>
              <w:rPr>
                <w:color w:val="auto"/>
                <w:highlight w:val="none"/>
              </w:rPr>
            </w:pPr>
            <w:r>
              <w:rPr>
                <w:color w:val="auto"/>
                <w:highlight w:val="none"/>
              </w:rPr>
              <w:t>实验</w:t>
            </w:r>
          </w:p>
          <w:p>
            <w:pPr>
              <w:pStyle w:val="22"/>
              <w:bidi w:val="0"/>
              <w:rPr>
                <w:color w:val="auto"/>
                <w:highlight w:val="none"/>
              </w:rPr>
            </w:pPr>
            <w:r>
              <w:rPr>
                <w:color w:val="auto"/>
                <w:highlight w:val="none"/>
              </w:rPr>
              <w:t>废气</w:t>
            </w:r>
          </w:p>
        </w:tc>
        <w:tc>
          <w:tcPr>
            <w:tcW w:w="1636" w:type="dxa"/>
            <w:tcBorders>
              <w:tl2br w:val="nil"/>
              <w:tr2bl w:val="nil"/>
            </w:tcBorders>
            <w:vAlign w:val="center"/>
          </w:tcPr>
          <w:p>
            <w:pPr>
              <w:pStyle w:val="22"/>
              <w:bidi w:val="0"/>
              <w:rPr>
                <w:color w:val="auto"/>
                <w:highlight w:val="none"/>
              </w:rPr>
            </w:pPr>
            <w:r>
              <w:rPr>
                <w:color w:val="auto"/>
                <w:highlight w:val="none"/>
              </w:rPr>
              <w:t>实验废气</w:t>
            </w:r>
          </w:p>
        </w:tc>
        <w:tc>
          <w:tcPr>
            <w:tcW w:w="2346" w:type="dxa"/>
            <w:tcBorders>
              <w:tl2br w:val="nil"/>
              <w:tr2bl w:val="nil"/>
            </w:tcBorders>
            <w:vAlign w:val="center"/>
          </w:tcPr>
          <w:p>
            <w:pPr>
              <w:pStyle w:val="22"/>
              <w:bidi w:val="0"/>
              <w:rPr>
                <w:color w:val="auto"/>
                <w:highlight w:val="none"/>
              </w:rPr>
            </w:pPr>
            <w:r>
              <w:rPr>
                <w:rFonts w:hint="eastAsia"/>
                <w:color w:val="auto"/>
                <w:highlight w:val="none"/>
                <w:lang w:val="en-US" w:eastAsia="zh-CN"/>
              </w:rPr>
              <w:t>集气罩</w:t>
            </w:r>
            <w:r>
              <w:rPr>
                <w:color w:val="auto"/>
                <w:highlight w:val="none"/>
              </w:rPr>
              <w:t>+活性炭吸附+专用风道排放至楼顶</w:t>
            </w:r>
          </w:p>
        </w:tc>
        <w:tc>
          <w:tcPr>
            <w:tcW w:w="2100" w:type="dxa"/>
            <w:vMerge w:val="restart"/>
            <w:tcBorders>
              <w:tl2br w:val="nil"/>
              <w:tr2bl w:val="nil"/>
            </w:tcBorders>
            <w:vAlign w:val="center"/>
          </w:tcPr>
          <w:p>
            <w:pPr>
              <w:pStyle w:val="22"/>
              <w:bidi w:val="0"/>
              <w:rPr>
                <w:color w:val="auto"/>
                <w:highlight w:val="none"/>
              </w:rPr>
            </w:pPr>
            <w:r>
              <w:rPr>
                <w:color w:val="auto"/>
                <w:highlight w:val="none"/>
              </w:rPr>
              <w:t>《大气污染物综合排放标准》（GB16297-1996）有组织标准</w:t>
            </w:r>
          </w:p>
        </w:tc>
        <w:tc>
          <w:tcPr>
            <w:tcW w:w="733" w:type="dxa"/>
            <w:vMerge w:val="restart"/>
            <w:tcBorders>
              <w:tl2br w:val="nil"/>
              <w:tr2bl w:val="nil"/>
            </w:tcBorders>
            <w:vAlign w:val="center"/>
          </w:tcPr>
          <w:p>
            <w:pPr>
              <w:pStyle w:val="22"/>
              <w:bidi w:val="0"/>
              <w:rPr>
                <w:color w:val="auto"/>
                <w:highlight w:val="none"/>
              </w:rPr>
            </w:pPr>
            <w:r>
              <w:rPr>
                <w:color w:val="auto"/>
                <w:highlight w:val="none"/>
              </w:rPr>
              <w:t>验收监测因子与表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932" w:type="dxa"/>
            <w:vMerge w:val="continue"/>
            <w:tcBorders>
              <w:tl2br w:val="nil"/>
              <w:tr2bl w:val="nil"/>
            </w:tcBorders>
            <w:vAlign w:val="center"/>
          </w:tcPr>
          <w:p>
            <w:pPr>
              <w:pStyle w:val="22"/>
              <w:bidi w:val="0"/>
              <w:rPr>
                <w:color w:val="auto"/>
                <w:highlight w:val="none"/>
              </w:rPr>
            </w:pPr>
          </w:p>
        </w:tc>
        <w:tc>
          <w:tcPr>
            <w:tcW w:w="968" w:type="dxa"/>
            <w:vMerge w:val="continue"/>
            <w:tcBorders>
              <w:tl2br w:val="nil"/>
              <w:tr2bl w:val="nil"/>
            </w:tcBorders>
            <w:vAlign w:val="center"/>
          </w:tcPr>
          <w:p>
            <w:pPr>
              <w:pStyle w:val="22"/>
              <w:bidi w:val="0"/>
              <w:rPr>
                <w:color w:val="auto"/>
                <w:highlight w:val="none"/>
              </w:rPr>
            </w:pPr>
          </w:p>
        </w:tc>
        <w:tc>
          <w:tcPr>
            <w:tcW w:w="1636" w:type="dxa"/>
            <w:tcBorders>
              <w:tl2br w:val="nil"/>
              <w:tr2bl w:val="nil"/>
            </w:tcBorders>
            <w:vAlign w:val="center"/>
          </w:tcPr>
          <w:p>
            <w:pPr>
              <w:pStyle w:val="22"/>
              <w:bidi w:val="0"/>
              <w:rPr>
                <w:color w:val="auto"/>
                <w:highlight w:val="none"/>
              </w:rPr>
            </w:pPr>
            <w:r>
              <w:rPr>
                <w:color w:val="auto"/>
                <w:highlight w:val="none"/>
              </w:rPr>
              <w:t>带菌空气</w:t>
            </w:r>
          </w:p>
        </w:tc>
        <w:tc>
          <w:tcPr>
            <w:tcW w:w="2346" w:type="dxa"/>
            <w:tcBorders>
              <w:tl2br w:val="nil"/>
              <w:tr2bl w:val="nil"/>
            </w:tcBorders>
            <w:vAlign w:val="center"/>
          </w:tcPr>
          <w:p>
            <w:pPr>
              <w:pStyle w:val="22"/>
              <w:bidi w:val="0"/>
              <w:rPr>
                <w:rFonts w:hint="eastAsia"/>
                <w:color w:val="auto"/>
                <w:highlight w:val="none"/>
                <w:lang w:val="en-US" w:eastAsia="zh-CN"/>
              </w:rPr>
            </w:pPr>
            <w:r>
              <w:rPr>
                <w:color w:val="auto"/>
                <w:highlight w:val="none"/>
              </w:rPr>
              <w:t>实验在生物安全柜内操作</w:t>
            </w:r>
            <w:r>
              <w:rPr>
                <w:rFonts w:hint="eastAsia"/>
                <w:color w:val="auto"/>
                <w:highlight w:val="none"/>
                <w:lang w:val="en-US" w:eastAsia="zh-CN"/>
              </w:rPr>
              <w:t>+</w:t>
            </w:r>
            <w:r>
              <w:rPr>
                <w:color w:val="auto"/>
                <w:highlight w:val="none"/>
              </w:rPr>
              <w:t>高效过滤器</w:t>
            </w:r>
            <w:r>
              <w:rPr>
                <w:rFonts w:hint="eastAsia"/>
                <w:color w:val="auto"/>
                <w:highlight w:val="none"/>
                <w:lang w:val="en-US" w:eastAsia="zh-CN"/>
              </w:rPr>
              <w:t>+</w:t>
            </w:r>
            <w:r>
              <w:rPr>
                <w:color w:val="auto"/>
                <w:highlight w:val="none"/>
              </w:rPr>
              <w:t>专用风道排放至楼顶</w:t>
            </w:r>
          </w:p>
        </w:tc>
        <w:tc>
          <w:tcPr>
            <w:tcW w:w="2100" w:type="dxa"/>
            <w:vMerge w:val="continue"/>
            <w:tcBorders>
              <w:tl2br w:val="nil"/>
              <w:tr2bl w:val="nil"/>
            </w:tcBorders>
            <w:vAlign w:val="center"/>
          </w:tcPr>
          <w:p>
            <w:pPr>
              <w:pStyle w:val="22"/>
              <w:bidi w:val="0"/>
              <w:rPr>
                <w:color w:val="auto"/>
                <w:highlight w:val="none"/>
              </w:rPr>
            </w:pPr>
          </w:p>
        </w:tc>
        <w:tc>
          <w:tcPr>
            <w:tcW w:w="733" w:type="dxa"/>
            <w:vMerge w:val="continue"/>
            <w:tcBorders>
              <w:tl2br w:val="nil"/>
              <w:tr2bl w:val="nil"/>
            </w:tcBorders>
            <w:vAlign w:val="center"/>
          </w:tcPr>
          <w:p>
            <w:pPr>
              <w:pStyle w:val="22"/>
              <w:bidi w:val="0"/>
              <w:rPr>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5" w:hRule="atLeast"/>
        </w:trPr>
        <w:tc>
          <w:tcPr>
            <w:tcW w:w="932" w:type="dxa"/>
            <w:vMerge w:val="continue"/>
            <w:tcBorders>
              <w:tl2br w:val="nil"/>
              <w:tr2bl w:val="nil"/>
            </w:tcBorders>
            <w:vAlign w:val="center"/>
          </w:tcPr>
          <w:p>
            <w:pPr>
              <w:pStyle w:val="22"/>
              <w:bidi w:val="0"/>
              <w:rPr>
                <w:color w:val="auto"/>
                <w:highlight w:val="none"/>
              </w:rPr>
            </w:pPr>
          </w:p>
        </w:tc>
        <w:tc>
          <w:tcPr>
            <w:tcW w:w="968" w:type="dxa"/>
            <w:tcBorders>
              <w:tl2br w:val="nil"/>
              <w:tr2bl w:val="nil"/>
            </w:tcBorders>
            <w:vAlign w:val="center"/>
          </w:tcPr>
          <w:p>
            <w:pPr>
              <w:pStyle w:val="22"/>
              <w:bidi w:val="0"/>
              <w:rPr>
                <w:color w:val="auto"/>
                <w:highlight w:val="none"/>
              </w:rPr>
            </w:pPr>
            <w:r>
              <w:rPr>
                <w:color w:val="auto"/>
                <w:highlight w:val="none"/>
              </w:rPr>
              <w:t>污水站恶臭</w:t>
            </w:r>
          </w:p>
        </w:tc>
        <w:tc>
          <w:tcPr>
            <w:tcW w:w="1636" w:type="dxa"/>
            <w:tcBorders>
              <w:tl2br w:val="nil"/>
              <w:tr2bl w:val="nil"/>
            </w:tcBorders>
            <w:vAlign w:val="center"/>
          </w:tcPr>
          <w:p>
            <w:pPr>
              <w:pStyle w:val="22"/>
              <w:bidi w:val="0"/>
              <w:rPr>
                <w:color w:val="auto"/>
                <w:highlight w:val="none"/>
              </w:rPr>
            </w:pPr>
            <w:r>
              <w:rPr>
                <w:color w:val="auto"/>
                <w:highlight w:val="none"/>
              </w:rPr>
              <w:t>氨、硫化氢、臭气浓度</w:t>
            </w:r>
          </w:p>
        </w:tc>
        <w:tc>
          <w:tcPr>
            <w:tcW w:w="2346" w:type="dxa"/>
            <w:tcBorders>
              <w:tl2br w:val="nil"/>
              <w:tr2bl w:val="nil"/>
            </w:tcBorders>
            <w:vAlign w:val="center"/>
          </w:tcPr>
          <w:p>
            <w:pPr>
              <w:pStyle w:val="22"/>
              <w:bidi w:val="0"/>
              <w:rPr>
                <w:color w:val="auto"/>
                <w:highlight w:val="none"/>
              </w:rPr>
            </w:pPr>
            <w:r>
              <w:rPr>
                <w:color w:val="auto"/>
                <w:highlight w:val="none"/>
              </w:rPr>
              <w:t>密闭空间、活性吸附后通风窗口无组织排放</w:t>
            </w:r>
          </w:p>
        </w:tc>
        <w:tc>
          <w:tcPr>
            <w:tcW w:w="2100" w:type="dxa"/>
            <w:tcBorders>
              <w:tl2br w:val="nil"/>
              <w:tr2bl w:val="nil"/>
            </w:tcBorders>
            <w:vAlign w:val="center"/>
          </w:tcPr>
          <w:p>
            <w:pPr>
              <w:pStyle w:val="22"/>
              <w:bidi w:val="0"/>
              <w:rPr>
                <w:color w:val="auto"/>
                <w:highlight w:val="none"/>
              </w:rPr>
            </w:pPr>
            <w:r>
              <w:rPr>
                <w:color w:val="auto"/>
                <w:highlight w:val="none"/>
              </w:rPr>
              <w:t>《医疗机构水污染物排放标准》（GB18466-2005）中表3的排放标准限值</w:t>
            </w:r>
          </w:p>
        </w:tc>
        <w:tc>
          <w:tcPr>
            <w:tcW w:w="733" w:type="dxa"/>
            <w:vMerge w:val="restart"/>
            <w:tcBorders>
              <w:tl2br w:val="nil"/>
              <w:tr2bl w:val="nil"/>
            </w:tcBorders>
            <w:vAlign w:val="center"/>
          </w:tcPr>
          <w:p>
            <w:pPr>
              <w:pStyle w:val="22"/>
              <w:bidi w:val="0"/>
              <w:rPr>
                <w:color w:val="auto"/>
                <w:highlight w:val="none"/>
              </w:rPr>
            </w:pPr>
            <w:r>
              <w:rPr>
                <w:color w:val="auto"/>
                <w:highlight w:val="none"/>
              </w:rPr>
              <w:t>8.2-1项目监测计划相同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932" w:type="dxa"/>
            <w:vMerge w:val="restart"/>
            <w:tcBorders>
              <w:tl2br w:val="nil"/>
              <w:tr2bl w:val="nil"/>
            </w:tcBorders>
            <w:vAlign w:val="center"/>
          </w:tcPr>
          <w:p>
            <w:pPr>
              <w:pStyle w:val="22"/>
              <w:bidi w:val="0"/>
              <w:rPr>
                <w:color w:val="auto"/>
                <w:highlight w:val="none"/>
              </w:rPr>
            </w:pPr>
            <w:r>
              <w:rPr>
                <w:color w:val="auto"/>
                <w:highlight w:val="none"/>
              </w:rPr>
              <w:t>废水</w:t>
            </w:r>
          </w:p>
        </w:tc>
        <w:tc>
          <w:tcPr>
            <w:tcW w:w="968" w:type="dxa"/>
            <w:vMerge w:val="restart"/>
            <w:tcBorders>
              <w:tl2br w:val="nil"/>
              <w:tr2bl w:val="nil"/>
            </w:tcBorders>
            <w:vAlign w:val="center"/>
          </w:tcPr>
          <w:p>
            <w:pPr>
              <w:pStyle w:val="22"/>
              <w:bidi w:val="0"/>
              <w:rPr>
                <w:color w:val="auto"/>
                <w:highlight w:val="none"/>
              </w:rPr>
            </w:pPr>
            <w:r>
              <w:rPr>
                <w:color w:val="auto"/>
                <w:highlight w:val="none"/>
              </w:rPr>
              <w:t>疾控中心</w:t>
            </w:r>
          </w:p>
        </w:tc>
        <w:tc>
          <w:tcPr>
            <w:tcW w:w="1636" w:type="dxa"/>
            <w:tcBorders>
              <w:tl2br w:val="nil"/>
              <w:tr2bl w:val="nil"/>
            </w:tcBorders>
            <w:vAlign w:val="center"/>
          </w:tcPr>
          <w:p>
            <w:pPr>
              <w:pStyle w:val="22"/>
              <w:bidi w:val="0"/>
              <w:rPr>
                <w:color w:val="auto"/>
                <w:highlight w:val="none"/>
              </w:rPr>
            </w:pPr>
            <w:r>
              <w:rPr>
                <w:color w:val="auto"/>
                <w:highlight w:val="none"/>
              </w:rPr>
              <w:t>办公楼生活污水</w:t>
            </w:r>
          </w:p>
        </w:tc>
        <w:tc>
          <w:tcPr>
            <w:tcW w:w="2346" w:type="dxa"/>
            <w:tcBorders>
              <w:tl2br w:val="nil"/>
              <w:tr2bl w:val="nil"/>
            </w:tcBorders>
            <w:vAlign w:val="center"/>
          </w:tcPr>
          <w:p>
            <w:pPr>
              <w:pStyle w:val="22"/>
              <w:bidi w:val="0"/>
              <w:rPr>
                <w:color w:val="auto"/>
                <w:highlight w:val="none"/>
              </w:rPr>
            </w:pPr>
            <w:r>
              <w:rPr>
                <w:color w:val="auto"/>
                <w:highlight w:val="none"/>
              </w:rPr>
              <w:t>活污水经化粪池处理后</w:t>
            </w:r>
            <w:r>
              <w:rPr>
                <w:rFonts w:hint="eastAsia"/>
                <w:color w:val="auto"/>
                <w:highlight w:val="none"/>
                <w:lang w:val="en-US" w:eastAsia="zh-CN"/>
              </w:rPr>
              <w:t>经市政管网</w:t>
            </w:r>
            <w:r>
              <w:rPr>
                <w:color w:val="auto"/>
                <w:highlight w:val="none"/>
              </w:rPr>
              <w:t>进入</w:t>
            </w:r>
            <w:r>
              <w:rPr>
                <w:rFonts w:hint="eastAsia"/>
                <w:color w:val="auto"/>
                <w:highlight w:val="none"/>
                <w:lang w:val="en-US" w:eastAsia="zh-CN"/>
              </w:rPr>
              <w:t>皮山农场</w:t>
            </w:r>
            <w:r>
              <w:rPr>
                <w:color w:val="auto"/>
                <w:highlight w:val="none"/>
              </w:rPr>
              <w:t>污水处理厂处理；</w:t>
            </w:r>
          </w:p>
        </w:tc>
        <w:tc>
          <w:tcPr>
            <w:tcW w:w="2100" w:type="dxa"/>
            <w:tcBorders>
              <w:tl2br w:val="nil"/>
              <w:tr2bl w:val="nil"/>
            </w:tcBorders>
            <w:vAlign w:val="center"/>
          </w:tcPr>
          <w:p>
            <w:pPr>
              <w:pStyle w:val="22"/>
              <w:bidi w:val="0"/>
              <w:rPr>
                <w:color w:val="auto"/>
                <w:highlight w:val="none"/>
              </w:rPr>
            </w:pPr>
            <w:r>
              <w:rPr>
                <w:color w:val="auto"/>
                <w:highlight w:val="none"/>
              </w:rPr>
              <w:t>《污水综合排放标准》（GB8978-1996）</w:t>
            </w:r>
          </w:p>
          <w:p>
            <w:pPr>
              <w:pStyle w:val="22"/>
              <w:bidi w:val="0"/>
              <w:rPr>
                <w:color w:val="auto"/>
                <w:highlight w:val="none"/>
              </w:rPr>
            </w:pPr>
            <w:r>
              <w:rPr>
                <w:color w:val="auto"/>
                <w:highlight w:val="none"/>
              </w:rPr>
              <w:t>中三级标准</w:t>
            </w:r>
          </w:p>
        </w:tc>
        <w:tc>
          <w:tcPr>
            <w:tcW w:w="733" w:type="dxa"/>
            <w:vMerge w:val="continue"/>
            <w:tcBorders>
              <w:tl2br w:val="nil"/>
              <w:tr2bl w:val="nil"/>
            </w:tcBorders>
            <w:vAlign w:val="center"/>
          </w:tcPr>
          <w:p>
            <w:pPr>
              <w:pStyle w:val="22"/>
              <w:bidi w:val="0"/>
              <w:rPr>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 w:hRule="atLeast"/>
        </w:trPr>
        <w:tc>
          <w:tcPr>
            <w:tcW w:w="932" w:type="dxa"/>
            <w:vMerge w:val="continue"/>
            <w:tcBorders>
              <w:tl2br w:val="nil"/>
              <w:tr2bl w:val="nil"/>
            </w:tcBorders>
            <w:vAlign w:val="center"/>
          </w:tcPr>
          <w:p>
            <w:pPr>
              <w:pStyle w:val="22"/>
              <w:bidi w:val="0"/>
              <w:rPr>
                <w:color w:val="auto"/>
                <w:highlight w:val="none"/>
              </w:rPr>
            </w:pPr>
          </w:p>
        </w:tc>
        <w:tc>
          <w:tcPr>
            <w:tcW w:w="968" w:type="dxa"/>
            <w:vMerge w:val="continue"/>
            <w:tcBorders>
              <w:tl2br w:val="nil"/>
              <w:tr2bl w:val="nil"/>
            </w:tcBorders>
            <w:vAlign w:val="center"/>
          </w:tcPr>
          <w:p>
            <w:pPr>
              <w:pStyle w:val="22"/>
              <w:bidi w:val="0"/>
              <w:rPr>
                <w:color w:val="auto"/>
                <w:highlight w:val="none"/>
              </w:rPr>
            </w:pPr>
          </w:p>
        </w:tc>
        <w:tc>
          <w:tcPr>
            <w:tcW w:w="1636" w:type="dxa"/>
            <w:tcBorders>
              <w:tl2br w:val="nil"/>
              <w:tr2bl w:val="nil"/>
            </w:tcBorders>
            <w:vAlign w:val="center"/>
          </w:tcPr>
          <w:p>
            <w:pPr>
              <w:pStyle w:val="22"/>
              <w:bidi w:val="0"/>
              <w:jc w:val="both"/>
              <w:rPr>
                <w:color w:val="auto"/>
                <w:highlight w:val="none"/>
              </w:rPr>
            </w:pPr>
            <w:r>
              <w:rPr>
                <w:color w:val="auto"/>
                <w:highlight w:val="none"/>
              </w:rPr>
              <w:t>纯水制备浓水</w:t>
            </w:r>
            <w:r>
              <w:rPr>
                <w:rFonts w:hint="eastAsia"/>
                <w:color w:val="auto"/>
                <w:highlight w:val="none"/>
                <w:lang w:eastAsia="zh-CN"/>
              </w:rPr>
              <w:t>、</w:t>
            </w:r>
            <w:r>
              <w:rPr>
                <w:color w:val="auto"/>
                <w:highlight w:val="none"/>
              </w:rPr>
              <w:t>微生物实验室废水</w:t>
            </w:r>
            <w:r>
              <w:rPr>
                <w:rFonts w:hint="eastAsia"/>
                <w:color w:val="auto"/>
                <w:highlight w:val="none"/>
                <w:lang w:eastAsia="zh-CN"/>
              </w:rPr>
              <w:t>、</w:t>
            </w:r>
            <w:r>
              <w:rPr>
                <w:color w:val="auto"/>
                <w:highlight w:val="none"/>
              </w:rPr>
              <w:t>理化实验室废水</w:t>
            </w:r>
          </w:p>
        </w:tc>
        <w:tc>
          <w:tcPr>
            <w:tcW w:w="2346" w:type="dxa"/>
            <w:tcBorders>
              <w:tl2br w:val="nil"/>
              <w:tr2bl w:val="nil"/>
            </w:tcBorders>
            <w:vAlign w:val="center"/>
          </w:tcPr>
          <w:p>
            <w:pPr>
              <w:pStyle w:val="22"/>
              <w:bidi w:val="0"/>
              <w:rPr>
                <w:color w:val="auto"/>
                <w:highlight w:val="none"/>
              </w:rPr>
            </w:pPr>
            <w:r>
              <w:rPr>
                <w:color w:val="auto"/>
                <w:highlight w:val="none"/>
              </w:rPr>
              <w:t>实验室废水进入自建污水处理站处理后，</w:t>
            </w:r>
            <w:r>
              <w:rPr>
                <w:rFonts w:hint="eastAsia"/>
                <w:color w:val="auto"/>
                <w:highlight w:val="none"/>
                <w:lang w:val="en-US" w:eastAsia="zh-CN"/>
              </w:rPr>
              <w:t>经市政污水管网进入皮山农场</w:t>
            </w:r>
            <w:r>
              <w:rPr>
                <w:color w:val="auto"/>
                <w:highlight w:val="none"/>
              </w:rPr>
              <w:t>污水处理厂处理</w:t>
            </w:r>
          </w:p>
        </w:tc>
        <w:tc>
          <w:tcPr>
            <w:tcW w:w="2100" w:type="dxa"/>
            <w:tcBorders>
              <w:tl2br w:val="nil"/>
              <w:tr2bl w:val="nil"/>
            </w:tcBorders>
            <w:vAlign w:val="center"/>
          </w:tcPr>
          <w:p>
            <w:pPr>
              <w:pStyle w:val="22"/>
              <w:bidi w:val="0"/>
              <w:rPr>
                <w:color w:val="auto"/>
                <w:highlight w:val="none"/>
              </w:rPr>
            </w:pPr>
            <w:r>
              <w:rPr>
                <w:color w:val="auto"/>
                <w:highlight w:val="none"/>
              </w:rPr>
              <w:t>病原微生物不得检出，《医疗机构水污染物排放标准》（GB18466-2005）中表2预处理排放标准</w:t>
            </w:r>
          </w:p>
        </w:tc>
        <w:tc>
          <w:tcPr>
            <w:tcW w:w="733" w:type="dxa"/>
            <w:vMerge w:val="continue"/>
            <w:tcBorders>
              <w:tl2br w:val="nil"/>
              <w:tr2bl w:val="nil"/>
            </w:tcBorders>
            <w:vAlign w:val="center"/>
          </w:tcPr>
          <w:p>
            <w:pPr>
              <w:pStyle w:val="22"/>
              <w:bidi w:val="0"/>
              <w:rPr>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 w:hRule="atLeast"/>
        </w:trPr>
        <w:tc>
          <w:tcPr>
            <w:tcW w:w="932" w:type="dxa"/>
            <w:vMerge w:val="restart"/>
            <w:tcBorders>
              <w:tl2br w:val="nil"/>
              <w:tr2bl w:val="nil"/>
            </w:tcBorders>
            <w:vAlign w:val="center"/>
          </w:tcPr>
          <w:p>
            <w:pPr>
              <w:pStyle w:val="22"/>
              <w:bidi w:val="0"/>
              <w:rPr>
                <w:color w:val="auto"/>
                <w:highlight w:val="none"/>
              </w:rPr>
            </w:pPr>
            <w:r>
              <w:rPr>
                <w:color w:val="auto"/>
                <w:highlight w:val="none"/>
              </w:rPr>
              <w:t>噪声</w:t>
            </w:r>
          </w:p>
        </w:tc>
        <w:tc>
          <w:tcPr>
            <w:tcW w:w="968" w:type="dxa"/>
            <w:tcBorders>
              <w:tl2br w:val="nil"/>
              <w:tr2bl w:val="nil"/>
            </w:tcBorders>
            <w:vAlign w:val="center"/>
          </w:tcPr>
          <w:p>
            <w:pPr>
              <w:pStyle w:val="22"/>
              <w:bidi w:val="0"/>
              <w:rPr>
                <w:color w:val="auto"/>
                <w:highlight w:val="none"/>
              </w:rPr>
            </w:pPr>
            <w:r>
              <w:rPr>
                <w:color w:val="auto"/>
                <w:highlight w:val="none"/>
              </w:rPr>
              <w:t>实验室</w:t>
            </w:r>
          </w:p>
        </w:tc>
        <w:tc>
          <w:tcPr>
            <w:tcW w:w="1636" w:type="dxa"/>
            <w:tcBorders>
              <w:tl2br w:val="nil"/>
              <w:tr2bl w:val="nil"/>
            </w:tcBorders>
            <w:vAlign w:val="center"/>
          </w:tcPr>
          <w:p>
            <w:pPr>
              <w:pStyle w:val="22"/>
              <w:bidi w:val="0"/>
              <w:rPr>
                <w:color w:val="auto"/>
                <w:highlight w:val="none"/>
              </w:rPr>
            </w:pPr>
            <w:r>
              <w:rPr>
                <w:color w:val="auto"/>
                <w:highlight w:val="none"/>
              </w:rPr>
              <w:t>风机等</w:t>
            </w:r>
          </w:p>
        </w:tc>
        <w:tc>
          <w:tcPr>
            <w:tcW w:w="2346" w:type="dxa"/>
            <w:tcBorders>
              <w:tl2br w:val="nil"/>
              <w:tr2bl w:val="nil"/>
            </w:tcBorders>
            <w:vAlign w:val="center"/>
          </w:tcPr>
          <w:p>
            <w:pPr>
              <w:pStyle w:val="22"/>
              <w:bidi w:val="0"/>
              <w:rPr>
                <w:color w:val="auto"/>
                <w:highlight w:val="none"/>
              </w:rPr>
            </w:pPr>
            <w:r>
              <w:rPr>
                <w:color w:val="auto"/>
                <w:highlight w:val="none"/>
              </w:rPr>
              <w:t>隔声减震</w:t>
            </w:r>
          </w:p>
        </w:tc>
        <w:tc>
          <w:tcPr>
            <w:tcW w:w="2100" w:type="dxa"/>
            <w:vMerge w:val="restart"/>
            <w:tcBorders>
              <w:tl2br w:val="nil"/>
              <w:tr2bl w:val="nil"/>
            </w:tcBorders>
            <w:vAlign w:val="center"/>
          </w:tcPr>
          <w:p>
            <w:pPr>
              <w:pStyle w:val="22"/>
              <w:bidi w:val="0"/>
              <w:rPr>
                <w:color w:val="auto"/>
                <w:highlight w:val="none"/>
              </w:rPr>
            </w:pPr>
            <w:r>
              <w:rPr>
                <w:color w:val="auto"/>
                <w:highlight w:val="none"/>
              </w:rPr>
              <w:t>符合《声环境质量标准》（GB3096-2008）中的</w:t>
            </w:r>
            <w:r>
              <w:rPr>
                <w:rFonts w:hint="eastAsia"/>
                <w:color w:val="auto"/>
                <w:highlight w:val="none"/>
                <w:lang w:val="en-US" w:eastAsia="zh-CN"/>
              </w:rPr>
              <w:t>1</w:t>
            </w:r>
            <w:r>
              <w:rPr>
                <w:color w:val="auto"/>
                <w:highlight w:val="none"/>
              </w:rPr>
              <w:t>类标准排放限值</w:t>
            </w:r>
          </w:p>
        </w:tc>
        <w:tc>
          <w:tcPr>
            <w:tcW w:w="733" w:type="dxa"/>
            <w:vMerge w:val="continue"/>
            <w:tcBorders>
              <w:tl2br w:val="nil"/>
              <w:tr2bl w:val="nil"/>
            </w:tcBorders>
            <w:vAlign w:val="center"/>
          </w:tcPr>
          <w:p>
            <w:pPr>
              <w:pStyle w:val="22"/>
              <w:bidi w:val="0"/>
              <w:rPr>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0" w:hRule="atLeast"/>
        </w:trPr>
        <w:tc>
          <w:tcPr>
            <w:tcW w:w="932" w:type="dxa"/>
            <w:vMerge w:val="continue"/>
            <w:tcBorders>
              <w:tl2br w:val="nil"/>
              <w:tr2bl w:val="nil"/>
            </w:tcBorders>
            <w:vAlign w:val="center"/>
          </w:tcPr>
          <w:p>
            <w:pPr>
              <w:pStyle w:val="22"/>
              <w:bidi w:val="0"/>
              <w:rPr>
                <w:color w:val="auto"/>
                <w:highlight w:val="none"/>
              </w:rPr>
            </w:pPr>
          </w:p>
        </w:tc>
        <w:tc>
          <w:tcPr>
            <w:tcW w:w="968" w:type="dxa"/>
            <w:tcBorders>
              <w:tl2br w:val="nil"/>
              <w:tr2bl w:val="nil"/>
            </w:tcBorders>
            <w:vAlign w:val="center"/>
          </w:tcPr>
          <w:p>
            <w:pPr>
              <w:pStyle w:val="22"/>
              <w:bidi w:val="0"/>
              <w:rPr>
                <w:color w:val="auto"/>
                <w:highlight w:val="none"/>
              </w:rPr>
            </w:pPr>
            <w:r>
              <w:rPr>
                <w:color w:val="auto"/>
                <w:highlight w:val="none"/>
              </w:rPr>
              <w:t>疾控中心</w:t>
            </w:r>
          </w:p>
        </w:tc>
        <w:tc>
          <w:tcPr>
            <w:tcW w:w="1636" w:type="dxa"/>
            <w:tcBorders>
              <w:tl2br w:val="nil"/>
              <w:tr2bl w:val="nil"/>
            </w:tcBorders>
            <w:vAlign w:val="center"/>
          </w:tcPr>
          <w:p>
            <w:pPr>
              <w:pStyle w:val="22"/>
              <w:bidi w:val="0"/>
              <w:rPr>
                <w:color w:val="auto"/>
                <w:highlight w:val="none"/>
              </w:rPr>
            </w:pPr>
            <w:r>
              <w:rPr>
                <w:color w:val="auto"/>
                <w:highlight w:val="none"/>
              </w:rPr>
              <w:t>社会活动噪声</w:t>
            </w:r>
          </w:p>
        </w:tc>
        <w:tc>
          <w:tcPr>
            <w:tcW w:w="2346" w:type="dxa"/>
            <w:tcBorders>
              <w:tl2br w:val="nil"/>
              <w:tr2bl w:val="nil"/>
            </w:tcBorders>
            <w:vAlign w:val="center"/>
          </w:tcPr>
          <w:p>
            <w:pPr>
              <w:pStyle w:val="22"/>
              <w:bidi w:val="0"/>
              <w:rPr>
                <w:color w:val="auto"/>
                <w:highlight w:val="none"/>
              </w:rPr>
            </w:pPr>
            <w:r>
              <w:rPr>
                <w:color w:val="auto"/>
                <w:highlight w:val="none"/>
              </w:rPr>
              <w:t>禁止大声喧哗、吵闹</w:t>
            </w:r>
          </w:p>
        </w:tc>
        <w:tc>
          <w:tcPr>
            <w:tcW w:w="2100" w:type="dxa"/>
            <w:vMerge w:val="continue"/>
            <w:tcBorders>
              <w:tl2br w:val="nil"/>
              <w:tr2bl w:val="nil"/>
            </w:tcBorders>
            <w:vAlign w:val="center"/>
          </w:tcPr>
          <w:p>
            <w:pPr>
              <w:pStyle w:val="22"/>
              <w:bidi w:val="0"/>
              <w:rPr>
                <w:color w:val="auto"/>
                <w:highlight w:val="none"/>
              </w:rPr>
            </w:pPr>
          </w:p>
        </w:tc>
        <w:tc>
          <w:tcPr>
            <w:tcW w:w="733" w:type="dxa"/>
            <w:vMerge w:val="continue"/>
            <w:tcBorders>
              <w:tl2br w:val="nil"/>
              <w:tr2bl w:val="nil"/>
            </w:tcBorders>
            <w:vAlign w:val="center"/>
          </w:tcPr>
          <w:p>
            <w:pPr>
              <w:pStyle w:val="22"/>
              <w:bidi w:val="0"/>
              <w:rPr>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932" w:type="dxa"/>
            <w:vMerge w:val="restart"/>
            <w:tcBorders>
              <w:tl2br w:val="nil"/>
              <w:tr2bl w:val="nil"/>
            </w:tcBorders>
            <w:vAlign w:val="center"/>
          </w:tcPr>
          <w:p>
            <w:pPr>
              <w:pStyle w:val="22"/>
              <w:bidi w:val="0"/>
              <w:rPr>
                <w:color w:val="auto"/>
                <w:highlight w:val="none"/>
              </w:rPr>
            </w:pPr>
            <w:r>
              <w:rPr>
                <w:color w:val="auto"/>
                <w:highlight w:val="none"/>
              </w:rPr>
              <w:t>固废</w:t>
            </w:r>
          </w:p>
        </w:tc>
        <w:tc>
          <w:tcPr>
            <w:tcW w:w="968" w:type="dxa"/>
            <w:vMerge w:val="restart"/>
            <w:tcBorders>
              <w:tl2br w:val="nil"/>
              <w:tr2bl w:val="nil"/>
            </w:tcBorders>
            <w:vAlign w:val="center"/>
          </w:tcPr>
          <w:p>
            <w:pPr>
              <w:pStyle w:val="22"/>
              <w:bidi w:val="0"/>
              <w:rPr>
                <w:color w:val="auto"/>
                <w:highlight w:val="none"/>
              </w:rPr>
            </w:pPr>
            <w:r>
              <w:rPr>
                <w:color w:val="auto"/>
                <w:highlight w:val="none"/>
              </w:rPr>
              <w:t>一般固废</w:t>
            </w:r>
          </w:p>
        </w:tc>
        <w:tc>
          <w:tcPr>
            <w:tcW w:w="1636" w:type="dxa"/>
            <w:tcBorders>
              <w:tl2br w:val="nil"/>
              <w:tr2bl w:val="nil"/>
            </w:tcBorders>
            <w:vAlign w:val="center"/>
          </w:tcPr>
          <w:p>
            <w:pPr>
              <w:pStyle w:val="22"/>
              <w:bidi w:val="0"/>
              <w:rPr>
                <w:color w:val="auto"/>
                <w:highlight w:val="none"/>
              </w:rPr>
            </w:pPr>
            <w:r>
              <w:rPr>
                <w:color w:val="auto"/>
                <w:highlight w:val="none"/>
              </w:rPr>
              <w:t>生活垃圾</w:t>
            </w:r>
          </w:p>
        </w:tc>
        <w:tc>
          <w:tcPr>
            <w:tcW w:w="2346" w:type="dxa"/>
            <w:tcBorders>
              <w:tl2br w:val="nil"/>
              <w:tr2bl w:val="nil"/>
            </w:tcBorders>
            <w:vAlign w:val="center"/>
          </w:tcPr>
          <w:p>
            <w:pPr>
              <w:pStyle w:val="22"/>
              <w:bidi w:val="0"/>
              <w:rPr>
                <w:color w:val="auto"/>
                <w:highlight w:val="none"/>
              </w:rPr>
            </w:pPr>
            <w:r>
              <w:rPr>
                <w:color w:val="auto"/>
                <w:highlight w:val="none"/>
              </w:rPr>
              <w:t>设置密闭式的垃圾桶、生活垃圾收集点，由环</w:t>
            </w:r>
          </w:p>
          <w:p>
            <w:pPr>
              <w:pStyle w:val="22"/>
              <w:bidi w:val="0"/>
              <w:rPr>
                <w:color w:val="auto"/>
                <w:highlight w:val="none"/>
              </w:rPr>
            </w:pPr>
            <w:r>
              <w:rPr>
                <w:color w:val="auto"/>
                <w:highlight w:val="none"/>
              </w:rPr>
              <w:t>卫部门定期清理</w:t>
            </w:r>
          </w:p>
        </w:tc>
        <w:tc>
          <w:tcPr>
            <w:tcW w:w="2100" w:type="dxa"/>
            <w:tcBorders>
              <w:tl2br w:val="nil"/>
              <w:tr2bl w:val="nil"/>
            </w:tcBorders>
            <w:vAlign w:val="center"/>
          </w:tcPr>
          <w:p>
            <w:pPr>
              <w:pStyle w:val="22"/>
              <w:bidi w:val="0"/>
              <w:rPr>
                <w:color w:val="auto"/>
                <w:highlight w:val="none"/>
              </w:rPr>
            </w:pPr>
            <w:r>
              <w:rPr>
                <w:color w:val="auto"/>
                <w:highlight w:val="none"/>
              </w:rPr>
              <w:t>合理处置</w:t>
            </w:r>
          </w:p>
        </w:tc>
        <w:tc>
          <w:tcPr>
            <w:tcW w:w="733" w:type="dxa"/>
            <w:tcBorders>
              <w:tl2br w:val="nil"/>
              <w:tr2bl w:val="nil"/>
            </w:tcBorders>
            <w:vAlign w:val="center"/>
          </w:tcPr>
          <w:p>
            <w:pPr>
              <w:pStyle w:val="22"/>
              <w:bidi w:val="0"/>
              <w:rPr>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9" w:hRule="atLeast"/>
        </w:trPr>
        <w:tc>
          <w:tcPr>
            <w:tcW w:w="932" w:type="dxa"/>
            <w:vMerge w:val="continue"/>
            <w:tcBorders>
              <w:tl2br w:val="nil"/>
              <w:tr2bl w:val="nil"/>
            </w:tcBorders>
            <w:vAlign w:val="center"/>
          </w:tcPr>
          <w:p>
            <w:pPr>
              <w:pStyle w:val="22"/>
              <w:bidi w:val="0"/>
              <w:rPr>
                <w:color w:val="auto"/>
                <w:highlight w:val="none"/>
              </w:rPr>
            </w:pPr>
          </w:p>
        </w:tc>
        <w:tc>
          <w:tcPr>
            <w:tcW w:w="968" w:type="dxa"/>
            <w:vMerge w:val="continue"/>
            <w:tcBorders>
              <w:tl2br w:val="nil"/>
              <w:tr2bl w:val="nil"/>
            </w:tcBorders>
            <w:vAlign w:val="center"/>
          </w:tcPr>
          <w:p>
            <w:pPr>
              <w:pStyle w:val="22"/>
              <w:bidi w:val="0"/>
              <w:rPr>
                <w:color w:val="auto"/>
                <w:highlight w:val="none"/>
              </w:rPr>
            </w:pPr>
          </w:p>
        </w:tc>
        <w:tc>
          <w:tcPr>
            <w:tcW w:w="1636" w:type="dxa"/>
            <w:tcBorders>
              <w:tl2br w:val="nil"/>
              <w:tr2bl w:val="nil"/>
            </w:tcBorders>
            <w:vAlign w:val="center"/>
          </w:tcPr>
          <w:p>
            <w:pPr>
              <w:pStyle w:val="22"/>
              <w:bidi w:val="0"/>
              <w:rPr>
                <w:color w:val="auto"/>
                <w:highlight w:val="none"/>
              </w:rPr>
            </w:pPr>
            <w:r>
              <w:rPr>
                <w:color w:val="auto"/>
                <w:highlight w:val="none"/>
              </w:rPr>
              <w:t>废离子交换树脂</w:t>
            </w:r>
          </w:p>
        </w:tc>
        <w:tc>
          <w:tcPr>
            <w:tcW w:w="2346" w:type="dxa"/>
            <w:tcBorders>
              <w:tl2br w:val="nil"/>
              <w:tr2bl w:val="nil"/>
            </w:tcBorders>
            <w:vAlign w:val="center"/>
          </w:tcPr>
          <w:p>
            <w:pPr>
              <w:pStyle w:val="22"/>
              <w:bidi w:val="0"/>
              <w:rPr>
                <w:color w:val="auto"/>
                <w:highlight w:val="none"/>
              </w:rPr>
            </w:pPr>
            <w:r>
              <w:rPr>
                <w:color w:val="auto"/>
                <w:highlight w:val="none"/>
              </w:rPr>
              <w:t>专用容器收集后运至工业固废垃圾填埋场处。</w:t>
            </w:r>
          </w:p>
        </w:tc>
        <w:tc>
          <w:tcPr>
            <w:tcW w:w="2100" w:type="dxa"/>
            <w:tcBorders>
              <w:tl2br w:val="nil"/>
              <w:tr2bl w:val="nil"/>
            </w:tcBorders>
            <w:vAlign w:val="center"/>
          </w:tcPr>
          <w:p>
            <w:pPr>
              <w:pStyle w:val="22"/>
              <w:bidi w:val="0"/>
              <w:rPr>
                <w:color w:val="auto"/>
                <w:highlight w:val="none"/>
              </w:rPr>
            </w:pPr>
            <w:r>
              <w:rPr>
                <w:color w:val="auto"/>
                <w:highlight w:val="none"/>
              </w:rPr>
              <w:t>合理处置</w:t>
            </w:r>
          </w:p>
        </w:tc>
        <w:tc>
          <w:tcPr>
            <w:tcW w:w="733" w:type="dxa"/>
            <w:tcBorders>
              <w:tl2br w:val="nil"/>
              <w:tr2bl w:val="nil"/>
            </w:tcBorders>
            <w:vAlign w:val="center"/>
          </w:tcPr>
          <w:p>
            <w:pPr>
              <w:pStyle w:val="22"/>
              <w:bidi w:val="0"/>
              <w:rPr>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0" w:hRule="atLeast"/>
        </w:trPr>
        <w:tc>
          <w:tcPr>
            <w:tcW w:w="932" w:type="dxa"/>
            <w:vMerge w:val="continue"/>
            <w:tcBorders>
              <w:tl2br w:val="nil"/>
              <w:tr2bl w:val="nil"/>
            </w:tcBorders>
            <w:vAlign w:val="center"/>
          </w:tcPr>
          <w:p>
            <w:pPr>
              <w:pStyle w:val="22"/>
              <w:bidi w:val="0"/>
              <w:rPr>
                <w:color w:val="auto"/>
                <w:highlight w:val="none"/>
              </w:rPr>
            </w:pPr>
          </w:p>
        </w:tc>
        <w:tc>
          <w:tcPr>
            <w:tcW w:w="968" w:type="dxa"/>
            <w:vMerge w:val="restart"/>
            <w:tcBorders>
              <w:tl2br w:val="nil"/>
              <w:tr2bl w:val="nil"/>
            </w:tcBorders>
            <w:vAlign w:val="center"/>
          </w:tcPr>
          <w:p>
            <w:pPr>
              <w:pStyle w:val="22"/>
              <w:bidi w:val="0"/>
              <w:rPr>
                <w:color w:val="auto"/>
                <w:highlight w:val="none"/>
              </w:rPr>
            </w:pPr>
            <w:r>
              <w:rPr>
                <w:color w:val="auto"/>
                <w:highlight w:val="none"/>
              </w:rPr>
              <w:t>危废</w:t>
            </w:r>
          </w:p>
        </w:tc>
        <w:tc>
          <w:tcPr>
            <w:tcW w:w="1636" w:type="dxa"/>
            <w:tcBorders>
              <w:tl2br w:val="nil"/>
              <w:tr2bl w:val="nil"/>
            </w:tcBorders>
            <w:vAlign w:val="center"/>
          </w:tcPr>
          <w:p>
            <w:pPr>
              <w:pStyle w:val="22"/>
              <w:bidi w:val="0"/>
              <w:rPr>
                <w:rFonts w:hint="eastAsia"/>
                <w:color w:val="auto"/>
                <w:highlight w:val="none"/>
                <w:lang w:eastAsia="zh-CN"/>
              </w:rPr>
            </w:pPr>
            <w:r>
              <w:rPr>
                <w:color w:val="auto"/>
                <w:highlight w:val="none"/>
              </w:rPr>
              <w:t>医疗</w:t>
            </w:r>
            <w:r>
              <w:rPr>
                <w:rFonts w:hint="eastAsia"/>
                <w:color w:val="auto"/>
                <w:highlight w:val="none"/>
                <w:lang w:val="en-US" w:eastAsia="zh-CN"/>
              </w:rPr>
              <w:t>废物</w:t>
            </w:r>
          </w:p>
        </w:tc>
        <w:tc>
          <w:tcPr>
            <w:tcW w:w="2346" w:type="dxa"/>
            <w:tcBorders>
              <w:tl2br w:val="nil"/>
              <w:tr2bl w:val="nil"/>
            </w:tcBorders>
            <w:vAlign w:val="center"/>
          </w:tcPr>
          <w:p>
            <w:pPr>
              <w:pStyle w:val="22"/>
              <w:bidi w:val="0"/>
              <w:rPr>
                <w:color w:val="auto"/>
                <w:highlight w:val="none"/>
              </w:rPr>
            </w:pPr>
            <w:r>
              <w:rPr>
                <w:color w:val="auto"/>
                <w:highlight w:val="none"/>
              </w:rPr>
              <w:t>密闭容器收集，暂存于医疗废物暂存间，定期交由有资质的单位进行处置；</w:t>
            </w:r>
          </w:p>
        </w:tc>
        <w:tc>
          <w:tcPr>
            <w:tcW w:w="2100" w:type="dxa"/>
            <w:vMerge w:val="restart"/>
            <w:tcBorders>
              <w:tl2br w:val="nil"/>
              <w:tr2bl w:val="nil"/>
            </w:tcBorders>
            <w:vAlign w:val="center"/>
          </w:tcPr>
          <w:p>
            <w:pPr>
              <w:pStyle w:val="22"/>
              <w:bidi w:val="0"/>
              <w:rPr>
                <w:color w:val="auto"/>
                <w:highlight w:val="none"/>
              </w:rPr>
            </w:pPr>
            <w:r>
              <w:rPr>
                <w:color w:val="auto"/>
                <w:highlight w:val="none"/>
              </w:rPr>
              <w:t>满足《危险废物贮存</w:t>
            </w:r>
          </w:p>
          <w:p>
            <w:pPr>
              <w:pStyle w:val="22"/>
              <w:bidi w:val="0"/>
              <w:rPr>
                <w:color w:val="auto"/>
                <w:highlight w:val="none"/>
              </w:rPr>
            </w:pPr>
            <w:r>
              <w:rPr>
                <w:color w:val="auto"/>
                <w:highlight w:val="none"/>
              </w:rPr>
              <w:t>污染控制标准》（GB18597-2001）中危险废物贮存要求</w:t>
            </w:r>
          </w:p>
        </w:tc>
        <w:tc>
          <w:tcPr>
            <w:tcW w:w="733" w:type="dxa"/>
            <w:tcBorders>
              <w:tl2br w:val="nil"/>
              <w:tr2bl w:val="nil"/>
            </w:tcBorders>
            <w:vAlign w:val="center"/>
          </w:tcPr>
          <w:p>
            <w:pPr>
              <w:pStyle w:val="22"/>
              <w:bidi w:val="0"/>
              <w:rPr>
                <w:color w:val="auto"/>
                <w:highlight w:val="none"/>
              </w:rPr>
            </w:pPr>
          </w:p>
          <w:p>
            <w:pPr>
              <w:pStyle w:val="22"/>
              <w:bidi w:val="0"/>
              <w:rPr>
                <w:color w:val="auto"/>
                <w:highlight w:val="none"/>
              </w:rPr>
            </w:pPr>
            <w:r>
              <w:rPr>
                <w:color w:val="auto"/>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1" w:hRule="atLeast"/>
        </w:trPr>
        <w:tc>
          <w:tcPr>
            <w:tcW w:w="932" w:type="dxa"/>
            <w:vMerge w:val="continue"/>
            <w:tcBorders>
              <w:tl2br w:val="nil"/>
              <w:tr2bl w:val="nil"/>
            </w:tcBorders>
            <w:vAlign w:val="center"/>
          </w:tcPr>
          <w:p>
            <w:pPr>
              <w:pStyle w:val="22"/>
              <w:bidi w:val="0"/>
              <w:rPr>
                <w:color w:val="auto"/>
                <w:highlight w:val="none"/>
              </w:rPr>
            </w:pPr>
          </w:p>
        </w:tc>
        <w:tc>
          <w:tcPr>
            <w:tcW w:w="968" w:type="dxa"/>
            <w:vMerge w:val="continue"/>
            <w:tcBorders>
              <w:tl2br w:val="nil"/>
              <w:tr2bl w:val="nil"/>
            </w:tcBorders>
            <w:vAlign w:val="center"/>
          </w:tcPr>
          <w:p>
            <w:pPr>
              <w:pStyle w:val="22"/>
              <w:bidi w:val="0"/>
              <w:rPr>
                <w:color w:val="auto"/>
                <w:highlight w:val="none"/>
              </w:rPr>
            </w:pPr>
          </w:p>
        </w:tc>
        <w:tc>
          <w:tcPr>
            <w:tcW w:w="1636" w:type="dxa"/>
            <w:tcBorders>
              <w:tl2br w:val="nil"/>
              <w:tr2bl w:val="nil"/>
            </w:tcBorders>
            <w:vAlign w:val="center"/>
          </w:tcPr>
          <w:p>
            <w:pPr>
              <w:pStyle w:val="22"/>
              <w:bidi w:val="0"/>
              <w:rPr>
                <w:color w:val="auto"/>
                <w:highlight w:val="none"/>
              </w:rPr>
            </w:pPr>
            <w:r>
              <w:rPr>
                <w:color w:val="auto"/>
                <w:highlight w:val="none"/>
              </w:rPr>
              <w:t>废活性炭</w:t>
            </w:r>
          </w:p>
        </w:tc>
        <w:tc>
          <w:tcPr>
            <w:tcW w:w="2346" w:type="dxa"/>
            <w:tcBorders>
              <w:tl2br w:val="nil"/>
              <w:tr2bl w:val="nil"/>
            </w:tcBorders>
            <w:vAlign w:val="center"/>
          </w:tcPr>
          <w:p>
            <w:pPr>
              <w:pStyle w:val="22"/>
              <w:bidi w:val="0"/>
              <w:rPr>
                <w:color w:val="auto"/>
                <w:highlight w:val="none"/>
              </w:rPr>
            </w:pPr>
          </w:p>
          <w:p>
            <w:pPr>
              <w:pStyle w:val="22"/>
              <w:bidi w:val="0"/>
              <w:rPr>
                <w:rFonts w:hint="eastAsia"/>
                <w:color w:val="auto"/>
                <w:highlight w:val="none"/>
                <w:lang w:val="en-US" w:eastAsia="zh-CN"/>
              </w:rPr>
            </w:pPr>
            <w:r>
              <w:rPr>
                <w:color w:val="auto"/>
                <w:highlight w:val="none"/>
              </w:rPr>
              <w:t>专用容器收集，委托当地有危废资质单位处</w:t>
            </w:r>
            <w:r>
              <w:rPr>
                <w:rFonts w:hint="eastAsia"/>
                <w:color w:val="auto"/>
                <w:highlight w:val="none"/>
                <w:lang w:val="en-US" w:eastAsia="zh-CN"/>
              </w:rPr>
              <w:t>置</w:t>
            </w:r>
          </w:p>
          <w:p>
            <w:pPr>
              <w:pStyle w:val="22"/>
              <w:bidi w:val="0"/>
              <w:rPr>
                <w:color w:val="auto"/>
                <w:highlight w:val="none"/>
              </w:rPr>
            </w:pPr>
          </w:p>
        </w:tc>
        <w:tc>
          <w:tcPr>
            <w:tcW w:w="2100" w:type="dxa"/>
            <w:vMerge w:val="continue"/>
            <w:tcBorders>
              <w:tl2br w:val="nil"/>
              <w:tr2bl w:val="nil"/>
            </w:tcBorders>
            <w:vAlign w:val="center"/>
          </w:tcPr>
          <w:p>
            <w:pPr>
              <w:pStyle w:val="22"/>
              <w:bidi w:val="0"/>
              <w:rPr>
                <w:color w:val="auto"/>
                <w:highlight w:val="none"/>
              </w:rPr>
            </w:pPr>
          </w:p>
        </w:tc>
        <w:tc>
          <w:tcPr>
            <w:tcW w:w="733" w:type="dxa"/>
            <w:tcBorders>
              <w:tl2br w:val="nil"/>
              <w:tr2bl w:val="nil"/>
            </w:tcBorders>
            <w:vAlign w:val="center"/>
          </w:tcPr>
          <w:p>
            <w:pPr>
              <w:pStyle w:val="22"/>
              <w:bidi w:val="0"/>
              <w:rPr>
                <w:color w:val="auto"/>
                <w:highlight w:val="none"/>
              </w:rPr>
            </w:pPr>
          </w:p>
          <w:p>
            <w:pPr>
              <w:pStyle w:val="22"/>
              <w:bidi w:val="0"/>
              <w:rPr>
                <w:color w:val="auto"/>
                <w:highlight w:val="none"/>
              </w:rPr>
            </w:pPr>
          </w:p>
          <w:p>
            <w:pPr>
              <w:pStyle w:val="22"/>
              <w:bidi w:val="0"/>
              <w:rPr>
                <w:color w:val="auto"/>
                <w:highlight w:val="none"/>
              </w:rPr>
            </w:pPr>
            <w:r>
              <w:rPr>
                <w:color w:val="auto"/>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1" w:hRule="atLeast"/>
        </w:trPr>
        <w:tc>
          <w:tcPr>
            <w:tcW w:w="932" w:type="dxa"/>
            <w:vMerge w:val="continue"/>
            <w:tcBorders>
              <w:tl2br w:val="nil"/>
              <w:tr2bl w:val="nil"/>
            </w:tcBorders>
            <w:vAlign w:val="center"/>
          </w:tcPr>
          <w:p>
            <w:pPr>
              <w:pStyle w:val="22"/>
              <w:bidi w:val="0"/>
              <w:rPr>
                <w:color w:val="auto"/>
                <w:highlight w:val="none"/>
              </w:rPr>
            </w:pPr>
          </w:p>
        </w:tc>
        <w:tc>
          <w:tcPr>
            <w:tcW w:w="968" w:type="dxa"/>
            <w:vMerge w:val="continue"/>
            <w:tcBorders>
              <w:tl2br w:val="nil"/>
              <w:tr2bl w:val="nil"/>
            </w:tcBorders>
            <w:vAlign w:val="center"/>
          </w:tcPr>
          <w:p>
            <w:pPr>
              <w:pStyle w:val="22"/>
              <w:bidi w:val="0"/>
              <w:rPr>
                <w:color w:val="auto"/>
                <w:highlight w:val="none"/>
              </w:rPr>
            </w:pPr>
          </w:p>
        </w:tc>
        <w:tc>
          <w:tcPr>
            <w:tcW w:w="1636" w:type="dxa"/>
            <w:tcBorders>
              <w:tl2br w:val="nil"/>
              <w:tr2bl w:val="nil"/>
            </w:tcBorders>
            <w:vAlign w:val="center"/>
          </w:tcPr>
          <w:p>
            <w:pPr>
              <w:pStyle w:val="22"/>
              <w:bidi w:val="0"/>
              <w:rPr>
                <w:color w:val="auto"/>
                <w:highlight w:val="none"/>
              </w:rPr>
            </w:pPr>
            <w:r>
              <w:rPr>
                <w:color w:val="auto"/>
                <w:highlight w:val="none"/>
              </w:rPr>
              <w:t>污水站污泥</w:t>
            </w:r>
          </w:p>
        </w:tc>
        <w:tc>
          <w:tcPr>
            <w:tcW w:w="2346" w:type="dxa"/>
            <w:tcBorders>
              <w:tl2br w:val="nil"/>
              <w:tr2bl w:val="nil"/>
            </w:tcBorders>
            <w:vAlign w:val="center"/>
          </w:tcPr>
          <w:p>
            <w:pPr>
              <w:pStyle w:val="22"/>
              <w:bidi w:val="0"/>
              <w:rPr>
                <w:color w:val="auto"/>
                <w:highlight w:val="none"/>
              </w:rPr>
            </w:pPr>
            <w:r>
              <w:rPr>
                <w:color w:val="auto"/>
                <w:highlight w:val="none"/>
              </w:rPr>
              <w:t>污泥委托专业单位清</w:t>
            </w:r>
          </w:p>
          <w:p>
            <w:pPr>
              <w:pStyle w:val="22"/>
              <w:bidi w:val="0"/>
              <w:rPr>
                <w:color w:val="auto"/>
                <w:highlight w:val="none"/>
              </w:rPr>
            </w:pPr>
            <w:r>
              <w:rPr>
                <w:color w:val="auto"/>
                <w:highlight w:val="none"/>
              </w:rPr>
              <w:t>淤，委托当地有危废资</w:t>
            </w:r>
          </w:p>
          <w:p>
            <w:pPr>
              <w:pStyle w:val="22"/>
              <w:bidi w:val="0"/>
              <w:rPr>
                <w:color w:val="auto"/>
                <w:highlight w:val="none"/>
              </w:rPr>
            </w:pPr>
            <w:r>
              <w:rPr>
                <w:color w:val="auto"/>
                <w:highlight w:val="none"/>
              </w:rPr>
              <w:t>质单位处置</w:t>
            </w:r>
          </w:p>
        </w:tc>
        <w:tc>
          <w:tcPr>
            <w:tcW w:w="2100" w:type="dxa"/>
            <w:tcBorders>
              <w:tl2br w:val="nil"/>
              <w:tr2bl w:val="nil"/>
            </w:tcBorders>
            <w:vAlign w:val="center"/>
          </w:tcPr>
          <w:p>
            <w:pPr>
              <w:pStyle w:val="22"/>
              <w:bidi w:val="0"/>
              <w:rPr>
                <w:color w:val="auto"/>
                <w:highlight w:val="none"/>
              </w:rPr>
            </w:pPr>
            <w:r>
              <w:rPr>
                <w:color w:val="auto"/>
                <w:highlight w:val="none"/>
              </w:rPr>
              <w:t>满足《医疗机构水污染排放标准》</w:t>
            </w:r>
          </w:p>
          <w:p>
            <w:pPr>
              <w:pStyle w:val="22"/>
              <w:bidi w:val="0"/>
              <w:rPr>
                <w:color w:val="auto"/>
                <w:highlight w:val="none"/>
              </w:rPr>
            </w:pPr>
            <w:r>
              <w:rPr>
                <w:color w:val="auto"/>
                <w:highlight w:val="none"/>
              </w:rPr>
              <w:t>（GB18466-2005）中</w:t>
            </w:r>
          </w:p>
          <w:p>
            <w:pPr>
              <w:pStyle w:val="22"/>
              <w:bidi w:val="0"/>
              <w:rPr>
                <w:color w:val="auto"/>
                <w:highlight w:val="none"/>
              </w:rPr>
            </w:pPr>
            <w:r>
              <w:rPr>
                <w:color w:val="auto"/>
                <w:highlight w:val="none"/>
              </w:rPr>
              <w:t>医疗机构污泥控制标准</w:t>
            </w:r>
          </w:p>
        </w:tc>
        <w:tc>
          <w:tcPr>
            <w:tcW w:w="733" w:type="dxa"/>
            <w:tcBorders>
              <w:tl2br w:val="nil"/>
              <w:tr2bl w:val="nil"/>
            </w:tcBorders>
            <w:vAlign w:val="center"/>
          </w:tcPr>
          <w:p>
            <w:pPr>
              <w:pStyle w:val="22"/>
              <w:bidi w:val="0"/>
              <w:rPr>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932" w:type="dxa"/>
            <w:tcBorders>
              <w:tl2br w:val="nil"/>
              <w:tr2bl w:val="nil"/>
            </w:tcBorders>
            <w:vAlign w:val="center"/>
          </w:tcPr>
          <w:p>
            <w:pPr>
              <w:pStyle w:val="22"/>
              <w:bidi w:val="0"/>
              <w:rPr>
                <w:color w:val="auto"/>
                <w:highlight w:val="none"/>
              </w:rPr>
            </w:pPr>
            <w:r>
              <w:rPr>
                <w:color w:val="auto"/>
                <w:highlight w:val="none"/>
              </w:rPr>
              <w:t>绿化</w:t>
            </w:r>
          </w:p>
        </w:tc>
        <w:tc>
          <w:tcPr>
            <w:tcW w:w="4950" w:type="dxa"/>
            <w:gridSpan w:val="3"/>
            <w:tcBorders>
              <w:tl2br w:val="nil"/>
              <w:tr2bl w:val="nil"/>
            </w:tcBorders>
            <w:vAlign w:val="center"/>
          </w:tcPr>
          <w:p>
            <w:pPr>
              <w:pStyle w:val="22"/>
              <w:bidi w:val="0"/>
              <w:rPr>
                <w:color w:val="auto"/>
                <w:highlight w:val="none"/>
              </w:rPr>
            </w:pPr>
            <w:r>
              <w:rPr>
                <w:color w:val="auto"/>
                <w:highlight w:val="none"/>
              </w:rPr>
              <w:t>疾控中心四周绿化带等</w:t>
            </w:r>
          </w:p>
        </w:tc>
        <w:tc>
          <w:tcPr>
            <w:tcW w:w="2100" w:type="dxa"/>
            <w:tcBorders>
              <w:tl2br w:val="nil"/>
              <w:tr2bl w:val="nil"/>
            </w:tcBorders>
            <w:vAlign w:val="center"/>
          </w:tcPr>
          <w:p>
            <w:pPr>
              <w:pStyle w:val="22"/>
              <w:bidi w:val="0"/>
              <w:rPr>
                <w:color w:val="auto"/>
                <w:highlight w:val="none"/>
              </w:rPr>
            </w:pPr>
            <w:r>
              <w:rPr>
                <w:color w:val="auto"/>
                <w:highlight w:val="none"/>
              </w:rPr>
              <w:t>/</w:t>
            </w:r>
          </w:p>
        </w:tc>
        <w:tc>
          <w:tcPr>
            <w:tcW w:w="733" w:type="dxa"/>
            <w:tcBorders>
              <w:tl2br w:val="nil"/>
              <w:tr2bl w:val="nil"/>
            </w:tcBorders>
            <w:vAlign w:val="center"/>
          </w:tcPr>
          <w:p>
            <w:pPr>
              <w:pStyle w:val="22"/>
              <w:bidi w:val="0"/>
              <w:rPr>
                <w:color w:val="auto"/>
                <w:highlight w:val="none"/>
              </w:rPr>
            </w:pPr>
            <w:r>
              <w:rPr>
                <w:color w:val="auto"/>
                <w:highlight w:val="none"/>
              </w:rPr>
              <w:t>/</w:t>
            </w:r>
          </w:p>
        </w:tc>
      </w:tr>
    </w:tbl>
    <w:p>
      <w:pPr>
        <w:rPr>
          <w:rFonts w:hint="eastAsia"/>
          <w:b/>
          <w:bCs/>
          <w:color w:val="auto"/>
          <w:lang w:val="en-US" w:eastAsia="zh-CN"/>
        </w:rPr>
      </w:pPr>
      <w:r>
        <w:rPr>
          <w:rFonts w:hint="eastAsia"/>
          <w:b/>
          <w:bCs/>
          <w:color w:val="auto"/>
          <w:lang w:val="en-US" w:eastAsia="zh-CN"/>
        </w:rPr>
        <w:br w:type="page"/>
      </w:r>
    </w:p>
    <w:p>
      <w:pPr>
        <w:pStyle w:val="4"/>
        <w:bidi w:val="0"/>
        <w:rPr>
          <w:color w:val="auto"/>
        </w:rPr>
      </w:pPr>
      <w:bookmarkStart w:id="144" w:name="_Toc16891"/>
      <w:r>
        <w:rPr>
          <w:color w:val="auto"/>
        </w:rPr>
        <w:t>9环境影响评价结论</w:t>
      </w:r>
      <w:bookmarkEnd w:id="144"/>
    </w:p>
    <w:p>
      <w:pPr>
        <w:pStyle w:val="5"/>
        <w:bidi w:val="0"/>
        <w:outlineLvl w:val="0"/>
        <w:rPr>
          <w:color w:val="auto"/>
        </w:rPr>
      </w:pPr>
      <w:bookmarkStart w:id="145" w:name="_bookmark39"/>
      <w:bookmarkEnd w:id="145"/>
      <w:bookmarkStart w:id="146" w:name="_bookmark38"/>
      <w:bookmarkEnd w:id="146"/>
      <w:bookmarkStart w:id="147" w:name="_Toc31787"/>
      <w:r>
        <w:rPr>
          <w:color w:val="auto"/>
        </w:rPr>
        <w:t>9.1工程概况</w:t>
      </w:r>
      <w:bookmarkEnd w:id="147"/>
    </w:p>
    <w:p>
      <w:pPr>
        <w:bidi w:val="0"/>
        <w:rPr>
          <w:color w:val="auto"/>
        </w:rPr>
      </w:pPr>
      <w:r>
        <w:rPr>
          <w:color w:val="auto"/>
        </w:rPr>
        <w:t>项目名称：</w:t>
      </w:r>
      <w:r>
        <w:rPr>
          <w:rFonts w:hint="eastAsia"/>
          <w:color w:val="auto"/>
          <w:lang w:val="en-US" w:eastAsia="zh-CN"/>
        </w:rPr>
        <w:t>第十四师皮山农场疾病预防控制中心建设项目</w:t>
      </w:r>
    </w:p>
    <w:p>
      <w:pPr>
        <w:bidi w:val="0"/>
        <w:rPr>
          <w:rFonts w:hint="eastAsia" w:eastAsia="宋体"/>
          <w:color w:val="auto"/>
          <w:lang w:val="en-US" w:eastAsia="zh-CN"/>
        </w:rPr>
      </w:pPr>
      <w:r>
        <w:rPr>
          <w:color w:val="auto"/>
        </w:rPr>
        <w:t>建设性质：</w:t>
      </w:r>
      <w:r>
        <w:rPr>
          <w:rFonts w:hint="eastAsia"/>
          <w:color w:val="auto"/>
          <w:lang w:val="en-US" w:eastAsia="zh-CN"/>
        </w:rPr>
        <w:t>已建（补做环评）</w:t>
      </w:r>
    </w:p>
    <w:p>
      <w:pPr>
        <w:bidi w:val="0"/>
        <w:rPr>
          <w:rFonts w:hint="eastAsia"/>
          <w:color w:val="auto"/>
          <w:lang w:val="en-US" w:eastAsia="zh-CN"/>
        </w:rPr>
      </w:pPr>
      <w:r>
        <w:rPr>
          <w:color w:val="auto"/>
        </w:rPr>
        <w:t>建设单位：</w:t>
      </w:r>
      <w:r>
        <w:rPr>
          <w:rFonts w:hint="eastAsia" w:ascii="Times New Roman" w:eastAsia="宋体"/>
          <w:color w:val="auto"/>
          <w:lang w:val="en-US" w:eastAsia="zh-CN"/>
        </w:rPr>
        <w:t>新疆生产建设兵团第十四师卫生健康委员会</w:t>
      </w:r>
    </w:p>
    <w:p>
      <w:pPr>
        <w:bidi w:val="0"/>
        <w:rPr>
          <w:rFonts w:hint="eastAsia"/>
          <w:color w:val="auto"/>
          <w:lang w:val="en-US" w:eastAsia="zh-CN"/>
        </w:rPr>
      </w:pPr>
      <w:r>
        <w:rPr>
          <w:color w:val="auto"/>
        </w:rPr>
        <w:t>建设地点</w:t>
      </w:r>
      <w:r>
        <w:rPr>
          <w:rFonts w:hint="eastAsia" w:eastAsia="宋体"/>
          <w:color w:val="auto"/>
          <w:lang w:eastAsia="zh-CN"/>
        </w:rPr>
        <w:t>：</w:t>
      </w:r>
      <w:r>
        <w:rPr>
          <w:rFonts w:hint="eastAsia" w:ascii="Times New Roman" w:eastAsia="宋体"/>
          <w:color w:val="auto"/>
          <w:lang w:val="en-US" w:eastAsia="zh-CN"/>
        </w:rPr>
        <w:t>本项目位于第十四师皮山农场，南侧285m为光荣路，西侧219m为勤劳路，项目地理坐标为：东经</w:t>
      </w:r>
      <w:r>
        <w:rPr>
          <w:rFonts w:hint="default"/>
          <w:color w:val="auto"/>
          <w:lang w:val="en-US" w:eastAsia="zh-CN"/>
        </w:rPr>
        <w:t>78°28′29.492″</w:t>
      </w:r>
      <w:r>
        <w:rPr>
          <w:rFonts w:hint="eastAsia" w:ascii="Times New Roman" w:eastAsia="宋体"/>
          <w:color w:val="auto"/>
          <w:lang w:val="en-US" w:eastAsia="zh-CN"/>
        </w:rPr>
        <w:t>；北纬：37</w:t>
      </w:r>
      <w:r>
        <w:rPr>
          <w:rFonts w:hint="default"/>
          <w:color w:val="auto"/>
          <w:lang w:val="en-US" w:eastAsia="zh-CN"/>
        </w:rPr>
        <w:t>°</w:t>
      </w:r>
      <w:r>
        <w:rPr>
          <w:rFonts w:hint="eastAsia" w:ascii="Times New Roman" w:eastAsia="宋体"/>
          <w:color w:val="auto"/>
          <w:lang w:val="en-US" w:eastAsia="zh-CN"/>
        </w:rPr>
        <w:t>41</w:t>
      </w:r>
      <w:r>
        <w:rPr>
          <w:rFonts w:hint="default"/>
          <w:color w:val="auto"/>
          <w:lang w:val="en-US" w:eastAsia="zh-CN"/>
        </w:rPr>
        <w:t>′</w:t>
      </w:r>
      <w:r>
        <w:rPr>
          <w:rFonts w:hint="eastAsia" w:ascii="Times New Roman" w:eastAsia="宋体"/>
          <w:color w:val="auto"/>
          <w:lang w:val="en-US" w:eastAsia="zh-CN"/>
        </w:rPr>
        <w:t>4.509</w:t>
      </w:r>
      <w:r>
        <w:rPr>
          <w:rFonts w:hint="default"/>
          <w:color w:val="auto"/>
          <w:lang w:val="en-US" w:eastAsia="zh-CN"/>
        </w:rPr>
        <w:t>″</w:t>
      </w:r>
      <w:r>
        <w:rPr>
          <w:rFonts w:hint="eastAsia" w:ascii="Times New Roman" w:eastAsia="宋体"/>
          <w:color w:val="auto"/>
          <w:lang w:val="en-US" w:eastAsia="zh-CN"/>
        </w:rPr>
        <w:t>。</w:t>
      </w:r>
    </w:p>
    <w:p>
      <w:pPr>
        <w:bidi w:val="0"/>
        <w:rPr>
          <w:color w:val="auto"/>
        </w:rPr>
      </w:pPr>
      <w:r>
        <w:rPr>
          <w:color w:val="auto"/>
        </w:rPr>
        <w:t>项目投资：项目总投资为</w:t>
      </w:r>
      <w:r>
        <w:rPr>
          <w:rFonts w:hint="eastAsia" w:ascii="Times New Roman" w:eastAsia="宋体"/>
          <w:color w:val="auto"/>
          <w:lang w:val="en-US" w:eastAsia="zh-CN"/>
        </w:rPr>
        <w:t>176</w:t>
      </w:r>
      <w:r>
        <w:rPr>
          <w:color w:val="auto"/>
        </w:rPr>
        <w:t>万元。</w:t>
      </w:r>
    </w:p>
    <w:p>
      <w:pPr>
        <w:bidi w:val="0"/>
        <w:rPr>
          <w:color w:val="auto"/>
        </w:rPr>
      </w:pPr>
      <w:r>
        <w:rPr>
          <w:color w:val="auto"/>
        </w:rPr>
        <w:t>项目实施计划：20</w:t>
      </w:r>
      <w:r>
        <w:rPr>
          <w:rFonts w:hint="eastAsia" w:ascii="Times New Roman" w:eastAsia="宋体"/>
          <w:color w:val="auto"/>
          <w:lang w:val="en-US" w:eastAsia="zh-CN"/>
        </w:rPr>
        <w:t>19</w:t>
      </w:r>
      <w:r>
        <w:rPr>
          <w:color w:val="auto"/>
        </w:rPr>
        <w:t>年</w:t>
      </w:r>
      <w:r>
        <w:rPr>
          <w:rFonts w:hint="eastAsia" w:ascii="Times New Roman" w:eastAsia="宋体"/>
          <w:color w:val="auto"/>
          <w:lang w:val="en-US" w:eastAsia="zh-CN"/>
        </w:rPr>
        <w:t>3</w:t>
      </w:r>
      <w:r>
        <w:rPr>
          <w:color w:val="auto"/>
        </w:rPr>
        <w:t>月至20</w:t>
      </w:r>
      <w:r>
        <w:rPr>
          <w:rFonts w:hint="eastAsia" w:ascii="Times New Roman" w:eastAsia="宋体"/>
          <w:color w:val="auto"/>
          <w:lang w:val="en-US" w:eastAsia="zh-CN"/>
        </w:rPr>
        <w:t>19</w:t>
      </w:r>
      <w:r>
        <w:rPr>
          <w:color w:val="auto"/>
        </w:rPr>
        <w:t>年10月，施工建设周期为</w:t>
      </w:r>
      <w:r>
        <w:rPr>
          <w:rFonts w:hint="eastAsia" w:ascii="Times New Roman" w:eastAsia="宋体"/>
          <w:color w:val="auto"/>
          <w:lang w:val="en-US" w:eastAsia="zh-CN"/>
        </w:rPr>
        <w:t>7</w:t>
      </w:r>
      <w:r>
        <w:rPr>
          <w:color w:val="auto"/>
        </w:rPr>
        <w:t>个月。</w:t>
      </w:r>
    </w:p>
    <w:p>
      <w:pPr>
        <w:bidi w:val="0"/>
        <w:rPr>
          <w:color w:val="auto"/>
        </w:rPr>
      </w:pPr>
      <w:r>
        <w:rPr>
          <w:color w:val="auto"/>
        </w:rPr>
        <w:t>（1）项目内容及规模</w:t>
      </w:r>
    </w:p>
    <w:p>
      <w:pPr>
        <w:bidi w:val="0"/>
        <w:rPr>
          <w:color w:val="auto"/>
        </w:rPr>
      </w:pPr>
      <w:r>
        <w:rPr>
          <w:color w:val="auto"/>
        </w:rPr>
        <w:t>项目总规划面积</w:t>
      </w:r>
      <w:r>
        <w:rPr>
          <w:rFonts w:hint="default"/>
          <w:color w:val="auto"/>
          <w:lang w:val="en-US" w:eastAsia="zh-CN"/>
        </w:rPr>
        <w:t>79767.76</w:t>
      </w:r>
      <w:r>
        <w:rPr>
          <w:color w:val="auto"/>
        </w:rPr>
        <w:t>m</w:t>
      </w:r>
      <w:r>
        <w:rPr>
          <w:color w:val="auto"/>
          <w:vertAlign w:val="superscript"/>
        </w:rPr>
        <w:t>2</w:t>
      </w:r>
      <w:r>
        <w:rPr>
          <w:color w:val="auto"/>
        </w:rPr>
        <w:t>（约</w:t>
      </w:r>
      <w:r>
        <w:rPr>
          <w:rFonts w:hint="eastAsia" w:ascii="Times New Roman" w:eastAsia="宋体"/>
          <w:color w:val="auto"/>
          <w:lang w:val="en-US" w:eastAsia="zh-CN"/>
        </w:rPr>
        <w:t>119.77</w:t>
      </w:r>
      <w:r>
        <w:rPr>
          <w:color w:val="auto"/>
        </w:rPr>
        <w:t>亩），</w:t>
      </w:r>
      <w:r>
        <w:rPr>
          <w:rFonts w:hint="eastAsia" w:ascii="Times New Roman" w:eastAsia="宋体"/>
          <w:color w:val="auto"/>
          <w:lang w:val="en-US" w:eastAsia="zh-CN"/>
        </w:rPr>
        <w:t>拟建建筑面积801.90</w:t>
      </w:r>
      <w:r>
        <w:rPr>
          <w:color w:val="auto"/>
        </w:rPr>
        <w:t>m</w:t>
      </w:r>
      <w:r>
        <w:rPr>
          <w:color w:val="auto"/>
          <w:vertAlign w:val="superscript"/>
        </w:rPr>
        <w:t>2</w:t>
      </w:r>
      <w:r>
        <w:rPr>
          <w:color w:val="auto"/>
        </w:rPr>
        <w:t>，主要包括：</w:t>
      </w:r>
    </w:p>
    <w:p>
      <w:pPr>
        <w:bidi w:val="0"/>
        <w:ind w:left="0" w:leftChars="0" w:firstLine="480" w:firstLineChars="200"/>
        <w:rPr>
          <w:rFonts w:hint="eastAsia"/>
          <w:color w:val="auto"/>
          <w:lang w:val="en-US" w:eastAsia="zh-CN"/>
        </w:rPr>
      </w:pPr>
      <w:r>
        <w:rPr>
          <w:color w:val="auto"/>
        </w:rPr>
        <w:t>①</w:t>
      </w:r>
      <w:r>
        <w:rPr>
          <w:color w:val="auto"/>
          <w:lang w:val="en-US" w:eastAsia="zh-CN"/>
        </w:rPr>
        <w:t>一层：设有值班室、办公室、儿童体检室、结核病预防治门诊、接种门诊预检室、接种室、检验临检室、艾滋病咨询室、防传组及男女卫生间等</w:t>
      </w:r>
      <w:r>
        <w:rPr>
          <w:rFonts w:hint="eastAsia" w:ascii="Times New Roman" w:eastAsia="宋体"/>
          <w:color w:val="auto"/>
          <w:lang w:val="en-US" w:eastAsia="zh-CN"/>
        </w:rPr>
        <w:t>。</w:t>
      </w:r>
    </w:p>
    <w:p>
      <w:pPr>
        <w:bidi w:val="0"/>
        <w:ind w:left="0" w:leftChars="0" w:firstLine="480" w:firstLineChars="200"/>
        <w:rPr>
          <w:color w:val="auto"/>
        </w:rPr>
      </w:pPr>
      <w:r>
        <w:rPr>
          <w:color w:val="auto"/>
          <w:lang w:val="en-US" w:eastAsia="zh-CN"/>
        </w:rPr>
        <w:t>二层：设有多功能厅、书记办公室、主任办公室、综合办公室、财务室、机房文印室及男女卫生间等。</w:t>
      </w:r>
    </w:p>
    <w:p>
      <w:pPr>
        <w:pStyle w:val="5"/>
        <w:bidi w:val="0"/>
        <w:outlineLvl w:val="0"/>
        <w:rPr>
          <w:color w:val="auto"/>
        </w:rPr>
      </w:pPr>
      <w:bookmarkStart w:id="148" w:name="_Toc31476"/>
      <w:r>
        <w:rPr>
          <w:color w:val="auto"/>
        </w:rPr>
        <w:t>9.2环境质量现状评价结论</w:t>
      </w:r>
      <w:bookmarkEnd w:id="148"/>
    </w:p>
    <w:p>
      <w:pPr>
        <w:bidi w:val="0"/>
        <w:rPr>
          <w:color w:val="auto"/>
        </w:rPr>
      </w:pPr>
      <w:r>
        <w:rPr>
          <w:color w:val="auto"/>
        </w:rPr>
        <w:t>（1）大气环境质量</w:t>
      </w:r>
    </w:p>
    <w:p>
      <w:pPr>
        <w:bidi w:val="0"/>
        <w:rPr>
          <w:color w:val="auto"/>
        </w:rPr>
      </w:pPr>
      <w:r>
        <w:rPr>
          <w:color w:val="auto"/>
        </w:rPr>
        <w:t>工程所在区域SO</w:t>
      </w:r>
      <w:r>
        <w:rPr>
          <w:color w:val="auto"/>
          <w:vertAlign w:val="subscript"/>
        </w:rPr>
        <w:t>2</w:t>
      </w:r>
      <w:r>
        <w:rPr>
          <w:color w:val="auto"/>
        </w:rPr>
        <w:t>、NO</w:t>
      </w:r>
      <w:r>
        <w:rPr>
          <w:color w:val="auto"/>
          <w:vertAlign w:val="subscript"/>
        </w:rPr>
        <w:t>2</w:t>
      </w:r>
      <w:r>
        <w:rPr>
          <w:color w:val="auto"/>
        </w:rPr>
        <w:t>、PM</w:t>
      </w:r>
      <w:r>
        <w:rPr>
          <w:color w:val="auto"/>
          <w:vertAlign w:val="subscript"/>
        </w:rPr>
        <w:t>10</w:t>
      </w:r>
      <w:r>
        <w:rPr>
          <w:color w:val="auto"/>
        </w:rPr>
        <w:t>、PM</w:t>
      </w:r>
      <w:r>
        <w:rPr>
          <w:color w:val="auto"/>
          <w:vertAlign w:val="subscript"/>
        </w:rPr>
        <w:t>2.5</w:t>
      </w:r>
      <w:r>
        <w:rPr>
          <w:color w:val="auto"/>
        </w:rPr>
        <w:t>、CO和O</w:t>
      </w:r>
      <w:r>
        <w:rPr>
          <w:color w:val="auto"/>
          <w:vertAlign w:val="subscript"/>
        </w:rPr>
        <w:t>3</w:t>
      </w:r>
      <w:r>
        <w:rPr>
          <w:color w:val="auto"/>
        </w:rPr>
        <w:t>等六项污染物全部达标即为城市环境空气质量达标，由统计可知，</w:t>
      </w:r>
      <w:r>
        <w:rPr>
          <w:rFonts w:hint="eastAsia" w:ascii="Times New Roman" w:eastAsia="宋体"/>
          <w:color w:val="auto"/>
          <w:lang w:val="en-US" w:eastAsia="zh-CN"/>
        </w:rPr>
        <w:t>本项目所在地</w:t>
      </w:r>
      <w:r>
        <w:rPr>
          <w:color w:val="auto"/>
        </w:rPr>
        <w:t>属非达标区。</w:t>
      </w:r>
    </w:p>
    <w:p>
      <w:pPr>
        <w:bidi w:val="0"/>
        <w:rPr>
          <w:color w:val="auto"/>
        </w:rPr>
      </w:pPr>
      <w:r>
        <w:rPr>
          <w:color w:val="auto"/>
        </w:rPr>
        <w:t>NH</w:t>
      </w:r>
      <w:r>
        <w:rPr>
          <w:color w:val="auto"/>
          <w:vertAlign w:val="subscript"/>
        </w:rPr>
        <w:t>3</w:t>
      </w:r>
      <w:r>
        <w:rPr>
          <w:color w:val="auto"/>
        </w:rPr>
        <w:t>、H</w:t>
      </w:r>
      <w:r>
        <w:rPr>
          <w:color w:val="auto"/>
          <w:vertAlign w:val="subscript"/>
        </w:rPr>
        <w:t>2</w:t>
      </w:r>
      <w:r>
        <w:rPr>
          <w:color w:val="auto"/>
        </w:rPr>
        <w:t>S均能满足《环境影响评价技术导则大气环境》（H.J2.2-2018）附D的相关标准。</w:t>
      </w:r>
    </w:p>
    <w:p>
      <w:pPr>
        <w:bidi w:val="0"/>
        <w:rPr>
          <w:color w:val="auto"/>
        </w:rPr>
      </w:pPr>
      <w:r>
        <w:rPr>
          <w:color w:val="auto"/>
        </w:rPr>
        <w:t>臭气浓度符合《医疗机构水污染物排放标准》（GB18466-2005）中表3的排放标准限要求。</w:t>
      </w:r>
    </w:p>
    <w:p>
      <w:pPr>
        <w:pStyle w:val="2"/>
        <w:rPr>
          <w:rFonts w:hint="default" w:eastAsia="宋体"/>
          <w:color w:val="auto"/>
          <w:lang w:val="en-US" w:eastAsia="zh-CN"/>
        </w:rPr>
      </w:pPr>
      <w:r>
        <w:rPr>
          <w:color w:val="auto"/>
        </w:rPr>
        <w:t>非甲烷总烃</w:t>
      </w:r>
      <w:r>
        <w:rPr>
          <w:rFonts w:hint="eastAsia"/>
          <w:color w:val="auto"/>
          <w:lang w:val="en-US" w:eastAsia="zh-CN"/>
        </w:rPr>
        <w:t>符合</w:t>
      </w:r>
      <w:r>
        <w:rPr>
          <w:color w:val="auto"/>
        </w:rPr>
        <w:t>《大气污染物综合排放标准》</w:t>
      </w:r>
      <w:r>
        <w:rPr>
          <w:rFonts w:hint="eastAsia"/>
          <w:color w:val="auto"/>
          <w:lang w:eastAsia="zh-CN"/>
        </w:rPr>
        <w:t>（</w:t>
      </w:r>
      <w:r>
        <w:rPr>
          <w:color w:val="auto"/>
        </w:rPr>
        <w:t>GB16297-1996</w:t>
      </w:r>
      <w:r>
        <w:rPr>
          <w:rFonts w:hint="eastAsia"/>
          <w:color w:val="auto"/>
          <w:lang w:eastAsia="zh-CN"/>
        </w:rPr>
        <w:t>）</w:t>
      </w:r>
      <w:r>
        <w:rPr>
          <w:color w:val="auto"/>
        </w:rPr>
        <w:t>详解中的标准</w:t>
      </w:r>
      <w:r>
        <w:rPr>
          <w:rFonts w:hint="eastAsia"/>
          <w:color w:val="auto"/>
          <w:lang w:val="en-US" w:eastAsia="zh-CN"/>
        </w:rPr>
        <w:t>限值。</w:t>
      </w:r>
    </w:p>
    <w:p>
      <w:pPr>
        <w:bidi w:val="0"/>
        <w:rPr>
          <w:color w:val="auto"/>
        </w:rPr>
      </w:pPr>
      <w:r>
        <w:rPr>
          <w:color w:val="auto"/>
        </w:rPr>
        <w:t>（2）地表水环境质量</w:t>
      </w:r>
    </w:p>
    <w:p>
      <w:pPr>
        <w:bidi w:val="0"/>
        <w:rPr>
          <w:color w:val="auto"/>
        </w:rPr>
      </w:pPr>
      <w:r>
        <w:rPr>
          <w:color w:val="auto"/>
        </w:rPr>
        <w:t>评价区域内地表水各项监测因子均满足《地表水环境质量标准》（GB3838-2002）中Ⅲ类标准，说明该河流水质较好。</w:t>
      </w:r>
    </w:p>
    <w:p>
      <w:pPr>
        <w:bidi w:val="0"/>
        <w:rPr>
          <w:color w:val="auto"/>
        </w:rPr>
      </w:pPr>
      <w:r>
        <w:rPr>
          <w:color w:val="auto"/>
        </w:rPr>
        <w:t>（3）声环境质量</w:t>
      </w:r>
    </w:p>
    <w:p>
      <w:pPr>
        <w:bidi w:val="0"/>
        <w:rPr>
          <w:rFonts w:ascii="宋体" w:hAnsi="宋体" w:eastAsia="宋体" w:cs="宋体"/>
          <w:b w:val="0"/>
          <w:bCs w:val="0"/>
          <w:color w:val="auto"/>
          <w:szCs w:val="24"/>
          <w:highlight w:val="yellow"/>
        </w:rPr>
      </w:pPr>
      <w:r>
        <w:rPr>
          <w:color w:val="auto"/>
        </w:rPr>
        <w:t>项目区的东侧、西侧、南侧及北侧噪声值低于《声环境质量标准》</w:t>
      </w:r>
      <w:r>
        <w:rPr>
          <w:b w:val="0"/>
          <w:bCs w:val="0"/>
          <w:color w:val="auto"/>
        </w:rPr>
        <w:t>（GB3096-2008）中</w:t>
      </w:r>
      <w:r>
        <w:rPr>
          <w:rFonts w:hint="eastAsia" w:ascii="Times New Roman" w:eastAsia="宋体"/>
          <w:b w:val="0"/>
          <w:bCs w:val="0"/>
          <w:color w:val="auto"/>
          <w:lang w:val="en-US" w:eastAsia="zh-CN"/>
        </w:rPr>
        <w:t>1</w:t>
      </w:r>
      <w:r>
        <w:rPr>
          <w:b w:val="0"/>
          <w:bCs w:val="0"/>
          <w:color w:val="auto"/>
        </w:rPr>
        <w:t>类标准，说明疾控中心的声环境质量良好。</w:t>
      </w:r>
    </w:p>
    <w:p>
      <w:pPr>
        <w:pStyle w:val="5"/>
        <w:bidi w:val="0"/>
        <w:outlineLvl w:val="0"/>
        <w:rPr>
          <w:b/>
          <w:bCs/>
          <w:color w:val="auto"/>
        </w:rPr>
      </w:pPr>
      <w:bookmarkStart w:id="149" w:name="_bookmark40"/>
      <w:bookmarkEnd w:id="149"/>
      <w:bookmarkStart w:id="150" w:name="_Toc1469"/>
      <w:r>
        <w:rPr>
          <w:b/>
          <w:bCs/>
          <w:color w:val="auto"/>
        </w:rPr>
        <w:t>9.3产业政策结论</w:t>
      </w:r>
      <w:bookmarkEnd w:id="150"/>
    </w:p>
    <w:p>
      <w:pPr>
        <w:bidi w:val="0"/>
        <w:rPr>
          <w:b w:val="0"/>
          <w:bCs w:val="0"/>
          <w:color w:val="auto"/>
        </w:rPr>
      </w:pPr>
      <w:r>
        <w:rPr>
          <w:b w:val="0"/>
          <w:bCs w:val="0"/>
          <w:color w:val="auto"/>
        </w:rPr>
        <w:t>根据《产业结构调整指导目录》（2019年本）中规定，本项目属于鼓励类项目，项目建设符合国家产业政策要求。</w:t>
      </w:r>
    </w:p>
    <w:p>
      <w:pPr>
        <w:pStyle w:val="5"/>
        <w:bidi w:val="0"/>
        <w:outlineLvl w:val="0"/>
        <w:rPr>
          <w:b/>
          <w:bCs/>
          <w:color w:val="auto"/>
        </w:rPr>
      </w:pPr>
      <w:bookmarkStart w:id="151" w:name="_bookmark41"/>
      <w:bookmarkEnd w:id="151"/>
      <w:bookmarkStart w:id="152" w:name="_Toc25196"/>
      <w:r>
        <w:rPr>
          <w:b/>
          <w:bCs/>
          <w:color w:val="auto"/>
        </w:rPr>
        <w:t>9.4环境影响分析</w:t>
      </w:r>
      <w:bookmarkEnd w:id="152"/>
    </w:p>
    <w:p>
      <w:pPr>
        <w:pStyle w:val="6"/>
        <w:bidi w:val="0"/>
        <w:outlineLvl w:val="1"/>
        <w:rPr>
          <w:color w:val="auto"/>
        </w:rPr>
      </w:pPr>
      <w:bookmarkStart w:id="153" w:name="_Toc24047"/>
      <w:r>
        <w:rPr>
          <w:color w:val="auto"/>
        </w:rPr>
        <w:t>9.4.1大气环境影响评价</w:t>
      </w:r>
      <w:bookmarkEnd w:id="153"/>
    </w:p>
    <w:p>
      <w:pPr>
        <w:bidi w:val="0"/>
        <w:rPr>
          <w:color w:val="auto"/>
        </w:rPr>
      </w:pPr>
      <w:r>
        <w:rPr>
          <w:color w:val="auto"/>
        </w:rPr>
        <w:t>（1）消毒异味</w:t>
      </w:r>
    </w:p>
    <w:p>
      <w:pPr>
        <w:bidi w:val="0"/>
        <w:rPr>
          <w:color w:val="auto"/>
        </w:rPr>
      </w:pPr>
      <w:r>
        <w:rPr>
          <w:color w:val="auto"/>
        </w:rPr>
        <w:t>为降低空气中的含菌量，疾控中心经常使用</w:t>
      </w:r>
      <w:r>
        <w:rPr>
          <w:rFonts w:hint="eastAsia" w:ascii="Times New Roman" w:eastAsia="宋体"/>
          <w:color w:val="auto"/>
          <w:lang w:val="en-US" w:eastAsia="zh-CN"/>
        </w:rPr>
        <w:t>二氧化氯</w:t>
      </w:r>
      <w:r>
        <w:rPr>
          <w:color w:val="auto"/>
        </w:rPr>
        <w:t>等消毒剂对楼道、卫生间等进行消毒处理，在此过程中会有少量异味产生。项目的消毒异味主要为消毒剂挥发物，产生量不大，且主要产生在室内，为无组织排放。实验室检验设施消毒所用蒸汽为微生物实验室有专用电热高压蒸汽灭菌器进行消毒，热源为电。</w:t>
      </w:r>
    </w:p>
    <w:p>
      <w:pPr>
        <w:bidi w:val="0"/>
        <w:rPr>
          <w:color w:val="auto"/>
        </w:rPr>
      </w:pPr>
      <w:r>
        <w:rPr>
          <w:color w:val="auto"/>
        </w:rPr>
        <w:t>（2）实验废气</w:t>
      </w:r>
    </w:p>
    <w:p>
      <w:pPr>
        <w:bidi w:val="0"/>
        <w:rPr>
          <w:rFonts w:hint="default" w:eastAsia="宋体"/>
          <w:color w:val="auto"/>
          <w:lang w:val="en-US" w:eastAsia="zh-CN"/>
        </w:rPr>
      </w:pPr>
      <w:r>
        <w:rPr>
          <w:color w:val="auto"/>
        </w:rPr>
        <w:t>微生物实验室，与病原微生物有关的实验在生物安全柜内操作，其废气中病菌经生物安全柜内消毒措施处理后通过专用电控风道外排</w:t>
      </w:r>
      <w:r>
        <w:rPr>
          <w:rFonts w:hint="eastAsia"/>
          <w:color w:val="auto"/>
          <w:lang w:eastAsia="zh-CN"/>
        </w:rPr>
        <w:t>，</w:t>
      </w:r>
      <w:r>
        <w:rPr>
          <w:rFonts w:hint="eastAsia"/>
          <w:color w:val="auto"/>
          <w:lang w:val="en-US" w:eastAsia="zh-CN"/>
        </w:rPr>
        <w:t>满足《</w:t>
      </w:r>
      <w:r>
        <w:rPr>
          <w:rFonts w:ascii="宋体" w:hAnsi="宋体" w:eastAsia="宋体" w:cs="宋体"/>
          <w:color w:val="auto"/>
          <w:sz w:val="24"/>
          <w:szCs w:val="24"/>
        </w:rPr>
        <w:t>高致病性病原微生物实验室污染物排放标准</w:t>
      </w:r>
      <w:r>
        <w:rPr>
          <w:rFonts w:hint="eastAsia"/>
          <w:color w:val="auto"/>
          <w:lang w:val="en-US" w:eastAsia="zh-CN"/>
        </w:rPr>
        <w:t>》（二次征求意见稿）中表4大气污染物生物学指标排放限值中，2目标微生物排放限值。</w:t>
      </w:r>
    </w:p>
    <w:p>
      <w:pPr>
        <w:bidi w:val="0"/>
        <w:rPr>
          <w:color w:val="auto"/>
        </w:rPr>
      </w:pPr>
      <w:r>
        <w:rPr>
          <w:color w:val="auto"/>
        </w:rPr>
        <w:t>理化</w:t>
      </w:r>
      <w:r>
        <w:rPr>
          <w:rFonts w:hint="eastAsia" w:eastAsia="宋体"/>
          <w:color w:val="auto"/>
          <w:lang w:eastAsia="zh-CN"/>
        </w:rPr>
        <w:t>实验室</w:t>
      </w:r>
      <w:r>
        <w:rPr>
          <w:color w:val="auto"/>
        </w:rPr>
        <w:t>废气集气罩收集+末端活性炭吸附，通过专用电控风道外排。满足《大气污染物综合排放标准》（GB16297-1996）中要求。对环境影响大。</w:t>
      </w:r>
    </w:p>
    <w:p>
      <w:pPr>
        <w:bidi w:val="0"/>
        <w:rPr>
          <w:color w:val="auto"/>
        </w:rPr>
      </w:pPr>
      <w:r>
        <w:rPr>
          <w:color w:val="auto"/>
        </w:rPr>
        <w:t>（3）污水站恶臭</w:t>
      </w:r>
    </w:p>
    <w:p>
      <w:pPr>
        <w:bidi w:val="0"/>
        <w:rPr>
          <w:color w:val="auto"/>
        </w:rPr>
      </w:pPr>
      <w:r>
        <w:rPr>
          <w:color w:val="auto"/>
        </w:rPr>
        <w:t>污水处理设备置于密闭房间内，安装活性炭吸附装置，由通风窗口排放。产生的废气无组织排放，厂界氨、硫化氢满足《医疗机构水污染物排放标准》（GB18466-2005）中表3的排放标准限值，对环境影响不大。</w:t>
      </w:r>
    </w:p>
    <w:p>
      <w:pPr>
        <w:bidi w:val="0"/>
        <w:rPr>
          <w:color w:val="auto"/>
        </w:rPr>
      </w:pPr>
      <w:r>
        <w:rPr>
          <w:rFonts w:hint="eastAsia" w:eastAsia="宋体"/>
          <w:color w:val="auto"/>
          <w:lang w:eastAsia="zh-CN"/>
        </w:rPr>
        <w:t>（</w:t>
      </w:r>
      <w:r>
        <w:rPr>
          <w:rFonts w:hint="eastAsia" w:ascii="Times New Roman" w:eastAsia="宋体"/>
          <w:color w:val="auto"/>
          <w:lang w:val="en-US" w:eastAsia="zh-CN"/>
        </w:rPr>
        <w:t>4</w:t>
      </w:r>
      <w:r>
        <w:rPr>
          <w:rFonts w:hint="eastAsia" w:eastAsia="宋体"/>
          <w:color w:val="auto"/>
          <w:lang w:eastAsia="zh-CN"/>
        </w:rPr>
        <w:t>）</w:t>
      </w:r>
      <w:r>
        <w:rPr>
          <w:color w:val="auto"/>
        </w:rPr>
        <w:t>医疗废物暂存间废气</w:t>
      </w:r>
    </w:p>
    <w:p>
      <w:pPr>
        <w:bidi w:val="0"/>
        <w:rPr>
          <w:color w:val="auto"/>
        </w:rPr>
      </w:pPr>
      <w:r>
        <w:rPr>
          <w:color w:val="auto"/>
        </w:rPr>
        <w:t>医疗废物暂存间废气主要由医疗废物散发而来，废气产生量较小，但可能携带有一定量的病菌。本项目医疗废物暂存间严格按照《医疗卫生机构医疗废物管理办法》（中华人民共和国卫生部令第36号）设置，医疗废物的堆放不超过24小时，采取每天喷洒适量84消毒液对地面和墙体等进行消毒处理，暂存间有严密的封闭措施，消毒处理后通过排气扇将暂存间废气排出，加速废气扩散。</w:t>
      </w:r>
    </w:p>
    <w:p>
      <w:pPr>
        <w:pStyle w:val="6"/>
        <w:bidi w:val="0"/>
        <w:outlineLvl w:val="1"/>
        <w:rPr>
          <w:color w:val="auto"/>
        </w:rPr>
      </w:pPr>
      <w:bookmarkStart w:id="154" w:name="_Toc23716"/>
      <w:r>
        <w:rPr>
          <w:color w:val="auto"/>
        </w:rPr>
        <w:t>9.4.2水环境影响评价</w:t>
      </w:r>
      <w:bookmarkEnd w:id="154"/>
    </w:p>
    <w:p>
      <w:pPr>
        <w:bidi w:val="0"/>
        <w:rPr>
          <w:color w:val="auto"/>
        </w:rPr>
      </w:pPr>
      <w:r>
        <w:rPr>
          <w:color w:val="auto"/>
        </w:rPr>
        <w:t>（1）微生物实验室废水应先对其有感染性的器皿进行灭菌消毒（高压蒸汽灭菌器）后再进行清洗；理化实验室产生的酸性废水应先采用中和法中和至pH6～9后再排入自建污水处理站处理。</w:t>
      </w:r>
    </w:p>
    <w:p>
      <w:pPr>
        <w:bidi w:val="0"/>
        <w:rPr>
          <w:color w:val="auto"/>
        </w:rPr>
      </w:pPr>
      <w:r>
        <w:rPr>
          <w:color w:val="auto"/>
        </w:rPr>
        <w:t>（2）办公楼与实验楼功能分区明确，因此，办公楼生活污水经其化粪池处理后由总排口进入市政污水管网。</w:t>
      </w:r>
    </w:p>
    <w:p>
      <w:pPr>
        <w:bidi w:val="0"/>
        <w:rPr>
          <w:color w:val="auto"/>
        </w:rPr>
      </w:pPr>
      <w:r>
        <w:rPr>
          <w:color w:val="auto"/>
        </w:rPr>
        <w:t>（3）实验楼生活污水经其化粪池处理后与实验室废水一同进入自建污水处理站处理后由总排口进入市政污水管网。</w:t>
      </w:r>
    </w:p>
    <w:p>
      <w:pPr>
        <w:pStyle w:val="6"/>
        <w:bidi w:val="0"/>
        <w:outlineLvl w:val="1"/>
        <w:rPr>
          <w:color w:val="auto"/>
        </w:rPr>
      </w:pPr>
      <w:bookmarkStart w:id="155" w:name="_Toc23290"/>
      <w:r>
        <w:rPr>
          <w:color w:val="auto"/>
        </w:rPr>
        <w:t>9.4.3声环境影响评价</w:t>
      </w:r>
      <w:bookmarkEnd w:id="155"/>
    </w:p>
    <w:p>
      <w:pPr>
        <w:bidi w:val="0"/>
        <w:rPr>
          <w:color w:val="auto"/>
        </w:rPr>
      </w:pPr>
      <w:r>
        <w:rPr>
          <w:color w:val="auto"/>
        </w:rPr>
        <w:t>本项目噪声污染源主要是风机、进出车辆及社会噪声，在采取加强设施保养，对进出车辆实行限速限行、禁止鸣笛，同时在疾控中心周边种植树木等措施后，噪声对本项目及周边环境影响不大。</w:t>
      </w:r>
    </w:p>
    <w:p>
      <w:pPr>
        <w:pStyle w:val="6"/>
        <w:bidi w:val="0"/>
        <w:outlineLvl w:val="1"/>
        <w:rPr>
          <w:color w:val="auto"/>
        </w:rPr>
      </w:pPr>
      <w:bookmarkStart w:id="156" w:name="_Toc17925"/>
      <w:r>
        <w:rPr>
          <w:color w:val="auto"/>
        </w:rPr>
        <w:t>9.4.4固体废物影响评价</w:t>
      </w:r>
      <w:bookmarkEnd w:id="156"/>
    </w:p>
    <w:p>
      <w:pPr>
        <w:bidi w:val="0"/>
        <w:ind w:left="0" w:leftChars="0" w:firstLine="480" w:firstLineChars="200"/>
        <w:rPr>
          <w:color w:val="auto"/>
        </w:rPr>
      </w:pPr>
      <w:r>
        <w:rPr>
          <w:color w:val="auto"/>
        </w:rPr>
        <w:t>本项目固体废物主要有医疗废物、实验室废液、污水处理站栅渣和污泥、废活性炭、微生物实验室废过滤材料、过期药品、废离子树脂及生活垃圾。其中废离子树脂及生活垃圾属于一般固废，废离子树脂由专门厂家回收，生活垃圾由环卫部门统一拉走处理；其余固废均为危险废物，暂存于危废暂存间内，定期交由有资质的单位进行处置。</w:t>
      </w:r>
    </w:p>
    <w:p>
      <w:pPr>
        <w:bidi w:val="0"/>
        <w:rPr>
          <w:color w:val="auto"/>
        </w:rPr>
      </w:pPr>
      <w:r>
        <w:rPr>
          <w:color w:val="auto"/>
        </w:rPr>
        <w:t>由上述可知，各类固体废物均得到</w:t>
      </w:r>
      <w:r>
        <w:rPr>
          <w:rFonts w:hint="eastAsia" w:eastAsia="宋体"/>
          <w:color w:val="auto"/>
          <w:lang w:eastAsia="zh-CN"/>
        </w:rPr>
        <w:t>妥善地处置</w:t>
      </w:r>
      <w:r>
        <w:rPr>
          <w:color w:val="auto"/>
        </w:rPr>
        <w:t>，只要加强管理，本项目固废对周围环境影响较小。</w:t>
      </w:r>
    </w:p>
    <w:p>
      <w:pPr>
        <w:pStyle w:val="6"/>
        <w:bidi w:val="0"/>
        <w:outlineLvl w:val="1"/>
        <w:rPr>
          <w:color w:val="auto"/>
        </w:rPr>
      </w:pPr>
      <w:bookmarkStart w:id="157" w:name="_Toc4720"/>
      <w:r>
        <w:rPr>
          <w:color w:val="auto"/>
        </w:rPr>
        <w:t>9.4.5环境风险评价</w:t>
      </w:r>
      <w:bookmarkEnd w:id="157"/>
    </w:p>
    <w:p>
      <w:pPr>
        <w:bidi w:val="0"/>
        <w:rPr>
          <w:color w:val="auto"/>
        </w:rPr>
      </w:pPr>
      <w:r>
        <w:rPr>
          <w:color w:val="auto"/>
        </w:rPr>
        <w:t>本项目的疾病传播风险是存在的，一旦发生风险，经判定项目为一般环境风险，在落实相关管理制度，环境评价报告书提出的环境风险管理措施，制定应急预案，加强管理，保证各项措施正常运转等，本项目风险值处于环境可接受水平。</w:t>
      </w:r>
    </w:p>
    <w:p>
      <w:pPr>
        <w:pStyle w:val="5"/>
        <w:bidi w:val="0"/>
        <w:outlineLvl w:val="0"/>
        <w:rPr>
          <w:color w:val="auto"/>
        </w:rPr>
      </w:pPr>
      <w:bookmarkStart w:id="158" w:name="_bookmark42"/>
      <w:bookmarkEnd w:id="158"/>
      <w:bookmarkStart w:id="159" w:name="_Toc1403"/>
      <w:r>
        <w:rPr>
          <w:color w:val="auto"/>
        </w:rPr>
        <w:t>9.5总量控制结论</w:t>
      </w:r>
      <w:bookmarkEnd w:id="159"/>
    </w:p>
    <w:p>
      <w:pPr>
        <w:bidi w:val="0"/>
        <w:rPr>
          <w:color w:val="auto"/>
        </w:rPr>
      </w:pPr>
      <w:r>
        <w:rPr>
          <w:color w:val="auto"/>
        </w:rPr>
        <w:t>本项目冬季采用集中供暖，污水最终排入市政污水管网。因此，本项目总量控制指标由</w:t>
      </w:r>
      <w:r>
        <w:rPr>
          <w:rFonts w:hint="eastAsia"/>
          <w:color w:val="auto"/>
          <w:lang w:val="en-US" w:eastAsia="zh-CN"/>
        </w:rPr>
        <w:t>皮山农场</w:t>
      </w:r>
      <w:r>
        <w:rPr>
          <w:color w:val="auto"/>
        </w:rPr>
        <w:t>污水处理厂统一设置，本评价不再建议总量控制指标。</w:t>
      </w:r>
    </w:p>
    <w:p>
      <w:pPr>
        <w:pStyle w:val="5"/>
        <w:bidi w:val="0"/>
        <w:outlineLvl w:val="0"/>
        <w:rPr>
          <w:color w:val="auto"/>
        </w:rPr>
      </w:pPr>
      <w:bookmarkStart w:id="160" w:name="_bookmark43"/>
      <w:bookmarkEnd w:id="160"/>
      <w:bookmarkStart w:id="161" w:name="_Toc24739"/>
      <w:r>
        <w:rPr>
          <w:color w:val="auto"/>
        </w:rPr>
        <w:t>9.6环境经济损益分析</w:t>
      </w:r>
      <w:bookmarkEnd w:id="161"/>
    </w:p>
    <w:p>
      <w:pPr>
        <w:bidi w:val="0"/>
        <w:rPr>
          <w:color w:val="auto"/>
        </w:rPr>
      </w:pPr>
      <w:r>
        <w:rPr>
          <w:color w:val="auto"/>
        </w:rPr>
        <w:t>本项目运营期可给社会带来社会效益，给建设单位带来可观的经济效益，通过运行环保设施，该项目“三废”合理处置，实现了社会效益、经济效益和环境效益的统一。</w:t>
      </w:r>
    </w:p>
    <w:p>
      <w:pPr>
        <w:pStyle w:val="5"/>
        <w:bidi w:val="0"/>
        <w:outlineLvl w:val="0"/>
        <w:rPr>
          <w:color w:val="auto"/>
        </w:rPr>
      </w:pPr>
      <w:bookmarkStart w:id="162" w:name="_Toc15044"/>
      <w:r>
        <w:rPr>
          <w:color w:val="auto"/>
        </w:rPr>
        <w:t>9.7公众参与</w:t>
      </w:r>
      <w:bookmarkEnd w:id="162"/>
    </w:p>
    <w:p>
      <w:pPr>
        <w:bidi w:val="0"/>
        <w:rPr>
          <w:color w:val="auto"/>
        </w:rPr>
      </w:pPr>
      <w:r>
        <w:rPr>
          <w:color w:val="auto"/>
        </w:rPr>
        <w:t>本项目采用网络公告、报纸发布，张贴公示、发放调查问卷等形式开展了公众参与调查。通过公众参与调查，未收集到反对意见。</w:t>
      </w:r>
    </w:p>
    <w:p>
      <w:pPr>
        <w:bidi w:val="0"/>
        <w:rPr>
          <w:color w:val="auto"/>
        </w:rPr>
      </w:pPr>
      <w:r>
        <w:rPr>
          <w:color w:val="auto"/>
        </w:rPr>
        <w:t>本项目的建设得到了影响区域大多数公众的支持，绝大部分被调查者对该项目的建设给予了积极的支持态度。</w:t>
      </w:r>
    </w:p>
    <w:p>
      <w:pPr>
        <w:pStyle w:val="5"/>
        <w:bidi w:val="0"/>
        <w:outlineLvl w:val="0"/>
        <w:rPr>
          <w:color w:val="auto"/>
        </w:rPr>
      </w:pPr>
      <w:bookmarkStart w:id="163" w:name="_bookmark45"/>
      <w:bookmarkEnd w:id="163"/>
      <w:bookmarkStart w:id="164" w:name="_Toc4164"/>
      <w:r>
        <w:rPr>
          <w:color w:val="auto"/>
        </w:rPr>
        <w:t>9.8综合评价结论</w:t>
      </w:r>
      <w:bookmarkEnd w:id="164"/>
    </w:p>
    <w:p>
      <w:pPr>
        <w:bidi w:val="0"/>
        <w:rPr>
          <w:color w:val="auto"/>
        </w:rPr>
      </w:pPr>
      <w:r>
        <w:rPr>
          <w:color w:val="auto"/>
        </w:rPr>
        <w:t>本项目是一个实现社会效益、经济效益和环境效益统一的项目。疾控中心的建设，将更好的完善疾控中心检测能力，检测环境。不断提高疾控中心的整体实资金技术水平等，能更好地为广大群众提供优质的服务，促进卫生事业的发展，并为全面建设小康社会提供可靠的保证。</w:t>
      </w:r>
    </w:p>
    <w:p>
      <w:pPr>
        <w:bidi w:val="0"/>
        <w:rPr>
          <w:color w:val="auto"/>
        </w:rPr>
      </w:pPr>
      <w:r>
        <w:rPr>
          <w:color w:val="auto"/>
        </w:rPr>
        <w:t>本项目在对医疗废物等“三废”采取严格的污染防治措施后，该项目对周围环境不会造成危害性影响。疾控中心投入使用后在严格执行本报告书提出的污染防治措施及“三同时”原则基础上，从环保角度考虑该建设项目基本可行。</w:t>
      </w:r>
    </w:p>
    <w:p>
      <w:pPr>
        <w:pStyle w:val="5"/>
        <w:bidi w:val="0"/>
        <w:outlineLvl w:val="0"/>
        <w:rPr>
          <w:color w:val="auto"/>
        </w:rPr>
      </w:pPr>
      <w:bookmarkStart w:id="165" w:name="_bookmark46"/>
      <w:bookmarkEnd w:id="165"/>
      <w:bookmarkStart w:id="166" w:name="_Toc12301"/>
      <w:r>
        <w:rPr>
          <w:color w:val="auto"/>
        </w:rPr>
        <w:t>9.9建议和要求</w:t>
      </w:r>
      <w:bookmarkEnd w:id="166"/>
    </w:p>
    <w:p>
      <w:pPr>
        <w:bidi w:val="0"/>
        <w:rPr>
          <w:color w:val="auto"/>
        </w:rPr>
      </w:pPr>
      <w:r>
        <w:rPr>
          <w:color w:val="auto"/>
        </w:rPr>
        <w:t>（1）建设方应认真落实环保</w:t>
      </w:r>
      <w:r>
        <w:rPr>
          <w:rFonts w:hint="eastAsia" w:eastAsia="宋体"/>
          <w:color w:val="auto"/>
          <w:lang w:eastAsia="zh-CN"/>
        </w:rPr>
        <w:t>“</w:t>
      </w:r>
      <w:r>
        <w:rPr>
          <w:color w:val="auto"/>
        </w:rPr>
        <w:t>三同时</w:t>
      </w:r>
      <w:r>
        <w:rPr>
          <w:rFonts w:hint="eastAsia" w:eastAsia="宋体"/>
          <w:color w:val="auto"/>
          <w:lang w:eastAsia="zh-CN"/>
        </w:rPr>
        <w:t>”</w:t>
      </w:r>
      <w:r>
        <w:rPr>
          <w:color w:val="auto"/>
        </w:rPr>
        <w:t>，加强施工期、运营期的环保管理，确保治理设施的正常运转和污染物的达标排放；</w:t>
      </w:r>
    </w:p>
    <w:p>
      <w:pPr>
        <w:bidi w:val="0"/>
        <w:rPr>
          <w:color w:val="auto"/>
        </w:rPr>
      </w:pPr>
      <w:r>
        <w:rPr>
          <w:color w:val="auto"/>
        </w:rPr>
        <w:t>（2）加强对环保设施的维护和运行管理，对操作人员进行必要的技术培训，使环保设施能正常、稳定的运行；</w:t>
      </w:r>
    </w:p>
    <w:p>
      <w:pPr>
        <w:bidi w:val="0"/>
        <w:rPr>
          <w:color w:val="auto"/>
        </w:rPr>
      </w:pPr>
      <w:r>
        <w:rPr>
          <w:color w:val="auto"/>
        </w:rPr>
        <w:t>（3）建议建设单位对进出疾控中心机动车辆进行分流控制，并禁止鸣笛，以减少汽车尾气及车辆行驶噪声；</w:t>
      </w:r>
    </w:p>
    <w:p>
      <w:pPr>
        <w:bidi w:val="0"/>
        <w:rPr>
          <w:color w:val="auto"/>
        </w:rPr>
      </w:pPr>
      <w:r>
        <w:rPr>
          <w:color w:val="auto"/>
        </w:rPr>
        <w:t>（4）建议疾控中心注重污染处理设施设备的维护与保养，使其保持最佳的工作状态和处理效率，防止非正常排放事故的发生。制定主要污染治理设施故障时的应急方案与措施，以便一旦发生时能及时有效地控制污染物产出与排放，确保将对环境的不利影响控制到</w:t>
      </w:r>
      <w:r>
        <w:rPr>
          <w:rFonts w:hint="eastAsia" w:eastAsia="宋体"/>
          <w:color w:val="auto"/>
          <w:lang w:eastAsia="zh-CN"/>
        </w:rPr>
        <w:t>最低程度</w:t>
      </w:r>
      <w:r>
        <w:rPr>
          <w:color w:val="auto"/>
        </w:rPr>
        <w:t>；</w:t>
      </w:r>
    </w:p>
    <w:p>
      <w:pPr>
        <w:bidi w:val="0"/>
        <w:rPr>
          <w:color w:val="auto"/>
        </w:rPr>
      </w:pPr>
      <w:r>
        <w:rPr>
          <w:color w:val="auto"/>
        </w:rPr>
        <w:t>（5）建议疾控中心设专人负责环保管理，保证各三废处置措施能正常运转。疾控中心应特别注意防止传染病菌的排放的对环境的污染。</w:t>
      </w:r>
    </w:p>
    <w:p>
      <w:pPr>
        <w:bidi w:val="0"/>
        <w:rPr>
          <w:color w:val="auto"/>
        </w:rPr>
      </w:pPr>
      <w:r>
        <w:rPr>
          <w:color w:val="auto"/>
        </w:rPr>
        <w:t>（6）严格按照《危险废物贮存污染控制标准》（GB18597-2001）对危废暂存场所和容器进行建设的管理。建立危险废物</w:t>
      </w:r>
      <w:r>
        <w:rPr>
          <w:rFonts w:hint="eastAsia" w:eastAsia="宋体"/>
          <w:color w:val="auto"/>
          <w:lang w:eastAsia="zh-CN"/>
        </w:rPr>
        <w:t>管理台账</w:t>
      </w:r>
      <w:r>
        <w:rPr>
          <w:color w:val="auto"/>
        </w:rPr>
        <w:t>，严格管理本项目的危废。使其能够得到合理处置。同时危废贮存按照《环境保护图形标志</w:t>
      </w:r>
      <w:r>
        <w:rPr>
          <w:rFonts w:hint="eastAsia" w:eastAsia="宋体"/>
          <w:color w:val="auto"/>
          <w:lang w:eastAsia="zh-CN"/>
        </w:rPr>
        <w:t>－</w:t>
      </w:r>
      <w:r>
        <w:rPr>
          <w:color w:val="auto"/>
        </w:rPr>
        <w:t>固体废物贮存</w:t>
      </w:r>
      <w:r>
        <w:rPr>
          <w:rFonts w:hint="eastAsia" w:eastAsia="宋体"/>
          <w:color w:val="auto"/>
          <w:lang w:eastAsia="zh-CN"/>
        </w:rPr>
        <w:t>（</w:t>
      </w:r>
      <w:r>
        <w:rPr>
          <w:color w:val="auto"/>
        </w:rPr>
        <w:t>处置</w:t>
      </w:r>
      <w:r>
        <w:rPr>
          <w:rFonts w:hint="eastAsia" w:eastAsia="宋体"/>
          <w:color w:val="auto"/>
          <w:lang w:eastAsia="zh-CN"/>
        </w:rPr>
        <w:t>）</w:t>
      </w:r>
      <w:r>
        <w:rPr>
          <w:color w:val="auto"/>
        </w:rPr>
        <w:t>场》（GB15562.2）设置警示标志。</w:t>
      </w:r>
    </w:p>
    <w:p>
      <w:pPr>
        <w:bidi w:val="0"/>
        <w:rPr>
          <w:color w:val="auto"/>
        </w:rPr>
      </w:pPr>
      <w:r>
        <w:rPr>
          <w:color w:val="auto"/>
        </w:rPr>
        <w:t>（7）项目周边环境较敏感，风险管控要强化，建立相关的风险防控管理制度。</w:t>
      </w:r>
    </w:p>
    <w:p>
      <w:pPr>
        <w:pStyle w:val="3"/>
        <w:rPr>
          <w:rFonts w:hint="eastAsia"/>
          <w:color w:val="auto"/>
          <w:lang w:val="en-US" w:eastAsia="zh-CN"/>
        </w:rPr>
      </w:pPr>
    </w:p>
    <w:p>
      <w:pPr>
        <w:pStyle w:val="3"/>
        <w:rPr>
          <w:rFonts w:hint="eastAsia"/>
          <w:color w:val="auto"/>
          <w:lang w:val="en-US" w:eastAsia="zh-CN"/>
        </w:rPr>
      </w:pPr>
    </w:p>
    <w:sectPr>
      <w:footerReference r:id="rId9" w:type="default"/>
      <w:pgSz w:w="11906" w:h="16838"/>
      <w:pgMar w:top="1440" w:right="1800" w:bottom="1440" w:left="1800" w:header="1020" w:footer="992" w:gutter="0"/>
      <w:pgBorders>
        <w:top w:val="none" w:sz="0" w:space="0"/>
        <w:left w:val="none" w:sz="0" w:space="0"/>
        <w:bottom w:val="none" w:sz="0" w:space="0"/>
        <w:right w:val="none" w:sz="0" w:space="0"/>
      </w:pgBorders>
      <w:pgNumType w:fmt="decimal" w:start="48"/>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imesNewRomanPS-BoldM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Segoe UI Symbol">
    <w:panose1 w:val="020B0502040204020203"/>
    <w:charset w:val="00"/>
    <w:family w:val="swiss"/>
    <w:pitch w:val="default"/>
    <w:sig w:usb0="800001E3" w:usb1="1200FFEF" w:usb2="00040000" w:usb3="04000000" w:csb0="00000001" w:csb1="4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exact"/>
      <w:ind w:firstLine="4103"/>
      <w:jc w:val="center"/>
      <w:rPr>
        <w:rFonts w:ascii="Times New Roman" w:hAnsi="Times New Roman" w:eastAsia="Times New Roman" w:cs="Times New Roman"/>
        <w:sz w:val="30"/>
        <w:szCs w:val="3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exact"/>
      <w:ind w:firstLine="4103"/>
      <w:jc w:val="center"/>
      <w:rPr>
        <w:rFonts w:ascii="Times New Roman" w:hAnsi="Times New Roman" w:eastAsia="Times New Roman" w:cs="Times New Roman"/>
        <w:sz w:val="30"/>
        <w:szCs w:val="30"/>
      </w:rPr>
    </w:pPr>
    <w:r>
      <w:rPr>
        <w:sz w:val="30"/>
      </w:rPr>
      <mc:AlternateContent>
        <mc:Choice Requires="wps">
          <w:drawing>
            <wp:anchor distT="0" distB="0" distL="114300" distR="114300" simplePos="0" relativeHeight="251660288" behindDoc="0" locked="0" layoutInCell="1" allowOverlap="1">
              <wp:simplePos x="0" y="0"/>
              <wp:positionH relativeFrom="margin">
                <wp:posOffset>2462530</wp:posOffset>
              </wp:positionH>
              <wp:positionV relativeFrom="paragraph">
                <wp:posOffset>0</wp:posOffset>
              </wp:positionV>
              <wp:extent cx="41275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4127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squar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193.9pt;margin-top:0pt;height:144pt;width:32.5pt;mso-position-horizontal-relative:margin;z-index:251660288;mso-width-relative:page;mso-height-relative:page;" filled="f" stroked="f" coordsize="21600,21600" o:gfxdata="UEsDBAoAAAAAAIdO4kAAAAAAAAAAAAAAAAAEAAAAZHJzL1BLAwQUAAAACACHTuJAFFLe19YAAAAI&#10;AQAADwAAAGRycy9kb3ducmV2LnhtbE2PzU7DMBCE70i8g7VI3Kjd8BelcXpA0AOcSBHqcRtv4kBs&#10;R7GbFp6e5QTH0ezMflOuT24QM02xD17DcqFAkG+C6X2n4W37dJWDiAm9wSF40vBFEdbV+VmJhQlH&#10;/0pznTrBJT4WqMGmNBZSxsaSw7gII3n22jA5TCynTpoJj1zuBpkpdScd9p4/WBzpwVLzWR8cY7y/&#10;KLf5bu3OPWMba7udN48fWl9eLNUKRKJT+juGX3zOQMVM+3DwJopBw3V+z+hJAy9i++Y2Y7nXkOW5&#10;AlmV8v+A6gdQSwMEFAAAAAgAh07iQNgaiuI1AgAAZAQAAA4AAABkcnMvZTJvRG9jLnhtbK1Uy47T&#10;MBTdI/EPlvc0bYGhqpqOylRFSBUzUkGsXcdpIvmF7TQpHwB/wIoNe76r38FxHh0YWMyCjXtz3+fc&#10;e7u4bpQkR+F8aXRKJ6MxJUJzk5X6kNIP7zfPZpT4wHTGpNEipSfh6fXy6ZNFbediagojM+EIkmg/&#10;r21KixDsPEk8L4RifmSs0DDmxikW8OkOSeZYjexKJtPx+CqpjcusM1x4D+26M9I+o3tMQpPnJRdr&#10;wysldOiyOiFZACRflNbTZdttngsebvPci0BkSoE0tC+KQN7HN1ku2PzgmC1K3rfAHtPCA0yKlRpF&#10;L6nWLDBSufKvVKrkzniThxE3KumAtIwAxWT8gJtdwaxosYBqby+k+/+Xlr873jlSZtgEzF0zhYmf&#10;v309f/95/vGFQAeCauvn8NtZeIbmtWngPOg9lBF3kzsVf4GIwA56Txd6RRMIh/LFZPrqJSwcpsls&#10;OpuNW/6T+2jrfHgjjCJRSKnD+FpW2XHrAzqB6+ASi2mzKaVsRyg1qVN69Rz5/7AgQmoERgxdr1EK&#10;zb7pge1NdgIuZ7rV8JZvShTfMh/umMMuoGFcS7jFk0uDIqaXKCmM+/wvffTHiGClpMZupdR/qpgT&#10;lMi3GsNDyjAIbhD2g6ArdWOwrhPcoeWtiAAX5CDmzqiPOKJVrAIT0xy1UhoG8SZ0G44j5GK1ap0q&#10;68pD0QVg9SwLW72zPJaJhHm7qgLobFmOFHW89Mxh+Vry+0OJ2/37d+t1/+ew/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AUUt7X1gAAAAgBAAAPAAAAAAAAAAEAIAAAACIAAABkcnMvZG93bnJldi54&#10;bWxQSwECFAAUAAAACACHTuJA2BqK4jUCAABkBAAADgAAAAAAAAABACAAAAAlAQAAZHJzL2Uyb0Rv&#10;Yy54bWxQSwUGAAAAAAYABgBZAQAAzA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exact"/>
      <w:ind w:firstLine="4103"/>
      <w:rPr>
        <w:rFonts w:ascii="Times New Roman" w:hAnsi="Times New Roman" w:eastAsia="Times New Roman" w:cs="Times New Roman"/>
        <w:sz w:val="30"/>
        <w:szCs w:val="30"/>
      </w:rPr>
    </w:pPr>
    <w:r>
      <w:rPr>
        <w:sz w:val="3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09" w:lineRule="exact"/>
      <w:ind w:firstLine="4103"/>
      <w:rPr>
        <w:rFonts w:ascii="Times New Roman" w:hAnsi="Times New Roman" w:eastAsia="Times New Roman" w:cs="Times New Roman"/>
        <w:sz w:val="30"/>
        <w:szCs w:val="30"/>
      </w:rPr>
    </w:pPr>
    <w:r>
      <w:rPr>
        <w:sz w:val="30"/>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444500" cy="18288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444500" cy="1828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4.4pt;width:35pt;mso-position-horizontal:center;mso-position-horizontal-relative:margin;z-index:251663360;mso-width-relative:page;mso-height-relative:page;" filled="f" stroked="f" coordsize="21600,21600" o:gfxdata="UEsDBAoAAAAAAIdO4kAAAAAAAAAAAAAAAAAEAAAAZHJzL1BLAwQUAAAACACHTuJAbkwb29EAAAAD&#10;AQAADwAAAGRycy9kb3ducmV2LnhtbE2PO0/EMBCEeyT+g7VIdJydKyAKca7g0fE8QILOiZckwl5H&#10;9iZ3/HsMzdGMNJrVzLf1Zu+dWDCmMZCGYqVAIHXBjtRreH25PStBJDZkjQuEGr4xwaY5PqpNZcOO&#10;nnHZci9yCaXKaBiYp0rK1A3oTVqFCSlnnyF6w9nGXtpodrncO7lW6lx6M1JeGMyEVwN2X9vZa3Dv&#10;Kd61ij+W6/6enx7l/HZTPGh9elKoSxCMez4cwy9+RocmM7VhJpuE05Af4T/N2YXKrtWwLkuQTS3/&#10;szc/UEsDBBQAAAAIAIdO4kCZpq9lNwIAAGMEAAAOAAAAZHJzL2Uyb0RvYy54bWytVE1uEzEU3iNx&#10;B8t7OkloqyjqpAqtipAqWqkg1o7Hk7Fk+xnb6Uw5ANyAFRv2nCvn4BtPJkWFRRdsPM/v//ve85yd&#10;d9awexWiJlfy6dGEM+UkVdptSv7xw9WrOWcxCVcJQ06V/EFFfr58+eKs9Qs1o4ZMpQJDEhcXrS95&#10;k5JfFEWUjbIiHpFXDsaaghUJ17ApqiBaZLemmE0mp0VLofKBpIoR2svByPcZw3MSUl1rqS5Jbq1y&#10;acgalBEJkGKjfeTL3G1dK5lu6jqqxEzJgTTlE0Ugr/uzWJ6JxSYI32i5b0E8p4UnmKzQDkUPqS5F&#10;Emwb9F+prJaBItXpSJItBiCZEaCYTp5wc9cIrzIWUB39gfT4/9LK9/e3gemq5LMpZ05YTHz3/dvu&#10;x6/dz68MOhDU+riA352HZ+reUIe1GfURyh53Vwfbf4GIwQ56Hw70qi4xCeXx8fHJBBYJ03Q+m88z&#10;/cVjsA8xvVVkWS+UPGB6mVRxfx0TGoHr6NLXcnSljckTNI61JT99fTLJAQcLIoxDYA9haLWXUrfu&#10;9rjWVD0AVqBhM6KXVxrFr0VMtyJgFdAvHku6wVEbQhHaS5w1FL78S9/7Y0KwctZitUoeP29FUJyZ&#10;dw6zQ8o0CmEU1qPgtvaCsK0YB7rJIgJCMqNYB7Kf8IZWfRWYhJOoVfI0ihdpWHC8QalWq+y09UFv&#10;miEAm+dFunZ3XvZlBipX20S1ziz3FA287JnD7mXy9++kX+4/79nr8d+w/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uTBvb0QAAAAMBAAAPAAAAAAAAAAEAIAAAACIAAABkcnMvZG93bnJldi54bWxQ&#10;SwECFAAUAAAACACHTuJAmaavZTcCAABjBAAADgAAAAAAAAABACAAAAAgAQAAZHJzL2Uyb0RvYy54&#10;bWxQSwUGAAAAAAYABgBZAQAAyQUAAAAA&#10;">
              <v:fill on="f" focussize="0,0"/>
              <v:stroke on="f" weight="0.5pt"/>
              <v:imagedata o:title=""/>
              <o:lock v:ext="edit" aspectratio="f"/>
              <v:textbox inset="0mm,0mm,0mm,0mm">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4" w:space="0"/>
      </w:pBdr>
      <w:spacing w:line="209" w:lineRule="exact"/>
      <w:ind w:firstLine="4103"/>
      <w:jc w:val="center"/>
      <w:rPr>
        <w:rFonts w:hint="eastAsia"/>
        <w:sz w:val="18"/>
        <w:szCs w:val="18"/>
        <w:lang w:val="en-US" w:eastAsia="zh-CN"/>
      </w:rPr>
    </w:pPr>
    <w:r>
      <w:rPr>
        <w:rFonts w:hint="eastAsia"/>
        <w:sz w:val="18"/>
        <w:szCs w:val="18"/>
        <w:lang w:val="en-US" w:eastAsia="zh-CN"/>
      </w:rPr>
      <w:t>第十四师皮山农场疾病预防控制中心建设项目环境影响报告书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E058A6E"/>
    <w:multiLevelType w:val="singleLevel"/>
    <w:tmpl w:val="FE058A6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autoFormatOverride/>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Y1MjczNzY5NTJlMjgxYzZlZTIwNWE3NDc3YWVhMjEifQ=="/>
    <w:docVar w:name="KSO_WPS_MARK_KEY" w:val="b0f63b9c-4280-4819-87bb-f83d8b816fc9"/>
  </w:docVars>
  <w:rsids>
    <w:rsidRoot w:val="353E4B45"/>
    <w:rsid w:val="00840C06"/>
    <w:rsid w:val="02623D4A"/>
    <w:rsid w:val="02667D96"/>
    <w:rsid w:val="031A2E85"/>
    <w:rsid w:val="053C6A84"/>
    <w:rsid w:val="06892471"/>
    <w:rsid w:val="070F1FD1"/>
    <w:rsid w:val="088E03A6"/>
    <w:rsid w:val="09CF47C3"/>
    <w:rsid w:val="0BB463D5"/>
    <w:rsid w:val="0C504024"/>
    <w:rsid w:val="106F2310"/>
    <w:rsid w:val="11123342"/>
    <w:rsid w:val="116B7A8A"/>
    <w:rsid w:val="11C25C0D"/>
    <w:rsid w:val="11CB3AC2"/>
    <w:rsid w:val="123B3CBF"/>
    <w:rsid w:val="12891EF5"/>
    <w:rsid w:val="14885046"/>
    <w:rsid w:val="149C24CA"/>
    <w:rsid w:val="175A778F"/>
    <w:rsid w:val="176D705E"/>
    <w:rsid w:val="18537A0B"/>
    <w:rsid w:val="1CCB771F"/>
    <w:rsid w:val="1E1512CB"/>
    <w:rsid w:val="1E447D3A"/>
    <w:rsid w:val="1F462762"/>
    <w:rsid w:val="1FA86AD2"/>
    <w:rsid w:val="1FDC689E"/>
    <w:rsid w:val="1FE946E7"/>
    <w:rsid w:val="2064219F"/>
    <w:rsid w:val="20696921"/>
    <w:rsid w:val="2100023C"/>
    <w:rsid w:val="21F07835"/>
    <w:rsid w:val="22272212"/>
    <w:rsid w:val="22673393"/>
    <w:rsid w:val="236E2D8D"/>
    <w:rsid w:val="2386300B"/>
    <w:rsid w:val="241E2E4D"/>
    <w:rsid w:val="244051D0"/>
    <w:rsid w:val="24A73A01"/>
    <w:rsid w:val="26444750"/>
    <w:rsid w:val="27772BA6"/>
    <w:rsid w:val="287A280C"/>
    <w:rsid w:val="29B50958"/>
    <w:rsid w:val="2DA75C2D"/>
    <w:rsid w:val="30763EFC"/>
    <w:rsid w:val="31061D8B"/>
    <w:rsid w:val="31D04385"/>
    <w:rsid w:val="320D7E80"/>
    <w:rsid w:val="32B262E3"/>
    <w:rsid w:val="331917E7"/>
    <w:rsid w:val="33B11749"/>
    <w:rsid w:val="34E52560"/>
    <w:rsid w:val="353E4B45"/>
    <w:rsid w:val="379E11AD"/>
    <w:rsid w:val="38140339"/>
    <w:rsid w:val="386D68C9"/>
    <w:rsid w:val="3AD56154"/>
    <w:rsid w:val="3B316EBA"/>
    <w:rsid w:val="3C414F0B"/>
    <w:rsid w:val="3D0E25E4"/>
    <w:rsid w:val="3D6C16FB"/>
    <w:rsid w:val="3D7A07C5"/>
    <w:rsid w:val="3EE85082"/>
    <w:rsid w:val="40435474"/>
    <w:rsid w:val="42021D74"/>
    <w:rsid w:val="42416CF7"/>
    <w:rsid w:val="426134E1"/>
    <w:rsid w:val="44C5209B"/>
    <w:rsid w:val="45410011"/>
    <w:rsid w:val="456357E4"/>
    <w:rsid w:val="46E12E64"/>
    <w:rsid w:val="492B0B88"/>
    <w:rsid w:val="49947F4E"/>
    <w:rsid w:val="4AC31E81"/>
    <w:rsid w:val="4B1A40BC"/>
    <w:rsid w:val="4B6C4243"/>
    <w:rsid w:val="4C884CCB"/>
    <w:rsid w:val="4C92559B"/>
    <w:rsid w:val="4D6E11CA"/>
    <w:rsid w:val="4ED0764A"/>
    <w:rsid w:val="50DA7FBB"/>
    <w:rsid w:val="50ED1830"/>
    <w:rsid w:val="512546FF"/>
    <w:rsid w:val="522A60AB"/>
    <w:rsid w:val="522E340C"/>
    <w:rsid w:val="55AA2BE2"/>
    <w:rsid w:val="56D81266"/>
    <w:rsid w:val="5A03521D"/>
    <w:rsid w:val="5CD67434"/>
    <w:rsid w:val="5DCF371C"/>
    <w:rsid w:val="5DE84B16"/>
    <w:rsid w:val="5ECC308C"/>
    <w:rsid w:val="604371AD"/>
    <w:rsid w:val="6245467A"/>
    <w:rsid w:val="64CF6AEA"/>
    <w:rsid w:val="650A3430"/>
    <w:rsid w:val="667571EA"/>
    <w:rsid w:val="667D1239"/>
    <w:rsid w:val="68121630"/>
    <w:rsid w:val="690835A0"/>
    <w:rsid w:val="6AD72A73"/>
    <w:rsid w:val="6D201EAF"/>
    <w:rsid w:val="6F284B6D"/>
    <w:rsid w:val="73882827"/>
    <w:rsid w:val="74C95EB8"/>
    <w:rsid w:val="754D4836"/>
    <w:rsid w:val="76696B37"/>
    <w:rsid w:val="77D03EC6"/>
    <w:rsid w:val="781F5A37"/>
    <w:rsid w:val="79AD1B65"/>
    <w:rsid w:val="7C1124BE"/>
    <w:rsid w:val="7CD34628"/>
    <w:rsid w:val="7CF16256"/>
    <w:rsid w:val="7D5611AF"/>
    <w:rsid w:val="7F1015B0"/>
    <w:rsid w:val="7FE72CE4"/>
    <w:rsid w:val="7FFC15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720" w:firstLineChars="200"/>
      <w:jc w:val="both"/>
    </w:pPr>
    <w:rPr>
      <w:rFonts w:ascii="Times New Roman" w:hAnsi="Times New Roman" w:eastAsia="宋体" w:cstheme="minorBidi"/>
      <w:kern w:val="2"/>
      <w:sz w:val="24"/>
      <w:szCs w:val="24"/>
      <w:lang w:val="en-US" w:eastAsia="zh-CN" w:bidi="ar-SA"/>
    </w:rPr>
  </w:style>
  <w:style w:type="paragraph" w:styleId="4">
    <w:name w:val="heading 1"/>
    <w:basedOn w:val="1"/>
    <w:next w:val="1"/>
    <w:link w:val="21"/>
    <w:qFormat/>
    <w:uiPriority w:val="0"/>
    <w:pPr>
      <w:keepNext/>
      <w:keepLines/>
      <w:spacing w:beforeLines="0" w:beforeAutospacing="0" w:afterLines="0" w:afterAutospacing="0" w:line="360" w:lineRule="auto"/>
      <w:ind w:firstLine="0" w:firstLineChars="0"/>
      <w:jc w:val="center"/>
      <w:outlineLvl w:val="0"/>
    </w:pPr>
    <w:rPr>
      <w:b/>
      <w:kern w:val="44"/>
      <w:sz w:val="30"/>
      <w:szCs w:val="30"/>
    </w:rPr>
  </w:style>
  <w:style w:type="paragraph" w:styleId="5">
    <w:name w:val="heading 2"/>
    <w:basedOn w:val="1"/>
    <w:next w:val="1"/>
    <w:unhideWhenUsed/>
    <w:qFormat/>
    <w:uiPriority w:val="0"/>
    <w:pPr>
      <w:keepNext/>
      <w:keepLines/>
      <w:spacing w:beforeLines="0" w:beforeAutospacing="0" w:afterLines="0" w:afterAutospacing="0" w:line="360" w:lineRule="auto"/>
      <w:ind w:firstLine="0" w:firstLineChars="0"/>
      <w:outlineLvl w:val="1"/>
    </w:pPr>
    <w:rPr>
      <w:b/>
      <w:sz w:val="28"/>
      <w:szCs w:val="28"/>
    </w:rPr>
  </w:style>
  <w:style w:type="paragraph" w:styleId="6">
    <w:name w:val="heading 3"/>
    <w:basedOn w:val="1"/>
    <w:next w:val="1"/>
    <w:link w:val="36"/>
    <w:unhideWhenUsed/>
    <w:qFormat/>
    <w:uiPriority w:val="0"/>
    <w:pPr>
      <w:keepNext/>
      <w:keepLines/>
      <w:spacing w:beforeLines="0" w:beforeAutospacing="0" w:afterLines="0" w:afterAutospacing="0" w:line="360" w:lineRule="auto"/>
      <w:ind w:firstLine="0" w:firstLineChars="0"/>
      <w:outlineLvl w:val="2"/>
    </w:pPr>
    <w:rPr>
      <w:b/>
    </w:rPr>
  </w:style>
  <w:style w:type="paragraph" w:styleId="7">
    <w:name w:val="heading 4"/>
    <w:basedOn w:val="1"/>
    <w:next w:val="1"/>
    <w:unhideWhenUsed/>
    <w:qFormat/>
    <w:uiPriority w:val="0"/>
    <w:pPr>
      <w:keepNext/>
      <w:keepLines/>
      <w:spacing w:beforeLines="0" w:beforeAutospacing="0" w:afterLines="0" w:afterAutospacing="0" w:line="360" w:lineRule="auto"/>
      <w:ind w:firstLine="0" w:firstLineChars="0"/>
      <w:outlineLvl w:val="3"/>
    </w:pPr>
    <w:rPr>
      <w:b/>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rPr>
      <w:rFonts w:ascii="Times New Roman" w:hAnsi="Times New Roman" w:eastAsia="宋体" w:cs="Times New Roman"/>
      <w:sz w:val="24"/>
      <w:lang w:val="zh-CN" w:bidi="zh-CN"/>
    </w:rPr>
  </w:style>
  <w:style w:type="paragraph" w:customStyle="1" w:styleId="3">
    <w:name w:val="Body Text 21"/>
    <w:basedOn w:val="1"/>
    <w:link w:val="35"/>
    <w:qFormat/>
    <w:uiPriority w:val="0"/>
    <w:pPr>
      <w:spacing w:after="120" w:line="480" w:lineRule="auto"/>
    </w:pPr>
  </w:style>
  <w:style w:type="paragraph" w:styleId="8">
    <w:name w:val="Body Text Indent"/>
    <w:basedOn w:val="1"/>
    <w:next w:val="9"/>
    <w:qFormat/>
    <w:uiPriority w:val="0"/>
    <w:pPr>
      <w:spacing w:line="620" w:lineRule="exact"/>
      <w:ind w:firstLine="560" w:firstLineChars="200"/>
    </w:pPr>
    <w:rPr>
      <w:rFonts w:eastAsia="宋体"/>
      <w:sz w:val="28"/>
    </w:rPr>
  </w:style>
  <w:style w:type="paragraph" w:styleId="9">
    <w:name w:val="Body Text First Indent 2"/>
    <w:basedOn w:val="8"/>
    <w:next w:val="8"/>
    <w:qFormat/>
    <w:uiPriority w:val="0"/>
    <w:pPr>
      <w:spacing w:after="120"/>
      <w:ind w:left="420" w:leftChars="200" w:firstLine="420" w:firstLineChars="200"/>
    </w:pPr>
    <w:rPr>
      <w:sz w:val="21"/>
    </w:rPr>
  </w:style>
  <w:style w:type="paragraph" w:styleId="10">
    <w:name w:val="toc 3"/>
    <w:basedOn w:val="1"/>
    <w:next w:val="1"/>
    <w:qFormat/>
    <w:uiPriority w:val="0"/>
    <w:pPr>
      <w:ind w:left="840" w:leftChars="400"/>
    </w:pPr>
  </w:style>
  <w:style w:type="paragraph" w:styleId="11">
    <w:name w:val="Body Text Indent 2"/>
    <w:basedOn w:val="1"/>
    <w:qFormat/>
    <w:uiPriority w:val="0"/>
    <w:pPr>
      <w:adjustRightInd w:val="0"/>
      <w:ind w:firstLine="600" w:firstLineChars="200"/>
    </w:pPr>
    <w:rPr>
      <w:rFonts w:ascii="宋体" w:hAnsi="宋体"/>
      <w:sz w:val="30"/>
    </w:rPr>
  </w:style>
  <w:style w:type="paragraph" w:styleId="12">
    <w:name w:val="footer"/>
    <w:basedOn w:val="1"/>
    <w:qFormat/>
    <w:uiPriority w:val="0"/>
    <w:pPr>
      <w:tabs>
        <w:tab w:val="center" w:pos="4153"/>
        <w:tab w:val="right" w:pos="8306"/>
      </w:tabs>
      <w:snapToGrid w:val="0"/>
      <w:jc w:val="left"/>
    </w:pPr>
    <w:rPr>
      <w:sz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Body Text 2"/>
    <w:basedOn w:val="1"/>
    <w:qFormat/>
    <w:uiPriority w:val="0"/>
    <w:pPr>
      <w:spacing w:line="480" w:lineRule="auto"/>
    </w:pPr>
  </w:style>
  <w:style w:type="paragraph" w:styleId="17">
    <w:name w:val="Normal (Web)"/>
    <w:basedOn w:val="1"/>
    <w:qFormat/>
    <w:uiPriority w:val="0"/>
    <w:pPr>
      <w:spacing w:before="0" w:beforeAutospacing="1" w:after="0" w:afterAutospacing="1"/>
      <w:ind w:left="0" w:right="0"/>
      <w:jc w:val="left"/>
    </w:pPr>
    <w:rPr>
      <w:kern w:val="0"/>
      <w:sz w:val="24"/>
      <w:lang w:val="en-US" w:eastAsia="zh-CN" w:bidi="ar"/>
    </w:rPr>
  </w:style>
  <w:style w:type="table" w:styleId="19">
    <w:name w:val="Table Grid"/>
    <w:basedOn w:val="18"/>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21">
    <w:name w:val="标题 1 Char"/>
    <w:link w:val="4"/>
    <w:qFormat/>
    <w:uiPriority w:val="0"/>
    <w:rPr>
      <w:rFonts w:eastAsia="宋体"/>
      <w:b/>
      <w:kern w:val="44"/>
      <w:sz w:val="30"/>
      <w:szCs w:val="30"/>
    </w:rPr>
  </w:style>
  <w:style w:type="paragraph" w:customStyle="1" w:styleId="22">
    <w:name w:val="表内文字"/>
    <w:basedOn w:val="1"/>
    <w:link w:val="32"/>
    <w:qFormat/>
    <w:uiPriority w:val="0"/>
    <w:pPr>
      <w:spacing w:line="240" w:lineRule="auto"/>
      <w:ind w:firstLine="0" w:firstLineChars="0"/>
      <w:jc w:val="center"/>
    </w:pPr>
    <w:rPr>
      <w:sz w:val="21"/>
      <w:szCs w:val="21"/>
    </w:rPr>
  </w:style>
  <w:style w:type="table" w:customStyle="1" w:styleId="23">
    <w:name w:val="Table Normal"/>
    <w:semiHidden/>
    <w:unhideWhenUsed/>
    <w:qFormat/>
    <w:uiPriority w:val="0"/>
    <w:tblPr>
      <w:tblCellMar>
        <w:top w:w="0" w:type="dxa"/>
        <w:left w:w="0" w:type="dxa"/>
        <w:bottom w:w="0" w:type="dxa"/>
        <w:right w:w="0" w:type="dxa"/>
      </w:tblCellMar>
    </w:tbl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WPSOffice手动目录 2"/>
    <w:qFormat/>
    <w:uiPriority w:val="0"/>
    <w:pPr>
      <w:ind w:leftChars="200"/>
    </w:pPr>
    <w:rPr>
      <w:rFonts w:ascii="Times New Roman" w:hAnsi="Times New Roman" w:eastAsia="宋体" w:cs="Times New Roman"/>
      <w:sz w:val="20"/>
      <w:szCs w:val="20"/>
    </w:rPr>
  </w:style>
  <w:style w:type="paragraph" w:customStyle="1" w:styleId="26">
    <w:name w:val="Default"/>
    <w:next w:val="1"/>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paragraph" w:customStyle="1" w:styleId="27">
    <w:name w:val="Table Paragraph"/>
    <w:basedOn w:val="1"/>
    <w:qFormat/>
    <w:uiPriority w:val="1"/>
    <w:pPr>
      <w:spacing w:before="111"/>
    </w:pPr>
    <w:rPr>
      <w:rFonts w:ascii="宋体" w:hAnsi="宋体" w:eastAsia="宋体" w:cs="宋体"/>
      <w:lang w:val="zh-CN" w:eastAsia="zh-CN" w:bidi="zh-CN"/>
    </w:rPr>
  </w:style>
  <w:style w:type="character" w:customStyle="1" w:styleId="28">
    <w:name w:val="font31"/>
    <w:basedOn w:val="20"/>
    <w:qFormat/>
    <w:uiPriority w:val="0"/>
    <w:rPr>
      <w:rFonts w:hint="default" w:ascii="Times New Roman" w:hAnsi="Times New Roman" w:cs="Times New Roman"/>
      <w:color w:val="000000"/>
      <w:sz w:val="21"/>
      <w:szCs w:val="21"/>
      <w:u w:val="none"/>
    </w:rPr>
  </w:style>
  <w:style w:type="character" w:customStyle="1" w:styleId="29">
    <w:name w:val="font11"/>
    <w:basedOn w:val="20"/>
    <w:qFormat/>
    <w:uiPriority w:val="0"/>
    <w:rPr>
      <w:rFonts w:hint="eastAsia" w:ascii="宋体" w:hAnsi="宋体" w:eastAsia="宋体" w:cs="宋体"/>
      <w:color w:val="000000"/>
      <w:sz w:val="21"/>
      <w:szCs w:val="21"/>
      <w:u w:val="none"/>
    </w:rPr>
  </w:style>
  <w:style w:type="character" w:customStyle="1" w:styleId="30">
    <w:name w:val="font21"/>
    <w:basedOn w:val="20"/>
    <w:qFormat/>
    <w:uiPriority w:val="0"/>
    <w:rPr>
      <w:rFonts w:hint="default" w:ascii="Times New Roman" w:hAnsi="Times New Roman" w:cs="Times New Roman"/>
      <w:color w:val="000000"/>
      <w:sz w:val="13"/>
      <w:szCs w:val="13"/>
      <w:u w:val="none"/>
    </w:rPr>
  </w:style>
  <w:style w:type="paragraph" w:customStyle="1" w:styleId="31">
    <w:name w:val="段"/>
    <w:qFormat/>
    <w:uiPriority w:val="0"/>
    <w:pPr>
      <w:autoSpaceDE w:val="0"/>
      <w:autoSpaceDN w:val="0"/>
      <w:ind w:firstLine="200" w:firstLineChars="200"/>
      <w:jc w:val="both"/>
    </w:pPr>
    <w:rPr>
      <w:rFonts w:ascii="宋体" w:hAnsi="Calibri" w:eastAsia="宋体" w:cs="Times New Roman"/>
      <w:sz w:val="21"/>
      <w:lang w:val="en-US" w:eastAsia="zh-CN"/>
    </w:rPr>
  </w:style>
  <w:style w:type="character" w:customStyle="1" w:styleId="32">
    <w:name w:val="表内文字 Char"/>
    <w:link w:val="22"/>
    <w:qFormat/>
    <w:uiPriority w:val="0"/>
    <w:rPr>
      <w:sz w:val="21"/>
      <w:szCs w:val="21"/>
    </w:rPr>
  </w:style>
  <w:style w:type="paragraph" w:customStyle="1" w:styleId="33">
    <w:name w:val="1"/>
    <w:basedOn w:val="1"/>
    <w:next w:val="16"/>
    <w:qFormat/>
    <w:uiPriority w:val="0"/>
    <w:pPr>
      <w:spacing w:line="300" w:lineRule="auto"/>
      <w:jc w:val="center"/>
    </w:pPr>
    <w:rPr>
      <w:rFonts w:ascii="宋体" w:hAnsi="宋体"/>
      <w:spacing w:val="-20"/>
    </w:rPr>
  </w:style>
  <w:style w:type="paragraph" w:customStyle="1" w:styleId="34">
    <w:name w:val="报告书正文"/>
    <w:basedOn w:val="1"/>
    <w:qFormat/>
    <w:uiPriority w:val="0"/>
    <w:pPr>
      <w:spacing w:line="300" w:lineRule="auto"/>
      <w:ind w:firstLine="200" w:firstLineChars="200"/>
    </w:pPr>
    <w:rPr>
      <w:sz w:val="24"/>
    </w:rPr>
  </w:style>
  <w:style w:type="character" w:customStyle="1" w:styleId="35">
    <w:name w:val="Body Text 21 Char"/>
    <w:link w:val="3"/>
    <w:qFormat/>
    <w:uiPriority w:val="0"/>
  </w:style>
  <w:style w:type="character" w:customStyle="1" w:styleId="36">
    <w:name w:val="标题 3 Char"/>
    <w:link w:val="6"/>
    <w:qFormat/>
    <w:uiPriority w:val="0"/>
    <w:rPr>
      <w:b/>
    </w:rPr>
  </w:style>
  <w:style w:type="paragraph" w:customStyle="1" w:styleId="37">
    <w:name w:val="WPSOffice手动目录 3"/>
    <w:qFormat/>
    <w:uiPriority w:val="0"/>
    <w:pPr>
      <w:ind w:leftChars="400"/>
    </w:pPr>
    <w:rPr>
      <w:rFonts w:ascii="Times New Roman" w:hAnsi="Times New Roman" w:eastAsia="宋体" w:cs="Times New Roman"/>
      <w:sz w:val="20"/>
      <w:szCs w:val="20"/>
    </w:rPr>
  </w:style>
  <w:style w:type="character" w:customStyle="1" w:styleId="38">
    <w:name w:val="r-time"/>
    <w:basedOn w:val="20"/>
    <w:qFormat/>
    <w:uiPriority w:val="0"/>
    <w:rPr>
      <w:color w:val="B30000"/>
    </w:rPr>
  </w:style>
  <w:style w:type="character" w:customStyle="1" w:styleId="39">
    <w:name w:val="r-text"/>
    <w:basedOn w:val="20"/>
    <w:qFormat/>
    <w:uiPriority w:val="0"/>
    <w:rPr>
      <w:color w:val="00349B"/>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129</Pages>
  <Words>80063</Words>
  <Characters>89804</Characters>
  <Lines>0</Lines>
  <Paragraphs>0</Paragraphs>
  <TotalTime>12</TotalTime>
  <ScaleCrop>false</ScaleCrop>
  <LinksUpToDate>false</LinksUpToDate>
  <CharactersWithSpaces>90336</CharactersWithSpaces>
  <Application>WPS Office_11.1.0.12651_F1E327BC-269C-435d-A152-05C5408002CA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2022-01-17T02:42:00Z</dcterms:created>
  <dc:creator></dc:creator>
  <cp:lastModifiedBy>天道酬勤</cp:lastModifiedBy>
  <dcterms:modified xsi:type="dcterms:W3CDTF">2022-12-15T03:12:42Z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2052-11.1.0.12651</vt:lpwstr>
  </property>
  <property fmtid="{D5CDD505-2E9C-101B-9397-08002B2CF9AE}" pid="3" name="ICV">
    <vt:lpwstr>8C46F7B0D78E459FBC693B9EC23C39AF</vt:lpwstr>
  </property>
</Properties>
</file>