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F2DEFE">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rPr>
          <w:rFonts w:hint="eastAsia" w:ascii="Tahoma" w:hAnsi="Tahoma" w:eastAsia="微软雅黑" w:cs="Times New Roman"/>
          <w:b w:val="0"/>
          <w:bCs/>
          <w:snapToGrid/>
          <w:color w:val="000000"/>
          <w:kern w:val="0"/>
          <w:sz w:val="48"/>
          <w:szCs w:val="48"/>
          <w:lang w:val="en-US" w:eastAsia="zh-CN" w:bidi="ar-SA"/>
        </w:rPr>
      </w:pPr>
    </w:p>
    <w:p w14:paraId="36B2ECAD">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outlineLvl w:val="9"/>
        <w:rPr>
          <w:rFonts w:hint="default" w:ascii="Tahoma" w:hAnsi="Tahoma" w:eastAsia="微软雅黑" w:cs="Times New Roman"/>
          <w:b w:val="0"/>
          <w:bCs/>
          <w:snapToGrid/>
          <w:color w:val="000000"/>
          <w:kern w:val="0"/>
          <w:sz w:val="48"/>
          <w:szCs w:val="48"/>
          <w:lang w:val="en-US" w:eastAsia="zh-CN" w:bidi="ar-SA"/>
        </w:rPr>
      </w:pPr>
      <w:r>
        <w:rPr>
          <w:rFonts w:hint="eastAsia" w:ascii="Tahoma" w:hAnsi="Tahoma" w:eastAsia="微软雅黑" w:cs="Times New Roman"/>
          <w:b w:val="0"/>
          <w:bCs/>
          <w:snapToGrid/>
          <w:color w:val="000000"/>
          <w:kern w:val="0"/>
          <w:sz w:val="48"/>
          <w:szCs w:val="48"/>
          <w:lang w:val="en-US" w:eastAsia="zh-CN" w:bidi="ar-SA"/>
        </w:rPr>
        <w:t>第十四师皮山农场污水资源化利用项目</w:t>
      </w:r>
    </w:p>
    <w:p w14:paraId="7DC6CFD7">
      <w:pPr>
        <w:spacing w:line="245" w:lineRule="auto"/>
        <w:ind w:firstLine="1446" w:firstLineChars="300"/>
        <w:jc w:val="both"/>
        <w:outlineLvl w:val="9"/>
        <w:rPr>
          <w:rFonts w:ascii="Arial"/>
          <w:sz w:val="21"/>
        </w:rPr>
      </w:pPr>
      <w:r>
        <w:rPr>
          <w:rFonts w:hint="eastAsia" w:ascii="楷体" w:hAnsi="楷体" w:eastAsia="楷体" w:cs="楷体"/>
          <w:b/>
          <w:color w:val="000000"/>
          <w:sz w:val="48"/>
          <w:szCs w:val="48"/>
        </w:rPr>
        <w:t>竣工环境保护</w:t>
      </w:r>
      <w:r>
        <w:rPr>
          <w:rFonts w:hint="eastAsia" w:ascii="楷体" w:hAnsi="楷体" w:eastAsia="楷体" w:cs="楷体"/>
          <w:b/>
          <w:sz w:val="48"/>
          <w:szCs w:val="48"/>
        </w:rPr>
        <w:t>验收</w:t>
      </w:r>
      <w:r>
        <w:rPr>
          <w:rFonts w:hint="eastAsia" w:ascii="楷体" w:hAnsi="楷体" w:eastAsia="楷体" w:cs="楷体"/>
          <w:b/>
          <w:sz w:val="48"/>
          <w:szCs w:val="48"/>
          <w:lang w:val="en-US" w:eastAsia="zh-CN"/>
        </w:rPr>
        <w:t>调查</w:t>
      </w:r>
      <w:r>
        <w:rPr>
          <w:rFonts w:hint="eastAsia" w:ascii="楷体" w:hAnsi="楷体" w:eastAsia="楷体" w:cs="楷体"/>
          <w:b/>
          <w:sz w:val="48"/>
          <w:szCs w:val="48"/>
        </w:rPr>
        <w:t>报告表</w:t>
      </w:r>
    </w:p>
    <w:p w14:paraId="14F0A8B9">
      <w:pPr>
        <w:spacing w:line="245" w:lineRule="auto"/>
        <w:rPr>
          <w:rFonts w:ascii="Arial"/>
          <w:sz w:val="21"/>
        </w:rPr>
      </w:pPr>
    </w:p>
    <w:p w14:paraId="77B99AC5">
      <w:pPr>
        <w:spacing w:line="245" w:lineRule="auto"/>
        <w:rPr>
          <w:rFonts w:ascii="Arial"/>
          <w:sz w:val="21"/>
        </w:rPr>
      </w:pPr>
    </w:p>
    <w:p w14:paraId="55F18B59">
      <w:pPr>
        <w:spacing w:line="245" w:lineRule="auto"/>
        <w:rPr>
          <w:rFonts w:ascii="Arial"/>
          <w:sz w:val="21"/>
        </w:rPr>
      </w:pPr>
    </w:p>
    <w:p w14:paraId="2D21B65D">
      <w:pPr>
        <w:spacing w:line="245" w:lineRule="auto"/>
        <w:rPr>
          <w:rFonts w:ascii="Arial"/>
          <w:sz w:val="21"/>
        </w:rPr>
      </w:pPr>
    </w:p>
    <w:p w14:paraId="02411F71">
      <w:pPr>
        <w:spacing w:line="245" w:lineRule="auto"/>
        <w:rPr>
          <w:rFonts w:ascii="Arial"/>
          <w:sz w:val="21"/>
        </w:rPr>
      </w:pPr>
    </w:p>
    <w:p w14:paraId="601835BB">
      <w:pPr>
        <w:spacing w:line="245" w:lineRule="auto"/>
        <w:rPr>
          <w:rFonts w:ascii="Arial"/>
          <w:sz w:val="21"/>
        </w:rPr>
      </w:pPr>
    </w:p>
    <w:p w14:paraId="58C4DB80">
      <w:pPr>
        <w:spacing w:line="249" w:lineRule="auto"/>
        <w:rPr>
          <w:rFonts w:ascii="Arial"/>
          <w:sz w:val="21"/>
        </w:rPr>
      </w:pPr>
    </w:p>
    <w:p w14:paraId="7CB104A2">
      <w:pPr>
        <w:spacing w:line="249" w:lineRule="auto"/>
        <w:rPr>
          <w:rFonts w:ascii="Arial"/>
          <w:sz w:val="21"/>
        </w:rPr>
      </w:pPr>
    </w:p>
    <w:p w14:paraId="0CCAA13F">
      <w:pPr>
        <w:spacing w:line="249" w:lineRule="auto"/>
        <w:rPr>
          <w:rFonts w:ascii="Arial"/>
          <w:sz w:val="21"/>
        </w:rPr>
      </w:pPr>
    </w:p>
    <w:p w14:paraId="2E7125DF">
      <w:pPr>
        <w:spacing w:line="249" w:lineRule="auto"/>
        <w:rPr>
          <w:rFonts w:ascii="Arial"/>
          <w:sz w:val="21"/>
        </w:rPr>
      </w:pPr>
    </w:p>
    <w:p w14:paraId="7B633AFB">
      <w:pPr>
        <w:spacing w:line="249" w:lineRule="auto"/>
        <w:rPr>
          <w:rFonts w:ascii="Arial"/>
          <w:sz w:val="21"/>
        </w:rPr>
      </w:pPr>
    </w:p>
    <w:p w14:paraId="5DC6E44C">
      <w:pPr>
        <w:spacing w:line="249" w:lineRule="auto"/>
        <w:rPr>
          <w:rFonts w:ascii="Arial"/>
          <w:sz w:val="21"/>
        </w:rPr>
      </w:pPr>
    </w:p>
    <w:p w14:paraId="1271CBA6">
      <w:pPr>
        <w:spacing w:line="249" w:lineRule="auto"/>
        <w:rPr>
          <w:rFonts w:ascii="Arial"/>
          <w:sz w:val="21"/>
        </w:rPr>
      </w:pPr>
    </w:p>
    <w:p w14:paraId="25B9F311">
      <w:pPr>
        <w:spacing w:line="249" w:lineRule="auto"/>
        <w:rPr>
          <w:rFonts w:ascii="Arial"/>
          <w:sz w:val="21"/>
        </w:rPr>
      </w:pPr>
    </w:p>
    <w:p w14:paraId="58DCB05F">
      <w:pPr>
        <w:spacing w:line="250" w:lineRule="auto"/>
        <w:rPr>
          <w:rFonts w:ascii="Arial"/>
          <w:sz w:val="21"/>
        </w:rPr>
      </w:pPr>
    </w:p>
    <w:p w14:paraId="6B66941F">
      <w:pPr>
        <w:spacing w:line="250" w:lineRule="auto"/>
        <w:rPr>
          <w:rFonts w:ascii="Arial"/>
          <w:sz w:val="21"/>
        </w:rPr>
      </w:pPr>
    </w:p>
    <w:p w14:paraId="1E867356">
      <w:pPr>
        <w:spacing w:line="250" w:lineRule="auto"/>
        <w:rPr>
          <w:rFonts w:ascii="Arial"/>
          <w:sz w:val="21"/>
        </w:rPr>
      </w:pPr>
    </w:p>
    <w:p w14:paraId="70D2DC88">
      <w:pPr>
        <w:spacing w:line="250" w:lineRule="auto"/>
        <w:rPr>
          <w:rFonts w:ascii="Arial"/>
          <w:sz w:val="21"/>
        </w:rPr>
      </w:pPr>
    </w:p>
    <w:p w14:paraId="2F10C69B">
      <w:pPr>
        <w:spacing w:line="250" w:lineRule="auto"/>
        <w:rPr>
          <w:rFonts w:ascii="Arial"/>
          <w:sz w:val="21"/>
        </w:rPr>
      </w:pPr>
    </w:p>
    <w:p w14:paraId="34BAEF14">
      <w:pPr>
        <w:spacing w:line="250" w:lineRule="auto"/>
        <w:rPr>
          <w:rFonts w:ascii="Arial"/>
          <w:sz w:val="21"/>
        </w:rPr>
      </w:pPr>
    </w:p>
    <w:p w14:paraId="63F08E51">
      <w:pPr>
        <w:spacing w:line="250" w:lineRule="auto"/>
        <w:rPr>
          <w:rFonts w:ascii="Arial"/>
          <w:sz w:val="21"/>
        </w:rPr>
      </w:pPr>
    </w:p>
    <w:p w14:paraId="7B932D47">
      <w:pPr>
        <w:spacing w:line="360" w:lineRule="auto"/>
        <w:ind w:firstLine="840" w:firstLineChars="300"/>
        <w:rPr>
          <w:rFonts w:hint="eastAsia" w:ascii="Times New Roman" w:hAnsi="Times New Roman" w:eastAsia="宋体" w:cs="Times New Roman"/>
          <w:color w:val="000000"/>
          <w:sz w:val="28"/>
          <w:szCs w:val="28"/>
        </w:rPr>
      </w:pPr>
    </w:p>
    <w:p w14:paraId="7DCC6E90">
      <w:pPr>
        <w:spacing w:line="360" w:lineRule="auto"/>
        <w:ind w:firstLine="840" w:firstLineChars="300"/>
        <w:rPr>
          <w:rFonts w:hint="eastAsia" w:ascii="Times New Roman" w:hAnsi="Times New Roman" w:eastAsia="宋体" w:cs="Times New Roman"/>
          <w:color w:val="000000"/>
          <w:sz w:val="28"/>
          <w:szCs w:val="28"/>
        </w:rPr>
      </w:pPr>
    </w:p>
    <w:p w14:paraId="4B310FBE">
      <w:pPr>
        <w:spacing w:line="360" w:lineRule="auto"/>
        <w:ind w:firstLine="840" w:firstLineChars="300"/>
        <w:rPr>
          <w:rFonts w:hint="eastAsia" w:ascii="Times New Roman" w:hAnsi="Times New Roman" w:eastAsia="宋体" w:cs="Times New Roman"/>
          <w:color w:val="000000"/>
          <w:sz w:val="28"/>
          <w:szCs w:val="28"/>
        </w:rPr>
      </w:pPr>
    </w:p>
    <w:p w14:paraId="6230FA3E">
      <w:pPr>
        <w:spacing w:line="360" w:lineRule="auto"/>
        <w:ind w:firstLine="840" w:firstLineChars="300"/>
        <w:rPr>
          <w:rFonts w:hint="eastAsia" w:ascii="Times New Roman" w:hAnsi="Times New Roman" w:eastAsia="宋体" w:cs="Times New Roman"/>
          <w:color w:val="000000"/>
          <w:sz w:val="28"/>
          <w:szCs w:val="28"/>
        </w:rPr>
      </w:pPr>
    </w:p>
    <w:p w14:paraId="73540F28">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建设单位：</w:t>
      </w:r>
      <w:r>
        <w:rPr>
          <w:rFonts w:hint="eastAsia" w:ascii="Times New Roman" w:hAnsi="Times New Roman" w:eastAsia="宋体" w:cs="Times New Roman"/>
          <w:color w:val="000000"/>
          <w:sz w:val="28"/>
          <w:szCs w:val="28"/>
          <w:lang w:val="en-US" w:eastAsia="zh-CN"/>
        </w:rPr>
        <w:t>新疆生产建设兵团第十四师水利工程管理服务中心</w:t>
      </w:r>
    </w:p>
    <w:p w14:paraId="6B618A77">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编制单位：</w:t>
      </w:r>
      <w:r>
        <w:rPr>
          <w:rFonts w:hint="eastAsia" w:ascii="Times New Roman" w:hAnsi="Times New Roman" w:eastAsia="宋体" w:cs="Times New Roman"/>
          <w:color w:val="000000"/>
          <w:sz w:val="28"/>
          <w:szCs w:val="28"/>
          <w:lang w:val="en-US" w:eastAsia="zh-CN"/>
        </w:rPr>
        <w:t>新疆新农丽景环境工程咨询有限公司</w:t>
      </w:r>
    </w:p>
    <w:p w14:paraId="1C5A07BA">
      <w:pPr>
        <w:jc w:val="center"/>
        <w:rPr>
          <w:rFonts w:hint="default" w:ascii="Times New Roman" w:hAnsi="Times New Roman" w:eastAsia="宋体" w:cs="Times New Roman"/>
          <w:b w:val="0"/>
          <w:bCs/>
          <w:color w:val="000000"/>
          <w:sz w:val="28"/>
          <w:szCs w:val="28"/>
          <w:highlight w:val="none"/>
        </w:rPr>
      </w:pPr>
      <w:r>
        <w:rPr>
          <w:rFonts w:hint="default" w:ascii="Times New Roman" w:hAnsi="Times New Roman" w:eastAsia="宋体" w:cs="Times New Roman"/>
          <w:b w:val="0"/>
          <w:bCs/>
          <w:color w:val="000000"/>
          <w:sz w:val="28"/>
          <w:szCs w:val="28"/>
          <w:highlight w:val="none"/>
        </w:rPr>
        <w:t>20</w:t>
      </w:r>
      <w:r>
        <w:rPr>
          <w:rFonts w:hint="default" w:ascii="Times New Roman" w:hAnsi="Times New Roman" w:eastAsia="宋体" w:cs="Times New Roman"/>
          <w:b w:val="0"/>
          <w:bCs/>
          <w:color w:val="000000"/>
          <w:sz w:val="28"/>
          <w:szCs w:val="28"/>
          <w:highlight w:val="none"/>
          <w:lang w:val="en-US" w:eastAsia="zh-CN"/>
        </w:rPr>
        <w:t>2</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年</w:t>
      </w:r>
      <w:r>
        <w:rPr>
          <w:rFonts w:hint="eastAsia" w:ascii="Times New Roman" w:hAnsi="Times New Roman" w:eastAsia="宋体" w:cs="Times New Roman"/>
          <w:b w:val="0"/>
          <w:bCs/>
          <w:color w:val="000000"/>
          <w:sz w:val="28"/>
          <w:szCs w:val="28"/>
          <w:highlight w:val="none"/>
          <w:lang w:val="en-US" w:eastAsia="zh-CN"/>
        </w:rPr>
        <w:t>12</w:t>
      </w:r>
      <w:r>
        <w:rPr>
          <w:rFonts w:hint="default" w:ascii="Times New Roman" w:hAnsi="Times New Roman" w:eastAsia="宋体" w:cs="Times New Roman"/>
          <w:b w:val="0"/>
          <w:bCs/>
          <w:color w:val="000000"/>
          <w:sz w:val="28"/>
          <w:szCs w:val="28"/>
          <w:highlight w:val="none"/>
        </w:rPr>
        <w:t>月</w:t>
      </w:r>
    </w:p>
    <w:p w14:paraId="33A4A0FC">
      <w:pPr>
        <w:pStyle w:val="27"/>
        <w:jc w:val="center"/>
        <w:rPr>
          <w:rFonts w:hint="eastAsia"/>
          <w:b w:val="0"/>
          <w:bCs/>
          <w:color w:val="000000"/>
          <w:sz w:val="28"/>
          <w:szCs w:val="28"/>
        </w:rPr>
      </w:pPr>
    </w:p>
    <w:p w14:paraId="30FE559E">
      <w:pPr>
        <w:pStyle w:val="27"/>
        <w:rPr>
          <w:rFonts w:hint="eastAsia"/>
          <w:b w:val="0"/>
          <w:bCs/>
          <w:color w:val="000000"/>
          <w:sz w:val="28"/>
          <w:szCs w:val="28"/>
        </w:rPr>
      </w:pPr>
    </w:p>
    <w:p w14:paraId="496EF9A8">
      <w:pPr>
        <w:pStyle w:val="27"/>
        <w:rPr>
          <w:rFonts w:hint="eastAsia"/>
          <w:b w:val="0"/>
          <w:bCs/>
          <w:color w:val="000000"/>
          <w:sz w:val="28"/>
          <w:szCs w:val="28"/>
        </w:rPr>
      </w:pPr>
    </w:p>
    <w:p w14:paraId="480A4BC2">
      <w:pPr>
        <w:pStyle w:val="27"/>
        <w:rPr>
          <w:rFonts w:hint="eastAsia"/>
          <w:b w:val="0"/>
          <w:bCs/>
          <w:color w:val="000000"/>
          <w:sz w:val="28"/>
          <w:szCs w:val="28"/>
        </w:rPr>
      </w:pPr>
    </w:p>
    <w:p w14:paraId="126A92E4">
      <w:pPr>
        <w:rPr>
          <w:rFonts w:hint="eastAsia"/>
          <w:b w:val="0"/>
          <w:bCs/>
          <w:color w:val="000000"/>
          <w:sz w:val="28"/>
          <w:szCs w:val="28"/>
        </w:rPr>
      </w:pPr>
      <w:r>
        <w:rPr>
          <w:rFonts w:hint="eastAsia"/>
          <w:b w:val="0"/>
          <w:bCs/>
          <w:color w:val="000000"/>
          <w:sz w:val="28"/>
          <w:szCs w:val="28"/>
        </w:rPr>
        <w:br w:type="page"/>
      </w:r>
    </w:p>
    <w:p w14:paraId="2B6F6E85">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default" w:ascii="仿宋_GB2312" w:hAnsi="仿宋" w:eastAsia="仿宋_GB2312" w:cs="Times New Roman"/>
          <w:b/>
          <w:color w:val="000000"/>
          <w:sz w:val="28"/>
          <w:szCs w:val="28"/>
          <w:lang w:val="en-US" w:eastAsia="zh-CN"/>
        </w:rPr>
      </w:pPr>
      <w:r>
        <w:rPr>
          <w:rFonts w:hint="eastAsia" w:ascii="仿宋_GB2312" w:hAnsi="仿宋" w:eastAsia="仿宋_GB2312"/>
          <w:b/>
          <w:color w:val="000000"/>
          <w:sz w:val="28"/>
          <w:szCs w:val="28"/>
        </w:rPr>
        <w:t>建设单位：</w:t>
      </w:r>
      <w:r>
        <w:rPr>
          <w:rFonts w:hint="eastAsia" w:ascii="仿宋" w:hAnsi="仿宋" w:eastAsia="仿宋" w:cs="仿宋"/>
          <w:b/>
          <w:bCs w:val="0"/>
          <w:color w:val="000000"/>
          <w:sz w:val="28"/>
          <w:szCs w:val="28"/>
          <w:lang w:val="en-US" w:eastAsia="zh-CN"/>
        </w:rPr>
        <w:t>新疆生产建设兵团第十四师水利工程管理服务中心</w:t>
      </w:r>
    </w:p>
    <w:p w14:paraId="157ED724">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法人代表：          （签字）</w:t>
      </w:r>
    </w:p>
    <w:p w14:paraId="1F99630D">
      <w:pPr>
        <w:spacing w:line="480" w:lineRule="auto"/>
        <w:outlineLvl w:val="9"/>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编制单位：</w:t>
      </w:r>
      <w:r>
        <w:rPr>
          <w:rFonts w:hint="eastAsia" w:ascii="仿宋_GB2312" w:hAnsi="仿宋" w:eastAsia="仿宋_GB2312" w:cs="Times New Roman"/>
          <w:b/>
          <w:color w:val="000000"/>
          <w:sz w:val="28"/>
          <w:szCs w:val="28"/>
          <w:lang w:val="en-US" w:eastAsia="zh-CN"/>
        </w:rPr>
        <w:t>新疆新农丽景环境工程咨询有限公司</w:t>
      </w:r>
    </w:p>
    <w:p w14:paraId="4356FAD4">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lang w:eastAsia="zh-CN"/>
        </w:rPr>
        <w:drawing>
          <wp:anchor distT="0" distB="0" distL="114300" distR="114300" simplePos="0" relativeHeight="251675648" behindDoc="0" locked="0" layoutInCell="1" allowOverlap="1">
            <wp:simplePos x="0" y="0"/>
            <wp:positionH relativeFrom="column">
              <wp:posOffset>1554480</wp:posOffset>
            </wp:positionH>
            <wp:positionV relativeFrom="paragraph">
              <wp:posOffset>405765</wp:posOffset>
            </wp:positionV>
            <wp:extent cx="859155" cy="369570"/>
            <wp:effectExtent l="0" t="0" r="0" b="0"/>
            <wp:wrapNone/>
            <wp:docPr id="13" name="图片 13" descr="马秀兰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马秀兰签名"/>
                    <pic:cNvPicPr>
                      <a:picLocks noChangeAspect="1"/>
                    </pic:cNvPicPr>
                  </pic:nvPicPr>
                  <pic:blipFill>
                    <a:blip r:embed="rId22"/>
                    <a:stretch>
                      <a:fillRect/>
                    </a:stretch>
                  </pic:blipFill>
                  <pic:spPr>
                    <a:xfrm>
                      <a:off x="0" y="0"/>
                      <a:ext cx="859155" cy="369570"/>
                    </a:xfrm>
                    <a:prstGeom prst="rect">
                      <a:avLst/>
                    </a:prstGeom>
                  </pic:spPr>
                </pic:pic>
              </a:graphicData>
            </a:graphic>
          </wp:anchor>
        </w:drawing>
      </w:r>
      <w:r>
        <w:rPr>
          <w:rFonts w:hint="eastAsia" w:ascii="仿宋_GB2312" w:hAnsi="仿宋" w:eastAsia="仿宋_GB2312"/>
          <w:b/>
          <w:color w:val="000000"/>
          <w:sz w:val="28"/>
          <w:szCs w:val="28"/>
        </w:rPr>
        <w:t xml:space="preserve">法人代表： </w:t>
      </w:r>
      <w:r>
        <w:rPr>
          <w:rFonts w:hint="eastAsia" w:ascii="仿宋_GB2312" w:hAnsi="仿宋" w:eastAsia="仿宋_GB2312" w:cs="Times New Roman"/>
          <w:b/>
          <w:color w:val="000000"/>
          <w:sz w:val="28"/>
          <w:szCs w:val="28"/>
          <w:u w:val="none"/>
        </w:rPr>
        <w:drawing>
          <wp:anchor distT="0" distB="0" distL="114300" distR="114300" simplePos="0" relativeHeight="251674624" behindDoc="0" locked="0" layoutInCell="1" allowOverlap="1">
            <wp:simplePos x="0" y="0"/>
            <wp:positionH relativeFrom="column">
              <wp:posOffset>1097915</wp:posOffset>
            </wp:positionH>
            <wp:positionV relativeFrom="paragraph">
              <wp:posOffset>0</wp:posOffset>
            </wp:positionV>
            <wp:extent cx="942975" cy="377825"/>
            <wp:effectExtent l="0" t="0" r="9525" b="3175"/>
            <wp:wrapSquare wrapText="bothSides"/>
            <wp:docPr id="17" name="图片 17" descr="白慧敏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白慧敏签名"/>
                    <pic:cNvPicPr>
                      <a:picLocks noChangeAspect="1"/>
                    </pic:cNvPicPr>
                  </pic:nvPicPr>
                  <pic:blipFill>
                    <a:blip r:embed="rId23"/>
                    <a:stretch>
                      <a:fillRect/>
                    </a:stretch>
                  </pic:blipFill>
                  <pic:spPr>
                    <a:xfrm>
                      <a:off x="0" y="0"/>
                      <a:ext cx="942975" cy="377825"/>
                    </a:xfrm>
                    <a:prstGeom prst="rect">
                      <a:avLst/>
                    </a:prstGeom>
                  </pic:spPr>
                </pic:pic>
              </a:graphicData>
            </a:graphic>
          </wp:anchor>
        </w:drawing>
      </w:r>
      <w:r>
        <w:rPr>
          <w:rFonts w:hint="eastAsia" w:ascii="仿宋_GB2312" w:hAnsi="仿宋" w:eastAsia="仿宋_GB2312"/>
          <w:b/>
          <w:color w:val="000000"/>
          <w:sz w:val="28"/>
          <w:szCs w:val="28"/>
        </w:rPr>
        <w:t xml:space="preserve">         （签字）</w:t>
      </w:r>
    </w:p>
    <w:p w14:paraId="6AD91DC6">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 xml:space="preserve">项 目 负 责 人：    </w:t>
      </w:r>
    </w:p>
    <w:p w14:paraId="1CEE7CD6">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lang w:eastAsia="zh-CN"/>
        </w:rPr>
        <w:drawing>
          <wp:anchor distT="0" distB="0" distL="114300" distR="114300" simplePos="0" relativeHeight="251676672" behindDoc="0" locked="0" layoutInCell="1" allowOverlap="1">
            <wp:simplePos x="0" y="0"/>
            <wp:positionH relativeFrom="column">
              <wp:posOffset>1306830</wp:posOffset>
            </wp:positionH>
            <wp:positionV relativeFrom="paragraph">
              <wp:posOffset>397510</wp:posOffset>
            </wp:positionV>
            <wp:extent cx="859155" cy="369570"/>
            <wp:effectExtent l="0" t="0" r="0" b="0"/>
            <wp:wrapNone/>
            <wp:docPr id="18" name="图片 18" descr="马秀兰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马秀兰签名"/>
                    <pic:cNvPicPr>
                      <a:picLocks noChangeAspect="1"/>
                    </pic:cNvPicPr>
                  </pic:nvPicPr>
                  <pic:blipFill>
                    <a:blip r:embed="rId22"/>
                    <a:stretch>
                      <a:fillRect/>
                    </a:stretch>
                  </pic:blipFill>
                  <pic:spPr>
                    <a:xfrm>
                      <a:off x="0" y="0"/>
                      <a:ext cx="859155" cy="369570"/>
                    </a:xfrm>
                    <a:prstGeom prst="rect">
                      <a:avLst/>
                    </a:prstGeom>
                  </pic:spPr>
                </pic:pic>
              </a:graphicData>
            </a:graphic>
          </wp:anchor>
        </w:drawing>
      </w:r>
      <w:r>
        <w:rPr>
          <w:rFonts w:hint="eastAsia" w:ascii="仿宋_GB2312" w:hAnsi="仿宋" w:eastAsia="仿宋_GB2312"/>
          <w:b/>
          <w:color w:val="000000"/>
          <w:sz w:val="28"/>
          <w:szCs w:val="28"/>
        </w:rPr>
        <w:t>项目审核／审定人：</w:t>
      </w:r>
      <w:r>
        <w:rPr>
          <w:rFonts w:hint="eastAsia" w:ascii="宋体" w:hAnsi="宋体" w:eastAsia="宋体" w:cs="宋体"/>
          <w:b/>
          <w:color w:val="000000"/>
          <w:sz w:val="28"/>
          <w:szCs w:val="28"/>
          <w:lang w:eastAsia="zh-CN"/>
        </w:rPr>
        <w:drawing>
          <wp:anchor distT="0" distB="0" distL="114300" distR="114300" simplePos="0" relativeHeight="251677696" behindDoc="0" locked="0" layoutInCell="1" allowOverlap="1">
            <wp:simplePos x="0" y="0"/>
            <wp:positionH relativeFrom="column">
              <wp:posOffset>1691005</wp:posOffset>
            </wp:positionH>
            <wp:positionV relativeFrom="paragraph">
              <wp:posOffset>-105410</wp:posOffset>
            </wp:positionV>
            <wp:extent cx="904875" cy="409575"/>
            <wp:effectExtent l="0" t="0" r="0" b="8255"/>
            <wp:wrapNone/>
            <wp:docPr id="19" name="图片 19" descr="杨玲玲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杨玲玲签名"/>
                    <pic:cNvPicPr>
                      <a:picLocks noChangeAspect="1"/>
                    </pic:cNvPicPr>
                  </pic:nvPicPr>
                  <pic:blipFill>
                    <a:blip r:embed="rId24">
                      <a:clrChange>
                        <a:clrFrom>
                          <a:srgbClr val="FFFFFF">
                            <a:alpha val="100000"/>
                          </a:srgbClr>
                        </a:clrFrom>
                        <a:clrTo>
                          <a:srgbClr val="FFFFFF">
                            <a:alpha val="100000"/>
                            <a:alpha val="0"/>
                          </a:srgbClr>
                        </a:clrTo>
                      </a:clrChange>
                    </a:blip>
                    <a:stretch>
                      <a:fillRect/>
                    </a:stretch>
                  </pic:blipFill>
                  <pic:spPr>
                    <a:xfrm>
                      <a:off x="0" y="0"/>
                      <a:ext cx="904875" cy="409575"/>
                    </a:xfrm>
                    <a:prstGeom prst="rect">
                      <a:avLst/>
                    </a:prstGeom>
                  </pic:spPr>
                </pic:pic>
              </a:graphicData>
            </a:graphic>
          </wp:anchor>
        </w:drawing>
      </w:r>
    </w:p>
    <w:p w14:paraId="2CC06AE2">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 xml:space="preserve">报 告 编 写 人：  </w:t>
      </w:r>
    </w:p>
    <w:p w14:paraId="6229CCB0">
      <w:pPr>
        <w:pStyle w:val="27"/>
        <w:jc w:val="both"/>
      </w:pPr>
    </w:p>
    <w:p w14:paraId="6A7716C6">
      <w:pPr>
        <w:pStyle w:val="27"/>
      </w:pPr>
    </w:p>
    <w:p w14:paraId="0264FBEE">
      <w:pPr>
        <w:pStyle w:val="27"/>
      </w:pPr>
    </w:p>
    <w:tbl>
      <w:tblPr>
        <w:tblStyle w:val="21"/>
        <w:tblpPr w:leftFromText="180" w:rightFromText="180" w:vertAnchor="text" w:horzAnchor="page" w:tblpX="1235" w:tblpY="705"/>
        <w:tblOverlap w:val="never"/>
        <w:tblW w:w="9980" w:type="dxa"/>
        <w:tblInd w:w="0" w:type="dxa"/>
        <w:tblLayout w:type="fixed"/>
        <w:tblCellMar>
          <w:top w:w="0" w:type="dxa"/>
          <w:left w:w="108" w:type="dxa"/>
          <w:bottom w:w="0" w:type="dxa"/>
          <w:right w:w="108" w:type="dxa"/>
        </w:tblCellMar>
      </w:tblPr>
      <w:tblGrid>
        <w:gridCol w:w="4990"/>
        <w:gridCol w:w="4990"/>
      </w:tblGrid>
      <w:tr w14:paraId="49C2B575">
        <w:tblPrEx>
          <w:tblCellMar>
            <w:top w:w="0" w:type="dxa"/>
            <w:left w:w="108" w:type="dxa"/>
            <w:bottom w:w="0" w:type="dxa"/>
            <w:right w:w="108" w:type="dxa"/>
          </w:tblCellMar>
        </w:tblPrEx>
        <w:trPr>
          <w:trHeight w:val="1235" w:hRule="atLeast"/>
        </w:trPr>
        <w:tc>
          <w:tcPr>
            <w:tcW w:w="4990" w:type="dxa"/>
            <w:noWrap w:val="0"/>
            <w:vAlign w:val="center"/>
          </w:tcPr>
          <w:p w14:paraId="25332668">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建设单位：</w:t>
            </w:r>
          </w:p>
          <w:p w14:paraId="768E34F7">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both"/>
              <w:textAlignment w:val="baseline"/>
              <w:rPr>
                <w:rFonts w:hint="default" w:ascii="Times New Roman" w:hAnsi="Times New Roman" w:eastAsia="仿宋_GB2312" w:cs="Times New Roman"/>
                <w:color w:val="000000"/>
                <w:sz w:val="28"/>
                <w:lang w:val="en-US" w:eastAsia="zh-CN"/>
              </w:rPr>
            </w:pPr>
            <w:r>
              <w:rPr>
                <w:rFonts w:hint="eastAsia" w:ascii="仿宋" w:hAnsi="仿宋" w:eastAsia="仿宋" w:cs="仿宋"/>
                <w:color w:val="000000"/>
                <w:sz w:val="28"/>
                <w:szCs w:val="28"/>
                <w:lang w:val="en-US" w:eastAsia="zh-CN"/>
              </w:rPr>
              <w:t>新疆生产建设兵团第十四师水利工程管理服务中心</w:t>
            </w:r>
          </w:p>
        </w:tc>
        <w:tc>
          <w:tcPr>
            <w:tcW w:w="4990" w:type="dxa"/>
            <w:noWrap w:val="0"/>
            <w:vAlign w:val="center"/>
          </w:tcPr>
          <w:p w14:paraId="6987990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编制单位：</w:t>
            </w:r>
          </w:p>
          <w:p w14:paraId="492A7959">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新疆新农丽景环境工程咨询有限公司</w:t>
            </w:r>
          </w:p>
        </w:tc>
      </w:tr>
      <w:tr w14:paraId="068BC903">
        <w:tblPrEx>
          <w:tblCellMar>
            <w:top w:w="0" w:type="dxa"/>
            <w:left w:w="108" w:type="dxa"/>
            <w:bottom w:w="0" w:type="dxa"/>
            <w:right w:w="108" w:type="dxa"/>
          </w:tblCellMar>
        </w:tblPrEx>
        <w:trPr>
          <w:trHeight w:val="687" w:hRule="atLeast"/>
        </w:trPr>
        <w:tc>
          <w:tcPr>
            <w:tcW w:w="4990" w:type="dxa"/>
            <w:noWrap w:val="0"/>
            <w:vAlign w:val="center"/>
          </w:tcPr>
          <w:p w14:paraId="038A4468">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lang w:val="en-US"/>
              </w:rPr>
            </w:pPr>
            <w:r>
              <w:rPr>
                <w:rFonts w:hint="default" w:ascii="Times New Roman" w:hAnsi="Times New Roman" w:eastAsia="仿宋_GB2312" w:cs="Times New Roman"/>
                <w:color w:val="000000"/>
                <w:sz w:val="28"/>
              </w:rPr>
              <w:t>电话:</w:t>
            </w:r>
          </w:p>
        </w:tc>
        <w:tc>
          <w:tcPr>
            <w:tcW w:w="4990" w:type="dxa"/>
            <w:noWrap w:val="0"/>
            <w:vAlign w:val="center"/>
          </w:tcPr>
          <w:p w14:paraId="7AD96743">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电话: 19990627353</w:t>
            </w:r>
          </w:p>
        </w:tc>
      </w:tr>
      <w:tr w14:paraId="60F44F55">
        <w:tblPrEx>
          <w:tblCellMar>
            <w:top w:w="0" w:type="dxa"/>
            <w:left w:w="108" w:type="dxa"/>
            <w:bottom w:w="0" w:type="dxa"/>
            <w:right w:w="108" w:type="dxa"/>
          </w:tblCellMar>
        </w:tblPrEx>
        <w:trPr>
          <w:trHeight w:val="618" w:hRule="atLeast"/>
        </w:trPr>
        <w:tc>
          <w:tcPr>
            <w:tcW w:w="4990" w:type="dxa"/>
            <w:noWrap w:val="0"/>
            <w:vAlign w:val="center"/>
          </w:tcPr>
          <w:p w14:paraId="08AFF5B7">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p>
        </w:tc>
        <w:tc>
          <w:tcPr>
            <w:tcW w:w="4990" w:type="dxa"/>
            <w:noWrap w:val="0"/>
            <w:vAlign w:val="center"/>
          </w:tcPr>
          <w:p w14:paraId="0F6CAAA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 -</w:t>
            </w:r>
          </w:p>
        </w:tc>
      </w:tr>
      <w:tr w14:paraId="77B77D50">
        <w:tblPrEx>
          <w:tblCellMar>
            <w:top w:w="0" w:type="dxa"/>
            <w:left w:w="108" w:type="dxa"/>
            <w:bottom w:w="0" w:type="dxa"/>
            <w:right w:w="108" w:type="dxa"/>
          </w:tblCellMar>
        </w:tblPrEx>
        <w:trPr>
          <w:trHeight w:val="618" w:hRule="atLeast"/>
        </w:trPr>
        <w:tc>
          <w:tcPr>
            <w:tcW w:w="4990" w:type="dxa"/>
            <w:noWrap w:val="0"/>
            <w:vAlign w:val="center"/>
          </w:tcPr>
          <w:p w14:paraId="19A8A30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邮编:</w:t>
            </w:r>
          </w:p>
        </w:tc>
        <w:tc>
          <w:tcPr>
            <w:tcW w:w="4990" w:type="dxa"/>
            <w:noWrap w:val="0"/>
            <w:vAlign w:val="center"/>
          </w:tcPr>
          <w:p w14:paraId="2D3D3ED0">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rPr>
            </w:pPr>
            <w:r>
              <w:rPr>
                <w:rFonts w:hint="default" w:ascii="Times New Roman" w:hAnsi="Times New Roman" w:eastAsia="仿宋_GB2312" w:cs="Times New Roman"/>
                <w:color w:val="000000"/>
                <w:sz w:val="28"/>
                <w:lang w:val="en-US" w:eastAsia="zh-CN"/>
              </w:rPr>
              <w:t>邮编: 830002</w:t>
            </w:r>
          </w:p>
        </w:tc>
      </w:tr>
      <w:tr w14:paraId="0CEF7F9C">
        <w:tblPrEx>
          <w:tblCellMar>
            <w:top w:w="0" w:type="dxa"/>
            <w:left w:w="108" w:type="dxa"/>
            <w:bottom w:w="0" w:type="dxa"/>
            <w:right w:w="108" w:type="dxa"/>
          </w:tblCellMar>
        </w:tblPrEx>
        <w:trPr>
          <w:trHeight w:val="1320" w:hRule="atLeast"/>
        </w:trPr>
        <w:tc>
          <w:tcPr>
            <w:tcW w:w="4990" w:type="dxa"/>
            <w:noWrap w:val="0"/>
            <w:vAlign w:val="center"/>
          </w:tcPr>
          <w:p w14:paraId="249BF53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新疆昆玉市金沙路1</w:t>
            </w:r>
            <w:r>
              <w:rPr>
                <w:rFonts w:hint="default" w:ascii="Times New Roman" w:hAnsi="Times New Roman" w:eastAsia="仿宋_GB2312" w:cs="Times New Roman"/>
                <w:color w:val="auto"/>
                <w:sz w:val="28"/>
                <w:lang w:val="en-US" w:eastAsia="zh-CN"/>
              </w:rPr>
              <w:t>号</w:t>
            </w:r>
          </w:p>
        </w:tc>
        <w:tc>
          <w:tcPr>
            <w:tcW w:w="4990" w:type="dxa"/>
            <w:noWrap w:val="0"/>
            <w:vAlign w:val="center"/>
          </w:tcPr>
          <w:p w14:paraId="74B53A6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rPr>
            </w:pPr>
            <w:r>
              <w:rPr>
                <w:rFonts w:hint="default" w:ascii="Times New Roman" w:hAnsi="Times New Roman" w:eastAsia="仿宋_GB2312" w:cs="Times New Roman"/>
                <w:color w:val="000000"/>
                <w:sz w:val="28"/>
                <w:lang w:val="en-US" w:eastAsia="zh-CN"/>
              </w:rPr>
              <w:t>地址:</w:t>
            </w:r>
            <w:r>
              <w:rPr>
                <w:rFonts w:hint="default" w:ascii="Times New Roman" w:hAnsi="Times New Roman" w:eastAsia="仿宋_GB2312" w:cs="Times New Roman"/>
                <w:color w:val="000000"/>
                <w:sz w:val="28"/>
                <w:highlight w:val="none"/>
                <w:lang w:val="en-US" w:eastAsia="zh-CN"/>
              </w:rPr>
              <w:t>新疆乌鲁木齐市沙依巴克区农大东路311号新疆农业大学高层住宅楼十区4号楼1单元1-2608号房</w:t>
            </w:r>
          </w:p>
        </w:tc>
      </w:tr>
    </w:tbl>
    <w:p w14:paraId="1D39EB71">
      <w:pPr>
        <w:spacing w:line="265" w:lineRule="auto"/>
        <w:rPr>
          <w:rFonts w:ascii="Arial"/>
          <w:sz w:val="21"/>
        </w:rPr>
      </w:pPr>
    </w:p>
    <w:p w14:paraId="78DFA82F">
      <w:pPr>
        <w:spacing w:line="252" w:lineRule="auto"/>
        <w:rPr>
          <w:rFonts w:ascii="Arial"/>
          <w:sz w:val="21"/>
        </w:rPr>
      </w:pPr>
    </w:p>
    <w:p w14:paraId="4C4F65F0"/>
    <w:p w14:paraId="5133E7F0"/>
    <w:p w14:paraId="0C3EAB50">
      <w:pPr>
        <w:pStyle w:val="17"/>
        <w:sectPr>
          <w:headerReference r:id="rId5" w:type="default"/>
          <w:footerReference r:id="rId6" w:type="default"/>
          <w:pgSz w:w="11912" w:h="16841"/>
          <w:pgMar w:top="1803" w:right="1440" w:bottom="1633" w:left="1440" w:header="0" w:footer="0" w:gutter="0"/>
          <w:pgBorders>
            <w:top w:val="none" w:sz="0" w:space="0"/>
            <w:left w:val="none" w:sz="0" w:space="0"/>
            <w:bottom w:val="none" w:sz="0" w:space="0"/>
            <w:right w:val="none" w:sz="0" w:space="0"/>
          </w:pgBorders>
          <w:cols w:space="720" w:num="1"/>
        </w:sectPr>
      </w:pPr>
    </w:p>
    <w:p w14:paraId="1484938E">
      <w:pPr>
        <w:rPr>
          <w:rFonts w:hint="eastAsia" w:eastAsia="宋体"/>
          <w:lang w:eastAsia="zh-CN"/>
        </w:rPr>
      </w:pPr>
      <w:r>
        <w:rPr>
          <w:rFonts w:hint="eastAsia" w:eastAsia="宋体"/>
          <w:lang w:val="en-US" w:eastAsia="zh-CN"/>
        </w:rPr>
        <w:drawing>
          <wp:inline distT="0" distB="0" distL="114300" distR="114300">
            <wp:extent cx="2824480" cy="2373630"/>
            <wp:effectExtent l="0" t="0" r="13970" b="7620"/>
            <wp:docPr id="31" name="图片 31" descr="8325c7848bd8c80deb6c79c4e85c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8325c7848bd8c80deb6c79c4e85c9ca"/>
                    <pic:cNvPicPr>
                      <a:picLocks noChangeAspect="1"/>
                    </pic:cNvPicPr>
                  </pic:nvPicPr>
                  <pic:blipFill>
                    <a:blip r:embed="rId25"/>
                    <a:stretch>
                      <a:fillRect/>
                    </a:stretch>
                  </pic:blipFill>
                  <pic:spPr>
                    <a:xfrm>
                      <a:off x="0" y="0"/>
                      <a:ext cx="2824480" cy="2373630"/>
                    </a:xfrm>
                    <a:prstGeom prst="rect">
                      <a:avLst/>
                    </a:prstGeom>
                  </pic:spPr>
                </pic:pic>
              </a:graphicData>
            </a:graphic>
          </wp:inline>
        </w:drawing>
      </w:r>
      <w:r>
        <w:rPr>
          <w:rFonts w:hint="eastAsia" w:eastAsia="宋体"/>
          <w:lang w:val="en-US" w:eastAsia="zh-CN"/>
        </w:rPr>
        <w:t xml:space="preserve"> </w:t>
      </w:r>
      <w:r>
        <w:rPr>
          <w:rFonts w:hint="eastAsia" w:eastAsia="宋体"/>
          <w:lang w:eastAsia="zh-CN"/>
        </w:rPr>
        <w:drawing>
          <wp:inline distT="0" distB="0" distL="114300" distR="114300">
            <wp:extent cx="2835275" cy="2344420"/>
            <wp:effectExtent l="0" t="0" r="3175" b="17780"/>
            <wp:docPr id="21" name="图片 21" descr="9ea53cfb5bda4a204a2c15a159a4d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9ea53cfb5bda4a204a2c15a159a4dce"/>
                    <pic:cNvPicPr>
                      <a:picLocks noChangeAspect="1"/>
                    </pic:cNvPicPr>
                  </pic:nvPicPr>
                  <pic:blipFill>
                    <a:blip r:embed="rId26"/>
                    <a:stretch>
                      <a:fillRect/>
                    </a:stretch>
                  </pic:blipFill>
                  <pic:spPr>
                    <a:xfrm>
                      <a:off x="0" y="0"/>
                      <a:ext cx="2835275" cy="2344420"/>
                    </a:xfrm>
                    <a:prstGeom prst="rect">
                      <a:avLst/>
                    </a:prstGeom>
                  </pic:spPr>
                </pic:pic>
              </a:graphicData>
            </a:graphic>
          </wp:inline>
        </w:drawing>
      </w:r>
    </w:p>
    <w:p w14:paraId="66871BB0">
      <w:pPr>
        <w:pStyle w:val="17"/>
        <w:rPr>
          <w:rFonts w:hint="eastAsia" w:eastAsia="宋体"/>
          <w:lang w:eastAsia="zh-CN"/>
        </w:rPr>
      </w:pPr>
    </w:p>
    <w:p w14:paraId="11B78A3E">
      <w:pPr>
        <w:pStyle w:val="17"/>
        <w:rPr>
          <w:rFonts w:hint="eastAsia" w:eastAsia="宋体"/>
          <w:lang w:eastAsia="zh-CN"/>
        </w:rPr>
      </w:pPr>
      <w:r>
        <w:rPr>
          <w:sz w:val="32"/>
        </w:rPr>
        <mc:AlternateContent>
          <mc:Choice Requires="wps">
            <w:drawing>
              <wp:anchor distT="0" distB="0" distL="114300" distR="114300" simplePos="0" relativeHeight="251662336" behindDoc="0" locked="0" layoutInCell="1" allowOverlap="1">
                <wp:simplePos x="0" y="0"/>
                <wp:positionH relativeFrom="column">
                  <wp:posOffset>3756025</wp:posOffset>
                </wp:positionH>
                <wp:positionV relativeFrom="paragraph">
                  <wp:posOffset>35560</wp:posOffset>
                </wp:positionV>
                <wp:extent cx="1162685" cy="333375"/>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BE9DF2">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75pt;margin-top:2.8pt;height:26.25pt;width:91.55pt;z-index:251662336;mso-width-relative:page;mso-height-relative:page;" filled="f" stroked="f" coordsize="21600,21600" o:gfxdata="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qdAX/YAAAACAEAAA8AAAAAAAAAAQAgAAAAIgAAAGRycy9k&#10;b3ducmV2LnhtbFBLAQIUABQAAAAIAIdO4kAdQ4uAOwIAAGgEAAAOAAAAAAAAAAEAIAAAACcBAABk&#10;cnMvZTJvRG9jLnhtbFBLBQYAAAAABgAGAFkBAADUBQAAAAA=&#10;">
                <v:fill on="f" focussize="0,0"/>
                <v:stroke on="f" weight="0.5pt"/>
                <v:imagedata o:title=""/>
                <o:lock v:ext="edit" aspectratio="f"/>
                <v:textbox>
                  <w:txbxContent>
                    <w:p w14:paraId="21BE9DF2">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r>
        <w:rPr>
          <w:sz w:val="32"/>
        </w:rPr>
        <mc:AlternateContent>
          <mc:Choice Requires="wps">
            <w:drawing>
              <wp:anchor distT="0" distB="0" distL="114300" distR="114300" simplePos="0" relativeHeight="251661312" behindDoc="0" locked="0" layoutInCell="1" allowOverlap="1">
                <wp:simplePos x="0" y="0"/>
                <wp:positionH relativeFrom="column">
                  <wp:posOffset>770890</wp:posOffset>
                </wp:positionH>
                <wp:positionV relativeFrom="paragraph">
                  <wp:posOffset>18415</wp:posOffset>
                </wp:positionV>
                <wp:extent cx="1162685" cy="333375"/>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A616BD">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7pt;margin-top:1.45pt;height:26.25pt;width:91.55pt;z-index:251661312;mso-width-relative:page;mso-height-relative:page;" filled="f" stroked="f" coordsize="21600,21600" o:gfxdata="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X/TgH9kAAAAIAQAADwAAAAAAAAABACAAAAAiAAAAZHJz&#10;L2Rvd25yZXYueG1sUEsBAhQAFAAAAAgAh07iQHQtyoY8AgAAaAQAAA4AAAAAAAAAAQAgAAAAKAEA&#10;AGRycy9lMm9Eb2MueG1sUEsFBgAAAAAGAAYAWQEAANYFAAAAAA==&#10;">
                <v:fill on="f" focussize="0,0"/>
                <v:stroke on="f" weight="0.5pt"/>
                <v:imagedata o:title=""/>
                <o:lock v:ext="edit" aspectratio="f"/>
                <v:textbox>
                  <w:txbxContent>
                    <w:p w14:paraId="7EA616BD">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p>
    <w:p w14:paraId="594F7B25">
      <w:pPr>
        <w:rPr>
          <w:rFonts w:hint="eastAsia" w:eastAsia="宋体"/>
          <w:lang w:eastAsia="zh-CN"/>
        </w:rPr>
      </w:pPr>
    </w:p>
    <w:p w14:paraId="418EE512">
      <w:pPr>
        <w:pStyle w:val="20"/>
        <w:rPr>
          <w:rFonts w:hint="eastAsia"/>
          <w:lang w:eastAsia="zh-CN"/>
        </w:rPr>
      </w:pPr>
    </w:p>
    <w:p w14:paraId="55F0ECA7">
      <w:pPr>
        <w:pStyle w:val="17"/>
        <w:ind w:left="0" w:leftChars="0" w:firstLine="0" w:firstLineChars="0"/>
        <w:rPr>
          <w:rFonts w:hint="eastAsia"/>
          <w:lang w:eastAsia="zh-CN"/>
        </w:rPr>
        <w:sectPr>
          <w:pgSz w:w="11912" w:h="16841"/>
          <w:pgMar w:top="1803" w:right="1440" w:bottom="1633" w:left="1440" w:header="0" w:footer="0" w:gutter="0"/>
          <w:pgBorders>
            <w:top w:val="none" w:sz="0" w:space="0"/>
            <w:left w:val="none" w:sz="0" w:space="0"/>
            <w:bottom w:val="none" w:sz="0" w:space="0"/>
            <w:right w:val="none" w:sz="0" w:space="0"/>
          </w:pgBorders>
          <w:cols w:space="720" w:num="1"/>
        </w:sectPr>
      </w:pPr>
      <w:r>
        <w:rPr>
          <w:sz w:val="32"/>
        </w:rPr>
        <mc:AlternateContent>
          <mc:Choice Requires="wps">
            <w:drawing>
              <wp:anchor distT="0" distB="0" distL="114300" distR="114300" simplePos="0" relativeHeight="251664384" behindDoc="0" locked="0" layoutInCell="1" allowOverlap="1">
                <wp:simplePos x="0" y="0"/>
                <wp:positionH relativeFrom="column">
                  <wp:posOffset>3656330</wp:posOffset>
                </wp:positionH>
                <wp:positionV relativeFrom="paragraph">
                  <wp:posOffset>2448560</wp:posOffset>
                </wp:positionV>
                <wp:extent cx="1162685" cy="333375"/>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FC4034">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7.9pt;margin-top:192.8pt;height:26.25pt;width:91.55pt;z-index:251664384;mso-width-relative:page;mso-height-relative:page;" filled="f" stroked="f" coordsize="21600,21600" o:gfxdata="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WAz4twAAAALAQAADwAAAAAAAAABACAAAAAiAAAA&#10;ZHJzL2Rvd25yZXYueG1sUEsBAhQAFAAAAAgAh07iQIqnQcA8AgAAaAQAAA4AAAAAAAAAAQAgAAAA&#10;KwEAAGRycy9lMm9Eb2MueG1sUEsFBgAAAAAGAAYAWQEAANkFAAAAAA==&#10;">
                <v:fill on="f" focussize="0,0"/>
                <v:stroke on="f" weight="0.5pt"/>
                <v:imagedata o:title=""/>
                <o:lock v:ext="edit" aspectratio="f"/>
                <v:textbox>
                  <w:txbxContent>
                    <w:p w14:paraId="03FC4034">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r>
        <w:rPr>
          <w:sz w:val="32"/>
        </w:rPr>
        <mc:AlternateContent>
          <mc:Choice Requires="wps">
            <w:drawing>
              <wp:anchor distT="0" distB="0" distL="114300" distR="114300" simplePos="0" relativeHeight="251663360" behindDoc="0" locked="0" layoutInCell="1" allowOverlap="1">
                <wp:simplePos x="0" y="0"/>
                <wp:positionH relativeFrom="column">
                  <wp:posOffset>837565</wp:posOffset>
                </wp:positionH>
                <wp:positionV relativeFrom="paragraph">
                  <wp:posOffset>2451735</wp:posOffset>
                </wp:positionV>
                <wp:extent cx="1162685" cy="33337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20C5B0">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95pt;margin-top:193.05pt;height:26.25pt;width:91.55pt;z-index:251663360;mso-width-relative:page;mso-height-relative:page;" filled="f" stroked="f" coordsize="21600,21600" o:gfxdata="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Rcwwq2wAAAAsBAAAPAAAAAAAAAAEAIAAAACIAAABk&#10;cnMvZG93bnJldi54bWxQSwECFAAUAAAACACHTuJA48kAxjwCAABoBAAADgAAAAAAAAABACAAAAAq&#10;AQAAZHJzL2Uyb0RvYy54bWxQSwUGAAAAAAYABgBZAQAA2AUAAAAA&#10;">
                <v:fill on="f" focussize="0,0"/>
                <v:stroke on="f" weight="0.5pt"/>
                <v:imagedata o:title=""/>
                <o:lock v:ext="edit" aspectratio="f"/>
                <v:textbox>
                  <w:txbxContent>
                    <w:p w14:paraId="2D20C5B0">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r>
        <w:rPr>
          <w:rFonts w:hint="eastAsia" w:eastAsia="宋体"/>
          <w:lang w:val="en-US" w:eastAsia="zh-CN"/>
        </w:rPr>
        <w:drawing>
          <wp:inline distT="0" distB="0" distL="114300" distR="114300">
            <wp:extent cx="2826385" cy="2211705"/>
            <wp:effectExtent l="0" t="0" r="12065" b="17145"/>
            <wp:docPr id="33" name="图片 33" descr="2e492443745adc97b5125e955ea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e492443745adc97b5125e955ea3709"/>
                    <pic:cNvPicPr>
                      <a:picLocks noChangeAspect="1"/>
                    </pic:cNvPicPr>
                  </pic:nvPicPr>
                  <pic:blipFill>
                    <a:blip r:embed="rId27"/>
                    <a:stretch>
                      <a:fillRect/>
                    </a:stretch>
                  </pic:blipFill>
                  <pic:spPr>
                    <a:xfrm>
                      <a:off x="0" y="0"/>
                      <a:ext cx="2826385" cy="2211705"/>
                    </a:xfrm>
                    <a:prstGeom prst="rect">
                      <a:avLst/>
                    </a:prstGeom>
                  </pic:spPr>
                </pic:pic>
              </a:graphicData>
            </a:graphic>
          </wp:inline>
        </w:drawing>
      </w:r>
      <w:r>
        <w:rPr>
          <w:rFonts w:hint="eastAsia" w:eastAsia="宋体"/>
          <w:lang w:val="en-US" w:eastAsia="zh-CN"/>
        </w:rPr>
        <w:t xml:space="preserve"> </w:t>
      </w:r>
      <w:r>
        <w:rPr>
          <w:rFonts w:hint="eastAsia"/>
          <w:lang w:eastAsia="zh-CN"/>
        </w:rPr>
        <w:drawing>
          <wp:inline distT="0" distB="0" distL="114300" distR="114300">
            <wp:extent cx="2773680" cy="2221230"/>
            <wp:effectExtent l="0" t="0" r="7620" b="7620"/>
            <wp:docPr id="32" name="图片 32" descr="f96c8cc9cf5588baf42aa60d6a2c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f96c8cc9cf5588baf42aa60d6a2ce76"/>
                    <pic:cNvPicPr>
                      <a:picLocks noChangeAspect="1"/>
                    </pic:cNvPicPr>
                  </pic:nvPicPr>
                  <pic:blipFill>
                    <a:blip r:embed="rId28"/>
                    <a:stretch>
                      <a:fillRect/>
                    </a:stretch>
                  </pic:blipFill>
                  <pic:spPr>
                    <a:xfrm>
                      <a:off x="0" y="0"/>
                      <a:ext cx="2773680" cy="2221230"/>
                    </a:xfrm>
                    <a:prstGeom prst="rect">
                      <a:avLst/>
                    </a:prstGeom>
                  </pic:spPr>
                </pic:pic>
              </a:graphicData>
            </a:graphic>
          </wp:inline>
        </w:drawing>
      </w:r>
    </w:p>
    <w:sdt>
      <w:sdtPr>
        <w:rPr>
          <w:rFonts w:ascii="宋体" w:hAnsi="宋体" w:eastAsia="宋体" w:cs="Arial"/>
          <w:b w:val="0"/>
          <w:bCs w:val="0"/>
          <w:snapToGrid w:val="0"/>
          <w:color w:val="000000"/>
          <w:kern w:val="0"/>
          <w:sz w:val="32"/>
          <w:szCs w:val="32"/>
        </w:rPr>
        <w:id w:val="147468744"/>
        <w15:color w:val="DBDBDB"/>
        <w:docPartObj>
          <w:docPartGallery w:val="Table of Contents"/>
          <w:docPartUnique/>
        </w:docPartObj>
      </w:sdtPr>
      <w:sdtEndPr>
        <w:rPr>
          <w:rFonts w:ascii="Arial" w:hAnsi="Arial" w:eastAsia="Arial" w:cs="Arial"/>
          <w:b w:val="0"/>
          <w:bCs w:val="0"/>
          <w:snapToGrid w:val="0"/>
          <w:color w:val="000000"/>
          <w:kern w:val="0"/>
          <w:sz w:val="21"/>
          <w:szCs w:val="21"/>
        </w:rPr>
      </w:sdtEndPr>
      <w:sdtContent>
        <w:p w14:paraId="7CD277E1">
          <w:pPr>
            <w:keepNext w:val="0"/>
            <w:keepLines w:val="0"/>
            <w:pageBreakBefore w:val="0"/>
            <w:widowControl/>
            <w:kinsoku w:val="0"/>
            <w:wordWrap/>
            <w:overflowPunct/>
            <w:topLinePunct w:val="0"/>
            <w:autoSpaceDE w:val="0"/>
            <w:autoSpaceDN w:val="0"/>
            <w:bidi w:val="0"/>
            <w:adjustRightInd/>
            <w:snapToGrid/>
            <w:spacing w:before="0" w:beforeLines="0" w:after="0" w:afterLines="0" w:line="360" w:lineRule="auto"/>
            <w:ind w:left="0" w:leftChars="0" w:right="0" w:rightChars="0" w:firstLine="0" w:firstLineChars="0"/>
            <w:jc w:val="center"/>
            <w:textAlignment w:val="baseline"/>
            <w:rPr>
              <w:b w:val="0"/>
              <w:bCs w:val="0"/>
              <w:sz w:val="32"/>
              <w:szCs w:val="32"/>
            </w:rPr>
          </w:pPr>
          <w:r>
            <w:rPr>
              <w:rFonts w:ascii="宋体" w:hAnsi="宋体" w:eastAsia="宋体"/>
              <w:b w:val="0"/>
              <w:bCs w:val="0"/>
              <w:sz w:val="32"/>
              <w:szCs w:val="32"/>
            </w:rPr>
            <w:t>目录</w:t>
          </w:r>
        </w:p>
        <w:p w14:paraId="786958D9">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fldChar w:fldCharType="begin"/>
          </w:r>
          <w:r>
            <w:instrText xml:space="preserve">TOC \o "1-1" \h \u </w:instrText>
          </w:r>
          <w:r>
            <w:fldChar w:fldCharType="separate"/>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_Toc8323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表一 项目总体情况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_Toc8323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26BD4E47">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_Toc20221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表二 验收调查目的及原则</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_Toc20221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445C4A37">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_Toc13682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三</w:t>
          </w:r>
          <w:r>
            <w:rPr>
              <w:rFonts w:hint="default" w:ascii="Times New Roman" w:hAnsi="Times New Roman" w:eastAsia="宋体" w:cs="Times New Roman"/>
              <w:sz w:val="28"/>
              <w:szCs w:val="28"/>
            </w:rPr>
            <w:t xml:space="preserve"> 调查范围、因子、目标、重点</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_Toc13682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8</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272CA811">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_Toc731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四</w:t>
          </w:r>
          <w:r>
            <w:rPr>
              <w:rFonts w:hint="default" w:ascii="Times New Roman" w:hAnsi="Times New Roman" w:eastAsia="宋体" w:cs="Times New Roman"/>
              <w:sz w:val="28"/>
              <w:szCs w:val="28"/>
            </w:rPr>
            <w:t xml:space="preserve"> 验收执行标准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_Toc731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5A095112">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_Toc21753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五</w:t>
          </w:r>
          <w:r>
            <w:rPr>
              <w:rFonts w:hint="default" w:ascii="Times New Roman" w:hAnsi="Times New Roman" w:eastAsia="宋体" w:cs="Times New Roman"/>
              <w:sz w:val="28"/>
              <w:szCs w:val="28"/>
            </w:rPr>
            <w:t xml:space="preserve"> 工程概况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_Toc21753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38F1B5B8">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_Toc14720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表六 环境影响评价回顾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_Toc14720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5B990D17">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_Toc7541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表七 环境保护措施执行情况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_Toc7541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12F659CF">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_Toc5742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表八 环境影响调查</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_Toc5742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4D1D6743">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_Toc28838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表九 环境质量及污染源监测(附监测图)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_Toc28838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25A9F4A0">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_Toc14210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 环境管理状况及监测计划</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_Toc14210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4EE64BB6">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_Toc13206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表十一 调查结论及建议</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_Toc13206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39</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330A5CEC">
          <w:pPr>
            <w:sectPr>
              <w:pgSz w:w="11907" w:h="16839"/>
              <w:pgMar w:top="1803" w:right="1440" w:bottom="1633" w:left="1440" w:header="0" w:footer="0" w:gutter="0"/>
              <w:pgBorders>
                <w:top w:val="none" w:sz="0" w:space="0"/>
                <w:left w:val="none" w:sz="0" w:space="0"/>
                <w:bottom w:val="none" w:sz="0" w:space="0"/>
                <w:right w:val="none" w:sz="0" w:space="0"/>
              </w:pgBorders>
              <w:cols w:space="720" w:num="1"/>
            </w:sectPr>
          </w:pPr>
          <w:r>
            <w:fldChar w:fldCharType="end"/>
          </w:r>
        </w:p>
      </w:sdtContent>
    </w:sdt>
    <w:p w14:paraId="3C71F1CF">
      <w:pPr>
        <w:pStyle w:val="3"/>
        <w:bidi w:val="0"/>
        <w:rPr>
          <w:rFonts w:hint="default" w:ascii="Times New Roman" w:hAnsi="Times New Roman" w:cs="Times New Roman"/>
          <w:sz w:val="32"/>
          <w:szCs w:val="52"/>
        </w:rPr>
      </w:pPr>
      <w:bookmarkStart w:id="0" w:name="_Toc8323"/>
      <w:r>
        <w:rPr>
          <w:rFonts w:hint="default" w:ascii="Times New Roman" w:hAnsi="Times New Roman" w:cs="Times New Roman"/>
          <w:sz w:val="32"/>
          <w:szCs w:val="52"/>
        </w:rPr>
        <w:t>表一 项目总体情况</w:t>
      </w:r>
      <w:bookmarkEnd w:id="0"/>
    </w:p>
    <w:tbl>
      <w:tblPr>
        <w:tblStyle w:val="28"/>
        <w:tblW w:w="89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76"/>
        <w:gridCol w:w="1368"/>
        <w:gridCol w:w="804"/>
        <w:gridCol w:w="756"/>
        <w:gridCol w:w="1278"/>
        <w:gridCol w:w="1166"/>
        <w:gridCol w:w="1115"/>
      </w:tblGrid>
      <w:tr w14:paraId="378DC9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jc w:val="center"/>
        </w:trPr>
        <w:tc>
          <w:tcPr>
            <w:tcW w:w="2476" w:type="dxa"/>
            <w:vAlign w:val="center"/>
          </w:tcPr>
          <w:p w14:paraId="2EC15E0D">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项目名称</w:t>
            </w:r>
          </w:p>
        </w:tc>
        <w:tc>
          <w:tcPr>
            <w:tcW w:w="6487" w:type="dxa"/>
            <w:gridSpan w:val="6"/>
            <w:vAlign w:val="center"/>
          </w:tcPr>
          <w:p w14:paraId="37B0BDD1">
            <w:pPr>
              <w:keepNext w:val="0"/>
              <w:keepLines w:val="0"/>
              <w:pageBreakBefore w:val="0"/>
              <w:widowControl/>
              <w:kinsoku/>
              <w:wordWrap/>
              <w:overflowPunct/>
              <w:topLinePunct w:val="0"/>
              <w:autoSpaceDE/>
              <w:autoSpaceDN/>
              <w:bidi w:val="0"/>
              <w:adjustRightInd/>
              <w:snapToGrid/>
              <w:spacing w:after="0"/>
              <w:ind w:left="0" w:leftChars="0" w:right="0" w:rightChars="0"/>
              <w:jc w:val="center"/>
              <w:textAlignment w:val="baseline"/>
              <w:rPr>
                <w:rFonts w:hint="default" w:ascii="Times New Roman" w:hAnsi="Times New Roman" w:eastAsia="宋体" w:cs="Times New Roman"/>
                <w:sz w:val="24"/>
                <w:szCs w:val="24"/>
                <w:lang w:val="en-US" w:eastAsia="zh-CN"/>
              </w:rPr>
            </w:pPr>
            <w:r>
              <w:rPr>
                <w:rFonts w:hint="eastAsia" w:ascii="宋体" w:hAnsi="宋体" w:eastAsia="宋体" w:cs="宋体"/>
                <w:spacing w:val="-1"/>
                <w:sz w:val="24"/>
                <w:szCs w:val="24"/>
                <w:lang w:val="en-US" w:eastAsia="zh-CN"/>
              </w:rPr>
              <w:t>第十四师皮山农场污水资源化利用项目</w:t>
            </w:r>
          </w:p>
        </w:tc>
      </w:tr>
      <w:tr w14:paraId="43A550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476" w:type="dxa"/>
            <w:vAlign w:val="center"/>
          </w:tcPr>
          <w:p w14:paraId="122C823F">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建设单位</w:t>
            </w:r>
          </w:p>
        </w:tc>
        <w:tc>
          <w:tcPr>
            <w:tcW w:w="6487" w:type="dxa"/>
            <w:gridSpan w:val="6"/>
            <w:vAlign w:val="center"/>
          </w:tcPr>
          <w:p w14:paraId="2CA8E9E5">
            <w:pPr>
              <w:keepNext w:val="0"/>
              <w:keepLines w:val="0"/>
              <w:pageBreakBefore w:val="0"/>
              <w:widowControl/>
              <w:kinsoku/>
              <w:wordWrap/>
              <w:overflowPunct/>
              <w:topLinePunct w:val="0"/>
              <w:autoSpaceDE/>
              <w:autoSpaceDN/>
              <w:bidi w:val="0"/>
              <w:adjustRightInd/>
              <w:snapToGrid/>
              <w:spacing w:after="0"/>
              <w:ind w:left="0" w:leftChars="0" w:right="0" w:rightChars="0"/>
              <w:jc w:val="center"/>
              <w:textAlignment w:val="baseline"/>
              <w:rPr>
                <w:rFonts w:hint="default" w:ascii="Times New Roman" w:hAnsi="Times New Roman" w:eastAsia="宋体" w:cs="Times New Roman"/>
                <w:sz w:val="24"/>
                <w:szCs w:val="24"/>
                <w:lang w:val="en-US" w:eastAsia="zh-CN"/>
              </w:rPr>
            </w:pPr>
            <w:r>
              <w:rPr>
                <w:rFonts w:hint="eastAsia" w:ascii="宋体" w:hAnsi="宋体" w:eastAsia="宋体" w:cs="宋体"/>
                <w:color w:val="000000"/>
                <w:sz w:val="24"/>
                <w:szCs w:val="24"/>
                <w:lang w:val="en-US" w:eastAsia="zh-CN"/>
              </w:rPr>
              <w:t>新疆生产建设兵团第十四师水利工程管理服务中心</w:t>
            </w:r>
          </w:p>
        </w:tc>
      </w:tr>
      <w:tr w14:paraId="48F19A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2476" w:type="dxa"/>
            <w:vAlign w:val="center"/>
          </w:tcPr>
          <w:p w14:paraId="37B125FA">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法人</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代表</w:t>
            </w:r>
          </w:p>
        </w:tc>
        <w:tc>
          <w:tcPr>
            <w:tcW w:w="2928" w:type="dxa"/>
            <w:gridSpan w:val="3"/>
            <w:vAlign w:val="center"/>
          </w:tcPr>
          <w:p w14:paraId="114B2925">
            <w:pPr>
              <w:keepNext w:val="0"/>
              <w:keepLines w:val="0"/>
              <w:pageBreakBefore w:val="0"/>
              <w:widowControl/>
              <w:kinsoku/>
              <w:wordWrap/>
              <w:overflowPunct/>
              <w:topLinePunct w:val="0"/>
              <w:autoSpaceDE/>
              <w:autoSpaceDN/>
              <w:bidi w:val="0"/>
              <w:spacing w:before="62" w:line="221" w:lineRule="auto"/>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刘恢彪</w:t>
            </w:r>
          </w:p>
        </w:tc>
        <w:tc>
          <w:tcPr>
            <w:tcW w:w="1278" w:type="dxa"/>
            <w:vAlign w:val="center"/>
          </w:tcPr>
          <w:p w14:paraId="0841324E">
            <w:pPr>
              <w:keepNext w:val="0"/>
              <w:keepLines w:val="0"/>
              <w:pageBreakBefore w:val="0"/>
              <w:widowControl/>
              <w:kinsoku/>
              <w:wordWrap/>
              <w:overflowPunct/>
              <w:topLinePunct w:val="0"/>
              <w:autoSpaceDE/>
              <w:autoSpaceDN/>
              <w:bidi w:val="0"/>
              <w:spacing w:before="61" w:line="222" w:lineRule="auto"/>
              <w:ind w:left="229"/>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联</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人</w:t>
            </w:r>
          </w:p>
        </w:tc>
        <w:tc>
          <w:tcPr>
            <w:tcW w:w="2281" w:type="dxa"/>
            <w:gridSpan w:val="2"/>
            <w:vAlign w:val="center"/>
          </w:tcPr>
          <w:p w14:paraId="0DFF93F2">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刘万海</w:t>
            </w:r>
          </w:p>
        </w:tc>
      </w:tr>
      <w:tr w14:paraId="515A51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476" w:type="dxa"/>
            <w:vAlign w:val="center"/>
          </w:tcPr>
          <w:p w14:paraId="110EA226">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通讯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地址</w:t>
            </w:r>
          </w:p>
        </w:tc>
        <w:tc>
          <w:tcPr>
            <w:tcW w:w="6487" w:type="dxa"/>
            <w:gridSpan w:val="6"/>
            <w:vAlign w:val="center"/>
          </w:tcPr>
          <w:p w14:paraId="2B0AE5A1">
            <w:pPr>
              <w:keepNext w:val="0"/>
              <w:keepLines w:val="0"/>
              <w:pageBreakBefore w:val="0"/>
              <w:widowControl/>
              <w:kinsoku/>
              <w:wordWrap/>
              <w:overflowPunct/>
              <w:topLinePunct w:val="0"/>
              <w:autoSpaceDE/>
              <w:autoSpaceDN/>
              <w:bidi w:val="0"/>
              <w:spacing w:before="64" w:line="220" w:lineRule="auto"/>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新疆昆玉市金沙路1</w:t>
            </w:r>
            <w:r>
              <w:rPr>
                <w:rFonts w:hint="default" w:ascii="Times New Roman" w:hAnsi="Times New Roman" w:eastAsia="宋体" w:cs="Times New Roman"/>
                <w:color w:val="auto"/>
                <w:sz w:val="24"/>
                <w:szCs w:val="24"/>
                <w:lang w:val="en-US" w:eastAsia="zh-CN"/>
              </w:rPr>
              <w:t>号</w:t>
            </w:r>
          </w:p>
        </w:tc>
      </w:tr>
      <w:tr w14:paraId="3C1CB6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476" w:type="dxa"/>
            <w:vAlign w:val="center"/>
          </w:tcPr>
          <w:p w14:paraId="3A76D87A">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联系</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电话</w:t>
            </w:r>
          </w:p>
        </w:tc>
        <w:tc>
          <w:tcPr>
            <w:tcW w:w="2172" w:type="dxa"/>
            <w:gridSpan w:val="2"/>
            <w:vAlign w:val="center"/>
          </w:tcPr>
          <w:p w14:paraId="448DF1C3">
            <w:pPr>
              <w:keepNext w:val="0"/>
              <w:keepLines w:val="0"/>
              <w:pageBreakBefore w:val="0"/>
              <w:widowControl/>
              <w:suppressLineNumbers w:val="0"/>
              <w:kinsoku/>
              <w:wordWrap/>
              <w:overflowPunct/>
              <w:topLinePunct w:val="0"/>
              <w:autoSpaceDE/>
              <w:autoSpaceDN/>
              <w:bidi w:val="0"/>
              <w:adjustRightInd w:val="0"/>
              <w:snapToGrid w:val="0"/>
              <w:spacing w:line="360" w:lineRule="auto"/>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15292976867</w:t>
            </w:r>
          </w:p>
        </w:tc>
        <w:tc>
          <w:tcPr>
            <w:tcW w:w="756" w:type="dxa"/>
            <w:vAlign w:val="center"/>
          </w:tcPr>
          <w:p w14:paraId="16F3CFE6">
            <w:pPr>
              <w:keepNext w:val="0"/>
              <w:keepLines w:val="0"/>
              <w:pageBreakBefore w:val="0"/>
              <w:widowControl/>
              <w:kinsoku/>
              <w:wordWrap/>
              <w:overflowPunct/>
              <w:topLinePunct w:val="0"/>
              <w:autoSpaceDE/>
              <w:autoSpaceDN/>
              <w:bidi w:val="0"/>
              <w:spacing w:before="89" w:line="219" w:lineRule="auto"/>
              <w:ind w:left="237"/>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传</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真</w:t>
            </w:r>
          </w:p>
        </w:tc>
        <w:tc>
          <w:tcPr>
            <w:tcW w:w="1278" w:type="dxa"/>
            <w:vAlign w:val="center"/>
          </w:tcPr>
          <w:p w14:paraId="6DBC1C67">
            <w:pPr>
              <w:keepNext w:val="0"/>
              <w:keepLines w:val="0"/>
              <w:pageBreakBefore w:val="0"/>
              <w:widowControl/>
              <w:kinsoku/>
              <w:wordWrap/>
              <w:overflowPunct/>
              <w:topLinePunct w:val="0"/>
              <w:autoSpaceDE/>
              <w:autoSpaceDN/>
              <w:bidi w:val="0"/>
              <w:spacing w:before="129" w:line="232" w:lineRule="auto"/>
              <w:ind w:left="548"/>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c>
          <w:tcPr>
            <w:tcW w:w="1166" w:type="dxa"/>
            <w:vAlign w:val="center"/>
          </w:tcPr>
          <w:p w14:paraId="6E315CF5">
            <w:pPr>
              <w:keepNext w:val="0"/>
              <w:keepLines w:val="0"/>
              <w:pageBreakBefore w:val="0"/>
              <w:widowControl/>
              <w:kinsoku/>
              <w:wordWrap/>
              <w:overflowPunct/>
              <w:topLinePunct w:val="0"/>
              <w:autoSpaceDE/>
              <w:autoSpaceDN/>
              <w:bidi w:val="0"/>
              <w:adjustRightInd w:val="0"/>
              <w:snapToGrid w:val="0"/>
              <w:spacing w:line="221"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邮</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编</w:t>
            </w:r>
          </w:p>
        </w:tc>
        <w:tc>
          <w:tcPr>
            <w:tcW w:w="1115" w:type="dxa"/>
            <w:vAlign w:val="center"/>
          </w:tcPr>
          <w:p w14:paraId="3FE43235">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Times New Roman" w:cs="Times New Roman"/>
                <w:spacing w:val="-3"/>
                <w:sz w:val="24"/>
                <w:szCs w:val="24"/>
                <w:highlight w:val="none"/>
              </w:rPr>
              <w:t>8</w:t>
            </w:r>
            <w:r>
              <w:rPr>
                <w:rFonts w:hint="default" w:ascii="Times New Roman" w:hAnsi="Times New Roman" w:eastAsia="宋体" w:cs="Times New Roman"/>
                <w:spacing w:val="-2"/>
                <w:sz w:val="24"/>
                <w:szCs w:val="24"/>
                <w:highlight w:val="none"/>
                <w:lang w:val="en-US" w:eastAsia="zh-CN"/>
              </w:rPr>
              <w:t>48</w:t>
            </w:r>
            <w:r>
              <w:rPr>
                <w:rFonts w:hint="eastAsia" w:ascii="Times New Roman" w:hAnsi="Times New Roman" w:eastAsia="宋体" w:cs="Times New Roman"/>
                <w:spacing w:val="-2"/>
                <w:sz w:val="24"/>
                <w:szCs w:val="24"/>
                <w:highlight w:val="none"/>
                <w:lang w:val="en-US" w:eastAsia="zh-CN"/>
              </w:rPr>
              <w:t>116</w:t>
            </w:r>
          </w:p>
        </w:tc>
      </w:tr>
      <w:tr w14:paraId="74D1D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2476" w:type="dxa"/>
            <w:vAlign w:val="center"/>
          </w:tcPr>
          <w:p w14:paraId="55C83BF7">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建设地点</w:t>
            </w:r>
          </w:p>
        </w:tc>
        <w:tc>
          <w:tcPr>
            <w:tcW w:w="6487" w:type="dxa"/>
            <w:gridSpan w:val="6"/>
            <w:vAlign w:val="center"/>
          </w:tcPr>
          <w:p w14:paraId="64F069CF">
            <w:pPr>
              <w:keepNext w:val="0"/>
              <w:keepLines w:val="0"/>
              <w:pageBreakBefore w:val="0"/>
              <w:widowControl/>
              <w:suppressLineNumbers w:val="0"/>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新疆生产建设兵团第十四师皮山农场</w:t>
            </w:r>
          </w:p>
          <w:p w14:paraId="540E4F3B">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cs="Times New Roman"/>
                <w:color w:val="000000" w:themeColor="text1"/>
                <w:sz w:val="24"/>
                <w:szCs w:val="24"/>
                <w:lang w:val="en-US" w:eastAsia="zh-CN"/>
                <w14:textFill>
                  <w14:solidFill>
                    <w14:schemeClr w14:val="tx1"/>
                  </w14:solidFill>
                </w14:textFill>
              </w:rPr>
              <w:t>：E78°30′23.455″、N37°41′22.381″；</w:t>
            </w:r>
          </w:p>
          <w:p w14:paraId="0CDB3D1F">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输水管网起点：E78°30′9.783″、N37°41′28.753″；</w:t>
            </w:r>
          </w:p>
          <w:p w14:paraId="22BA2891">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1区输水管网终点：E78°28′21.655″、N37°41′41.422″；</w:t>
            </w:r>
          </w:p>
          <w:p w14:paraId="5EDEF014">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2区输水管网终点：E78°25′31.459″、N37°38′46.96″；</w:t>
            </w:r>
          </w:p>
          <w:p w14:paraId="08531B7A">
            <w:pPr>
              <w:keepNext w:val="0"/>
              <w:keepLines w:val="0"/>
              <w:pageBreakBefore w:val="0"/>
              <w:widowControl/>
              <w:suppressLineNumbers w:val="0"/>
              <w:kinsoku/>
              <w:wordWrap/>
              <w:overflowPunct/>
              <w:topLinePunct w:val="0"/>
              <w:autoSpaceDE/>
              <w:autoSpaceDN/>
              <w:bidi w:val="0"/>
              <w:jc w:val="center"/>
              <w:textAlignment w:val="baseline"/>
              <w:rPr>
                <w:rFonts w:hint="default" w:ascii="Times New Roman" w:hAnsi="Times New Roman" w:eastAsia="宋体" w:cs="Times New Roman"/>
                <w:sz w:val="24"/>
                <w:szCs w:val="24"/>
                <w:lang w:val="en-US"/>
              </w:rPr>
            </w:pPr>
            <w:r>
              <w:rPr>
                <w:rFonts w:hint="default" w:ascii="Times New Roman" w:hAnsi="Times New Roman" w:cs="Times New Roman"/>
                <w:color w:val="000000" w:themeColor="text1"/>
                <w:sz w:val="24"/>
                <w:szCs w:val="24"/>
                <w:lang w:val="en-US" w:eastAsia="zh-CN"/>
                <w14:textFill>
                  <w14:solidFill>
                    <w14:schemeClr w14:val="tx1"/>
                  </w14:solidFill>
                </w14:textFill>
              </w:rPr>
              <w:t>3区输水管网终点：E78°29′43.547″、N37°44′7.101″；</w:t>
            </w:r>
          </w:p>
        </w:tc>
      </w:tr>
      <w:tr w14:paraId="6CDF60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476" w:type="dxa"/>
            <w:vAlign w:val="center"/>
          </w:tcPr>
          <w:p w14:paraId="0024FC8A">
            <w:pPr>
              <w:keepNext w:val="0"/>
              <w:keepLines w:val="0"/>
              <w:pageBreakBefore w:val="0"/>
              <w:widowControl/>
              <w:kinsoku/>
              <w:wordWrap/>
              <w:overflowPunct/>
              <w:topLinePunct w:val="0"/>
              <w:autoSpaceDE/>
              <w:autoSpaceDN/>
              <w:bidi w:val="0"/>
              <w:spacing w:before="190" w:line="220" w:lineRule="auto"/>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项目性质</w:t>
            </w:r>
          </w:p>
        </w:tc>
        <w:tc>
          <w:tcPr>
            <w:tcW w:w="1368" w:type="dxa"/>
            <w:vAlign w:val="center"/>
          </w:tcPr>
          <w:p w14:paraId="78A3F42F">
            <w:pPr>
              <w:keepNext w:val="0"/>
              <w:keepLines w:val="0"/>
              <w:pageBreakBefore w:val="0"/>
              <w:widowControl/>
              <w:kinsoku/>
              <w:wordWrap/>
              <w:overflowPunct/>
              <w:topLinePunct w:val="0"/>
              <w:autoSpaceDE/>
              <w:autoSpaceDN/>
              <w:bidi w:val="0"/>
              <w:spacing w:before="190" w:line="220" w:lineRule="auto"/>
              <w:jc w:val="center"/>
              <w:textAlignment w:val="baseline"/>
              <w:rPr>
                <w:rFonts w:hint="default" w:ascii="Times New Roman" w:hAnsi="Times New Roman" w:eastAsia="宋体" w:cs="Times New Roman"/>
                <w:sz w:val="24"/>
                <w:szCs w:val="24"/>
                <w:lang w:eastAsia="zh-CN"/>
              </w:rPr>
            </w:pPr>
            <w:r>
              <w:rPr>
                <w:rFonts w:hint="eastAsia" w:ascii="Times New Roman" w:hAnsi="Times New Roman" w:eastAsia="宋体" w:cs="Times New Roman"/>
                <w:spacing w:val="-4"/>
                <w:sz w:val="24"/>
                <w:szCs w:val="24"/>
                <w:lang w:val="en-US" w:eastAsia="zh-CN"/>
              </w:rPr>
              <w:t>新</w:t>
            </w:r>
            <w:r>
              <w:rPr>
                <w:rFonts w:hint="default" w:ascii="Times New Roman" w:hAnsi="Times New Roman" w:eastAsia="宋体" w:cs="Times New Roman"/>
                <w:spacing w:val="-4"/>
                <w:sz w:val="24"/>
                <w:szCs w:val="24"/>
                <w:lang w:val="en-US" w:eastAsia="zh-CN"/>
              </w:rPr>
              <w:t>建</w:t>
            </w:r>
          </w:p>
        </w:tc>
        <w:tc>
          <w:tcPr>
            <w:tcW w:w="1560" w:type="dxa"/>
            <w:gridSpan w:val="2"/>
            <w:vAlign w:val="center"/>
          </w:tcPr>
          <w:p w14:paraId="05494F9E">
            <w:pPr>
              <w:keepNext w:val="0"/>
              <w:keepLines w:val="0"/>
              <w:pageBreakBefore w:val="0"/>
              <w:widowControl/>
              <w:kinsoku/>
              <w:wordWrap/>
              <w:overflowPunct/>
              <w:topLinePunct w:val="0"/>
              <w:autoSpaceDE/>
              <w:autoSpaceDN/>
              <w:bidi w:val="0"/>
              <w:spacing w:before="33" w:line="229" w:lineRule="auto"/>
              <w:ind w:left="452" w:right="197" w:hanging="239"/>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行</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业类</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别</w:t>
            </w:r>
          </w:p>
        </w:tc>
        <w:tc>
          <w:tcPr>
            <w:tcW w:w="3559" w:type="dxa"/>
            <w:gridSpan w:val="3"/>
            <w:vAlign w:val="center"/>
          </w:tcPr>
          <w:p w14:paraId="6698F5B1">
            <w:pPr>
              <w:keepNext w:val="0"/>
              <w:keepLines w:val="0"/>
              <w:pageBreakBefore w:val="0"/>
              <w:widowControl/>
              <w:kinsoku/>
              <w:wordWrap/>
              <w:overflowPunct/>
              <w:topLinePunct w:val="0"/>
              <w:autoSpaceDE/>
              <w:autoSpaceDN/>
              <w:bidi w:val="0"/>
              <w:adjustRightInd w:val="0"/>
              <w:snapToGrid w:val="0"/>
              <w:spacing w:line="240" w:lineRule="auto"/>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cs="Times New Roman"/>
                <w:color w:val="000000" w:themeColor="text1"/>
                <w:sz w:val="24"/>
                <w:szCs w:val="24"/>
                <w14:textFill>
                  <w14:solidFill>
                    <w14:schemeClr w14:val="tx1"/>
                  </w14:solidFill>
                </w14:textFill>
              </w:rPr>
              <w:t>四十三、水的生产和供应业 其他水的处理、利用与分配469</w:t>
            </w:r>
          </w:p>
        </w:tc>
      </w:tr>
      <w:tr w14:paraId="6B5467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476" w:type="dxa"/>
            <w:vAlign w:val="center"/>
          </w:tcPr>
          <w:p w14:paraId="62363529">
            <w:pPr>
              <w:keepNext w:val="0"/>
              <w:keepLines w:val="0"/>
              <w:pageBreakBefore w:val="0"/>
              <w:widowControl/>
              <w:kinsoku/>
              <w:wordWrap/>
              <w:overflowPunct/>
              <w:topLinePunct w:val="0"/>
              <w:autoSpaceDE/>
              <w:autoSpaceDN/>
              <w:bidi w:val="0"/>
              <w:spacing w:before="33" w:line="229" w:lineRule="auto"/>
              <w:ind w:left="1020" w:right="151" w:hanging="822"/>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响报告表名称</w:t>
            </w:r>
          </w:p>
        </w:tc>
        <w:tc>
          <w:tcPr>
            <w:tcW w:w="6487" w:type="dxa"/>
            <w:gridSpan w:val="6"/>
            <w:vAlign w:val="center"/>
          </w:tcPr>
          <w:p w14:paraId="293A2F79">
            <w:pPr>
              <w:keepNext w:val="0"/>
              <w:keepLines w:val="0"/>
              <w:pageBreakBefore w:val="0"/>
              <w:widowControl/>
              <w:kinsoku/>
              <w:wordWrap/>
              <w:overflowPunct/>
              <w:topLinePunct w:val="0"/>
              <w:autoSpaceDE/>
              <w:autoSpaceDN/>
              <w:bidi w:val="0"/>
              <w:spacing w:before="190" w:line="218" w:lineRule="auto"/>
              <w:jc w:val="center"/>
              <w:textAlignment w:val="baseline"/>
              <w:rPr>
                <w:rFonts w:hint="default" w:ascii="Times New Roman" w:hAnsi="Times New Roman" w:eastAsia="宋体" w:cs="Times New Roman"/>
                <w:sz w:val="24"/>
                <w:szCs w:val="24"/>
              </w:rPr>
            </w:pP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z w:val="24"/>
                <w:szCs w:val="24"/>
              </w:rPr>
              <w:t>环境影响报告表</w:t>
            </w:r>
          </w:p>
        </w:tc>
      </w:tr>
      <w:tr w14:paraId="1F8871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2476" w:type="dxa"/>
            <w:vAlign w:val="center"/>
          </w:tcPr>
          <w:p w14:paraId="12118906">
            <w:pPr>
              <w:keepNext w:val="0"/>
              <w:keepLines w:val="0"/>
              <w:pageBreakBefore w:val="0"/>
              <w:widowControl/>
              <w:kinsoku/>
              <w:wordWrap/>
              <w:overflowPunct/>
              <w:topLinePunct w:val="0"/>
              <w:autoSpaceDE/>
              <w:autoSpaceDN/>
              <w:bidi w:val="0"/>
              <w:spacing w:before="77" w:line="218" w:lineRule="auto"/>
              <w:ind w:left="198"/>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响评价单位</w:t>
            </w:r>
          </w:p>
        </w:tc>
        <w:tc>
          <w:tcPr>
            <w:tcW w:w="6487" w:type="dxa"/>
            <w:gridSpan w:val="6"/>
            <w:vAlign w:val="center"/>
          </w:tcPr>
          <w:p w14:paraId="01FA0685">
            <w:pPr>
              <w:keepNext w:val="0"/>
              <w:keepLines w:val="0"/>
              <w:pageBreakBefore w:val="0"/>
              <w:widowControl/>
              <w:kinsoku/>
              <w:wordWrap/>
              <w:overflowPunct/>
              <w:topLinePunct w:val="0"/>
              <w:autoSpaceDE/>
              <w:autoSpaceDN/>
              <w:bidi w:val="0"/>
              <w:spacing w:before="76" w:line="219" w:lineRule="auto"/>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auto"/>
                <w:sz w:val="24"/>
                <w:szCs w:val="24"/>
              </w:rPr>
              <w:t>新疆</w:t>
            </w:r>
            <w:r>
              <w:rPr>
                <w:rFonts w:hint="eastAsia" w:ascii="Times New Roman" w:hAnsi="Times New Roman" w:eastAsia="宋体"/>
                <w:color w:val="auto"/>
                <w:sz w:val="24"/>
                <w:szCs w:val="24"/>
                <w:lang w:val="en-US" w:eastAsia="zh-CN"/>
              </w:rPr>
              <w:t>祥达亿源环保科技</w:t>
            </w:r>
            <w:r>
              <w:rPr>
                <w:rFonts w:hint="eastAsia" w:ascii="Times New Roman" w:hAnsi="Times New Roman" w:eastAsia="宋体"/>
                <w:color w:val="auto"/>
                <w:sz w:val="24"/>
                <w:szCs w:val="24"/>
              </w:rPr>
              <w:t>有限公司</w:t>
            </w:r>
          </w:p>
        </w:tc>
      </w:tr>
      <w:tr w14:paraId="46EB63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jc w:val="center"/>
        </w:trPr>
        <w:tc>
          <w:tcPr>
            <w:tcW w:w="2476" w:type="dxa"/>
            <w:vAlign w:val="center"/>
          </w:tcPr>
          <w:p w14:paraId="31A0356E">
            <w:pPr>
              <w:keepNext w:val="0"/>
              <w:keepLines w:val="0"/>
              <w:pageBreakBefore w:val="0"/>
              <w:widowControl/>
              <w:kinsoku/>
              <w:wordWrap/>
              <w:overflowPunct/>
              <w:topLinePunct w:val="0"/>
              <w:autoSpaceDE/>
              <w:autoSpaceDN/>
              <w:bidi w:val="0"/>
              <w:spacing w:before="69" w:line="220" w:lineRule="auto"/>
              <w:ind w:left="44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初步设计单</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5C262498">
            <w:pPr>
              <w:keepNext w:val="0"/>
              <w:keepLines w:val="0"/>
              <w:pageBreakBefore w:val="0"/>
              <w:widowControl/>
              <w:kinsoku/>
              <w:wordWrap/>
              <w:overflowPunct/>
              <w:topLinePunct w:val="0"/>
              <w:autoSpaceDE/>
              <w:autoSpaceDN/>
              <w:bidi w:val="0"/>
              <w:spacing w:before="211" w:line="146" w:lineRule="exact"/>
              <w:ind w:left="3058"/>
              <w:jc w:val="center"/>
              <w:textAlignment w:val="baseline"/>
              <w:rPr>
                <w:rFonts w:hint="default" w:ascii="Times New Roman" w:hAnsi="Times New Roman" w:eastAsia="Times New Roman" w:cs="Times New Roman"/>
                <w:sz w:val="22"/>
                <w:szCs w:val="22"/>
              </w:rPr>
            </w:pPr>
            <w:r>
              <w:rPr>
                <w:rFonts w:hint="default" w:ascii="Times New Roman" w:hAnsi="Times New Roman" w:eastAsia="Times New Roman" w:cs="Times New Roman"/>
                <w:spacing w:val="-4"/>
                <w:position w:val="-1"/>
                <w:sz w:val="22"/>
                <w:szCs w:val="22"/>
              </w:rPr>
              <w:t>-</w:t>
            </w:r>
            <w:r>
              <w:rPr>
                <w:rFonts w:hint="default" w:ascii="Times New Roman" w:hAnsi="Times New Roman" w:eastAsia="Times New Roman" w:cs="Times New Roman"/>
                <w:spacing w:val="-2"/>
                <w:position w:val="-1"/>
                <w:sz w:val="22"/>
                <w:szCs w:val="22"/>
              </w:rPr>
              <w:t>-</w:t>
            </w:r>
          </w:p>
        </w:tc>
      </w:tr>
      <w:tr w14:paraId="47E89D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476" w:type="dxa"/>
            <w:vAlign w:val="center"/>
          </w:tcPr>
          <w:p w14:paraId="7D33923E">
            <w:pPr>
              <w:keepNext w:val="0"/>
              <w:keepLines w:val="0"/>
              <w:pageBreakBefore w:val="0"/>
              <w:widowControl/>
              <w:kinsoku/>
              <w:wordWrap/>
              <w:overflowPunct/>
              <w:topLinePunct w:val="0"/>
              <w:autoSpaceDE/>
              <w:autoSpaceDN/>
              <w:bidi w:val="0"/>
              <w:spacing w:before="35"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响评价审批</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部</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门</w:t>
            </w:r>
          </w:p>
        </w:tc>
        <w:tc>
          <w:tcPr>
            <w:tcW w:w="6487" w:type="dxa"/>
            <w:gridSpan w:val="6"/>
            <w:vAlign w:val="center"/>
          </w:tcPr>
          <w:p w14:paraId="00C1CAB3">
            <w:pPr>
              <w:keepNext w:val="0"/>
              <w:keepLines w:val="0"/>
              <w:pageBreakBefore w:val="0"/>
              <w:widowControl/>
              <w:kinsoku/>
              <w:wordWrap/>
              <w:overflowPunct/>
              <w:topLinePunct w:val="0"/>
              <w:autoSpaceDE/>
              <w:autoSpaceDN/>
              <w:bidi w:val="0"/>
              <w:spacing w:before="33" w:line="220" w:lineRule="auto"/>
              <w:jc w:val="center"/>
              <w:textAlignment w:val="baseline"/>
              <w:rPr>
                <w:rFonts w:hint="default"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z w:val="24"/>
                <w:szCs w:val="24"/>
                <w:lang w:val="en-US" w:eastAsia="zh-CN"/>
              </w:rPr>
              <w:t>新疆生产建设兵团第十四师昆玉市生态环境局</w:t>
            </w:r>
          </w:p>
          <w:p w14:paraId="3A3769B4">
            <w:pPr>
              <w:keepNext w:val="0"/>
              <w:keepLines w:val="0"/>
              <w:pageBreakBefore w:val="0"/>
              <w:widowControl/>
              <w:kinsoku/>
              <w:wordWrap/>
              <w:overflowPunct/>
              <w:topLinePunct w:val="0"/>
              <w:autoSpaceDE/>
              <w:autoSpaceDN/>
              <w:bidi w:val="0"/>
              <w:adjustRightInd w:val="0"/>
              <w:snapToGrid w:val="0"/>
              <w:spacing w:before="33" w:line="221" w:lineRule="auto"/>
              <w:jc w:val="center"/>
              <w:textAlignment w:val="baseline"/>
              <w:rPr>
                <w:rFonts w:hint="default" w:ascii="Times New Roman" w:hAnsi="Times New Roman" w:eastAsia="宋体" w:cs="Times New Roman"/>
                <w:sz w:val="24"/>
                <w:szCs w:val="24"/>
              </w:rPr>
            </w:pPr>
            <w:r>
              <w:rPr>
                <w:rFonts w:hint="eastAsia" w:ascii="宋体" w:hAnsi="宋体" w:eastAsia="宋体" w:cs="宋体"/>
                <w:color w:val="auto"/>
                <w:sz w:val="24"/>
                <w:szCs w:val="24"/>
                <w:lang w:val="en-US" w:eastAsia="zh-CN"/>
              </w:rPr>
              <w:t>十四</w:t>
            </w:r>
            <w:r>
              <w:rPr>
                <w:rFonts w:hint="eastAsia" w:ascii="Times New Roman" w:hAnsi="Times New Roman" w:eastAsia="宋体" w:cs="Times New Roman"/>
                <w:sz w:val="24"/>
                <w:szCs w:val="24"/>
                <w:lang w:val="en-US" w:eastAsia="zh-CN"/>
              </w:rPr>
              <w:t>师</w:t>
            </w:r>
            <w:r>
              <w:rPr>
                <w:rFonts w:hint="default" w:ascii="Times New Roman" w:hAnsi="Times New Roman" w:eastAsia="宋体" w:cs="Times New Roman"/>
                <w:sz w:val="24"/>
                <w:szCs w:val="24"/>
                <w:lang w:eastAsia="zh-CN"/>
              </w:rPr>
              <w:t>环</w:t>
            </w:r>
            <w:r>
              <w:rPr>
                <w:rFonts w:hint="eastAsia" w:ascii="Times New Roman" w:hAnsi="Times New Roman" w:eastAsia="宋体" w:cs="Times New Roman"/>
                <w:sz w:val="24"/>
                <w:szCs w:val="24"/>
                <w:lang w:val="en-US" w:eastAsia="zh-CN"/>
              </w:rPr>
              <w:t>发</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22</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号</w:t>
            </w:r>
          </w:p>
        </w:tc>
      </w:tr>
      <w:tr w14:paraId="47E1F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476" w:type="dxa"/>
            <w:vAlign w:val="center"/>
          </w:tcPr>
          <w:p w14:paraId="1A8D28DC">
            <w:pPr>
              <w:keepNext w:val="0"/>
              <w:keepLines w:val="0"/>
              <w:pageBreakBefore w:val="0"/>
              <w:widowControl/>
              <w:kinsoku/>
              <w:wordWrap/>
              <w:overflowPunct/>
              <w:topLinePunct w:val="0"/>
              <w:autoSpaceDE/>
              <w:autoSpaceDN/>
              <w:bidi w:val="0"/>
              <w:spacing w:before="65" w:line="220" w:lineRule="auto"/>
              <w:ind w:left="197"/>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设计审批部门</w:t>
            </w:r>
          </w:p>
        </w:tc>
        <w:tc>
          <w:tcPr>
            <w:tcW w:w="6487" w:type="dxa"/>
            <w:gridSpan w:val="6"/>
            <w:vAlign w:val="center"/>
          </w:tcPr>
          <w:p w14:paraId="791E2510">
            <w:pPr>
              <w:keepNext w:val="0"/>
              <w:keepLines w:val="0"/>
              <w:pageBreakBefore w:val="0"/>
              <w:widowControl/>
              <w:kinsoku/>
              <w:wordWrap/>
              <w:overflowPunct/>
              <w:topLinePunct w:val="0"/>
              <w:autoSpaceDE/>
              <w:autoSpaceDN/>
              <w:bidi w:val="0"/>
              <w:spacing w:before="105"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2F55D8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476" w:type="dxa"/>
            <w:vAlign w:val="center"/>
          </w:tcPr>
          <w:p w14:paraId="6AC24296">
            <w:pPr>
              <w:keepNext w:val="0"/>
              <w:keepLines w:val="0"/>
              <w:pageBreakBefore w:val="0"/>
              <w:widowControl/>
              <w:kinsoku/>
              <w:wordWrap/>
              <w:overflowPunct/>
              <w:topLinePunct w:val="0"/>
              <w:autoSpaceDE/>
              <w:autoSpaceDN/>
              <w:bidi w:val="0"/>
              <w:spacing w:before="35"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护设施设计</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3FC2682B">
            <w:pPr>
              <w:keepNext w:val="0"/>
              <w:keepLines w:val="0"/>
              <w:pageBreakBefore w:val="0"/>
              <w:widowControl/>
              <w:kinsoku/>
              <w:wordWrap/>
              <w:overflowPunct/>
              <w:topLinePunct w:val="0"/>
              <w:autoSpaceDE/>
              <w:autoSpaceDN/>
              <w:bidi w:val="0"/>
              <w:spacing w:before="231"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40EEA9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476" w:type="dxa"/>
            <w:vAlign w:val="center"/>
          </w:tcPr>
          <w:p w14:paraId="122FF871">
            <w:pPr>
              <w:keepNext w:val="0"/>
              <w:keepLines w:val="0"/>
              <w:pageBreakBefore w:val="0"/>
              <w:widowControl/>
              <w:kinsoku/>
              <w:wordWrap/>
              <w:overflowPunct/>
              <w:topLinePunct w:val="0"/>
              <w:autoSpaceDE/>
              <w:autoSpaceDN/>
              <w:bidi w:val="0"/>
              <w:spacing w:before="36"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护设施施工</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29A65916">
            <w:pPr>
              <w:keepNext w:val="0"/>
              <w:keepLines w:val="0"/>
              <w:pageBreakBefore w:val="0"/>
              <w:widowControl/>
              <w:kinsoku/>
              <w:wordWrap/>
              <w:overflowPunct/>
              <w:topLinePunct w:val="0"/>
              <w:autoSpaceDE/>
              <w:autoSpaceDN/>
              <w:bidi w:val="0"/>
              <w:spacing w:before="231"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36D805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476" w:type="dxa"/>
            <w:vAlign w:val="center"/>
          </w:tcPr>
          <w:p w14:paraId="5D859025">
            <w:pPr>
              <w:keepNext w:val="0"/>
              <w:keepLines w:val="0"/>
              <w:pageBreakBefore w:val="0"/>
              <w:widowControl/>
              <w:kinsoku/>
              <w:wordWrap/>
              <w:overflowPunct/>
              <w:topLinePunct w:val="0"/>
              <w:autoSpaceDE/>
              <w:autoSpaceDN/>
              <w:bidi w:val="0"/>
              <w:spacing w:before="35"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护设施监测</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030CEDB7">
            <w:pPr>
              <w:keepNext w:val="0"/>
              <w:keepLines w:val="0"/>
              <w:pageBreakBefore w:val="0"/>
              <w:widowControl/>
              <w:kinsoku/>
              <w:wordWrap/>
              <w:overflowPunct/>
              <w:topLinePunct w:val="0"/>
              <w:autoSpaceDE/>
              <w:autoSpaceDN/>
              <w:bidi w:val="0"/>
              <w:spacing w:before="231"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59B790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9" w:hRule="atLeast"/>
          <w:jc w:val="center"/>
        </w:trPr>
        <w:tc>
          <w:tcPr>
            <w:tcW w:w="2476" w:type="dxa"/>
            <w:vAlign w:val="center"/>
          </w:tcPr>
          <w:p w14:paraId="4897BEDC">
            <w:pPr>
              <w:keepNext w:val="0"/>
              <w:keepLines w:val="0"/>
              <w:pageBreakBefore w:val="0"/>
              <w:widowControl/>
              <w:kinsoku/>
              <w:wordWrap/>
              <w:overflowPunct/>
              <w:topLinePunct w:val="0"/>
              <w:autoSpaceDE/>
              <w:autoSpaceDN/>
              <w:bidi w:val="0"/>
              <w:spacing w:before="182" w:line="220" w:lineRule="auto"/>
              <w:ind w:left="12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11"/>
                <w:sz w:val="24"/>
                <w:szCs w:val="24"/>
                <w14:textOutline w14:w="4354" w14:cap="flat" w14:cmpd="sng">
                  <w14:solidFill>
                    <w14:srgbClr w14:val="000000"/>
                  </w14:solidFill>
                  <w14:prstDash w14:val="solid"/>
                  <w14:miter w14:val="0"/>
                </w14:textOutline>
              </w:rPr>
              <w:t>资总概算(万元)</w:t>
            </w:r>
          </w:p>
        </w:tc>
        <w:tc>
          <w:tcPr>
            <w:tcW w:w="1368" w:type="dxa"/>
            <w:vAlign w:val="center"/>
          </w:tcPr>
          <w:p w14:paraId="10A51ED0">
            <w:pPr>
              <w:keepNext w:val="0"/>
              <w:keepLines w:val="0"/>
              <w:pageBreakBefore w:val="0"/>
              <w:widowControl/>
              <w:kinsoku/>
              <w:wordWrap/>
              <w:overflowPunct/>
              <w:topLinePunct w:val="0"/>
              <w:autoSpaceDE/>
              <w:autoSpaceDN/>
              <w:bidi w:val="0"/>
              <w:spacing w:before="227" w:line="186" w:lineRule="auto"/>
              <w:ind w:left="37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6030.78</w:t>
            </w:r>
          </w:p>
        </w:tc>
        <w:tc>
          <w:tcPr>
            <w:tcW w:w="1560" w:type="dxa"/>
            <w:gridSpan w:val="2"/>
            <w:vMerge w:val="restart"/>
            <w:tcBorders>
              <w:bottom w:val="nil"/>
            </w:tcBorders>
            <w:vAlign w:val="center"/>
          </w:tcPr>
          <w:p w14:paraId="7F543F8D">
            <w:pPr>
              <w:keepNext w:val="0"/>
              <w:keepLines w:val="0"/>
              <w:pageBreakBefore w:val="0"/>
              <w:widowControl/>
              <w:kinsoku/>
              <w:wordWrap/>
              <w:overflowPunct/>
              <w:topLinePunct w:val="0"/>
              <w:autoSpaceDE/>
              <w:autoSpaceDN/>
              <w:bidi w:val="0"/>
              <w:spacing w:before="192" w:line="220" w:lineRule="auto"/>
              <w:ind w:left="15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其</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中：环境保</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护投资(</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278" w:type="dxa"/>
            <w:vAlign w:val="center"/>
          </w:tcPr>
          <w:p w14:paraId="56355957">
            <w:pPr>
              <w:keepNext w:val="0"/>
              <w:keepLines w:val="0"/>
              <w:pageBreakBefore w:val="0"/>
              <w:widowControl/>
              <w:kinsoku/>
              <w:wordWrap/>
              <w:overflowPunct/>
              <w:topLinePunct w:val="0"/>
              <w:autoSpaceDE/>
              <w:autoSpaceDN/>
              <w:bidi w:val="0"/>
              <w:spacing w:before="227" w:line="186" w:lineRule="auto"/>
              <w:ind w:left="444"/>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2180</w:t>
            </w:r>
          </w:p>
        </w:tc>
        <w:tc>
          <w:tcPr>
            <w:tcW w:w="1166" w:type="dxa"/>
            <w:vMerge w:val="restart"/>
            <w:tcBorders>
              <w:bottom w:val="nil"/>
            </w:tcBorders>
            <w:vAlign w:val="center"/>
          </w:tcPr>
          <w:p w14:paraId="6B197FF2">
            <w:pPr>
              <w:keepNext w:val="0"/>
              <w:keepLines w:val="0"/>
              <w:pageBreakBefore w:val="0"/>
              <w:widowControl/>
              <w:kinsoku/>
              <w:wordWrap/>
              <w:overflowPunct/>
              <w:topLinePunct w:val="0"/>
              <w:autoSpaceDE/>
              <w:autoSpaceDN/>
              <w:bidi w:val="0"/>
              <w:spacing w:before="35" w:line="234" w:lineRule="auto"/>
              <w:ind w:left="230" w:right="197" w:firstLine="2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境保</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护</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占</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比</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例</w:t>
            </w:r>
          </w:p>
        </w:tc>
        <w:tc>
          <w:tcPr>
            <w:tcW w:w="1115" w:type="dxa"/>
            <w:vAlign w:val="center"/>
          </w:tcPr>
          <w:p w14:paraId="79F5201E">
            <w:pPr>
              <w:keepNext w:val="0"/>
              <w:keepLines w:val="0"/>
              <w:pageBreakBefore w:val="0"/>
              <w:widowControl/>
              <w:kinsoku/>
              <w:wordWrap/>
              <w:overflowPunct/>
              <w:topLinePunct w:val="0"/>
              <w:autoSpaceDE/>
              <w:autoSpaceDN/>
              <w:bidi w:val="0"/>
              <w:spacing w:before="223" w:line="229" w:lineRule="auto"/>
              <w:ind w:left="194"/>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36.15</w:t>
            </w:r>
            <w:r>
              <w:rPr>
                <w:rFonts w:hint="eastAsia" w:ascii="Times New Roman" w:hAnsi="Times New Roman" w:eastAsia="宋体"/>
                <w:color w:val="000000"/>
                <w:sz w:val="24"/>
                <w:szCs w:val="24"/>
              </w:rPr>
              <w:t>%</w:t>
            </w:r>
          </w:p>
        </w:tc>
      </w:tr>
      <w:tr w14:paraId="1148AB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jc w:val="center"/>
        </w:trPr>
        <w:tc>
          <w:tcPr>
            <w:tcW w:w="2476" w:type="dxa"/>
            <w:vAlign w:val="center"/>
          </w:tcPr>
          <w:p w14:paraId="16D67237">
            <w:pPr>
              <w:keepNext w:val="0"/>
              <w:keepLines w:val="0"/>
              <w:pageBreakBefore w:val="0"/>
              <w:widowControl/>
              <w:kinsoku/>
              <w:wordWrap/>
              <w:overflowPunct/>
              <w:topLinePunct w:val="0"/>
              <w:autoSpaceDE/>
              <w:autoSpaceDN/>
              <w:bidi w:val="0"/>
              <w:spacing w:before="42" w:line="229" w:lineRule="auto"/>
              <w:ind w:left="902" w:right="122" w:hanging="78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实</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际投资总概算(万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368" w:type="dxa"/>
            <w:vAlign w:val="center"/>
          </w:tcPr>
          <w:p w14:paraId="25031758">
            <w:pPr>
              <w:keepNext w:val="0"/>
              <w:keepLines w:val="0"/>
              <w:pageBreakBefore w:val="0"/>
              <w:widowControl/>
              <w:kinsoku/>
              <w:wordWrap/>
              <w:overflowPunct/>
              <w:topLinePunct w:val="0"/>
              <w:autoSpaceDE/>
              <w:autoSpaceDN/>
              <w:bidi w:val="0"/>
              <w:spacing w:before="241" w:line="186" w:lineRule="auto"/>
              <w:ind w:left="37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6030.78</w:t>
            </w:r>
          </w:p>
        </w:tc>
        <w:tc>
          <w:tcPr>
            <w:tcW w:w="1560" w:type="dxa"/>
            <w:gridSpan w:val="2"/>
            <w:vMerge w:val="continue"/>
            <w:tcBorders>
              <w:top w:val="nil"/>
            </w:tcBorders>
            <w:vAlign w:val="center"/>
          </w:tcPr>
          <w:p w14:paraId="034D975D">
            <w:pPr>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sz w:val="21"/>
              </w:rPr>
            </w:pPr>
          </w:p>
        </w:tc>
        <w:tc>
          <w:tcPr>
            <w:tcW w:w="1278" w:type="dxa"/>
            <w:vAlign w:val="center"/>
          </w:tcPr>
          <w:p w14:paraId="6624351F">
            <w:pPr>
              <w:keepNext w:val="0"/>
              <w:keepLines w:val="0"/>
              <w:pageBreakBefore w:val="0"/>
              <w:widowControl/>
              <w:kinsoku/>
              <w:wordWrap/>
              <w:overflowPunct/>
              <w:topLinePunct w:val="0"/>
              <w:autoSpaceDE/>
              <w:autoSpaceDN/>
              <w:bidi w:val="0"/>
              <w:spacing w:before="241" w:line="186" w:lineRule="auto"/>
              <w:ind w:left="449"/>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2180</w:t>
            </w:r>
          </w:p>
        </w:tc>
        <w:tc>
          <w:tcPr>
            <w:tcW w:w="1166" w:type="dxa"/>
            <w:vMerge w:val="continue"/>
            <w:tcBorders>
              <w:top w:val="nil"/>
            </w:tcBorders>
            <w:vAlign w:val="center"/>
          </w:tcPr>
          <w:p w14:paraId="558D0CB2">
            <w:pPr>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sz w:val="21"/>
              </w:rPr>
            </w:pPr>
          </w:p>
        </w:tc>
        <w:tc>
          <w:tcPr>
            <w:tcW w:w="1115" w:type="dxa"/>
            <w:vAlign w:val="center"/>
          </w:tcPr>
          <w:p w14:paraId="545A9535">
            <w:pPr>
              <w:keepNext w:val="0"/>
              <w:keepLines w:val="0"/>
              <w:pageBreakBefore w:val="0"/>
              <w:widowControl/>
              <w:kinsoku/>
              <w:wordWrap/>
              <w:overflowPunct/>
              <w:topLinePunct w:val="0"/>
              <w:autoSpaceDE/>
              <w:autoSpaceDN/>
              <w:bidi w:val="0"/>
              <w:spacing w:before="237" w:line="229" w:lineRule="auto"/>
              <w:ind w:left="194"/>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36.15</w:t>
            </w:r>
            <w:r>
              <w:rPr>
                <w:rFonts w:hint="eastAsia" w:ascii="Times New Roman" w:hAnsi="Times New Roman" w:eastAsia="宋体"/>
                <w:color w:val="000000"/>
                <w:sz w:val="24"/>
                <w:szCs w:val="24"/>
              </w:rPr>
              <w:t>%</w:t>
            </w:r>
          </w:p>
        </w:tc>
      </w:tr>
      <w:tr w14:paraId="06763E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jc w:val="center"/>
        </w:trPr>
        <w:tc>
          <w:tcPr>
            <w:tcW w:w="2476" w:type="dxa"/>
            <w:vAlign w:val="center"/>
          </w:tcPr>
          <w:p w14:paraId="0515EAEE">
            <w:pPr>
              <w:keepNext w:val="0"/>
              <w:keepLines w:val="0"/>
              <w:pageBreakBefore w:val="0"/>
              <w:widowControl/>
              <w:kinsoku/>
              <w:wordWrap/>
              <w:overflowPunct/>
              <w:topLinePunct w:val="0"/>
              <w:autoSpaceDE/>
              <w:autoSpaceDN/>
              <w:bidi w:val="0"/>
              <w:spacing w:before="78" w:line="220" w:lineRule="auto"/>
              <w:ind w:left="423"/>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设计生</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产能力</w:t>
            </w:r>
          </w:p>
        </w:tc>
        <w:tc>
          <w:tcPr>
            <w:tcW w:w="2928" w:type="dxa"/>
            <w:gridSpan w:val="3"/>
            <w:vAlign w:val="center"/>
          </w:tcPr>
          <w:p w14:paraId="609D02C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baseline"/>
              <w:rPr>
                <w:rFonts w:hint="default" w:ascii="Times New Roman" w:hAnsi="Times New Roman" w:eastAsia="宋体" w:cs="Times New Roman"/>
                <w:sz w:val="24"/>
                <w:szCs w:val="24"/>
                <w:lang w:val="en-US"/>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1座中水储库容积70万m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，1座提水泵站，库前引水管，输水管网及辅助工程</w:t>
            </w:r>
          </w:p>
        </w:tc>
        <w:tc>
          <w:tcPr>
            <w:tcW w:w="1278" w:type="dxa"/>
            <w:vAlign w:val="center"/>
          </w:tcPr>
          <w:p w14:paraId="34B383AB">
            <w:pPr>
              <w:keepNext w:val="0"/>
              <w:keepLines w:val="0"/>
              <w:pageBreakBefore w:val="0"/>
              <w:widowControl/>
              <w:kinsoku/>
              <w:wordWrap/>
              <w:overflowPunct/>
              <w:topLinePunct w:val="0"/>
              <w:autoSpaceDE/>
              <w:autoSpaceDN/>
              <w:bidi w:val="0"/>
              <w:spacing w:before="39" w:line="220" w:lineRule="auto"/>
              <w:ind w:left="212"/>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建</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17"/>
                <w:sz w:val="24"/>
                <w:szCs w:val="24"/>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时</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间</w:t>
            </w:r>
          </w:p>
        </w:tc>
        <w:tc>
          <w:tcPr>
            <w:tcW w:w="2281" w:type="dxa"/>
            <w:gridSpan w:val="2"/>
            <w:vAlign w:val="center"/>
          </w:tcPr>
          <w:p w14:paraId="51B3E3F1">
            <w:pPr>
              <w:keepNext w:val="0"/>
              <w:keepLines w:val="0"/>
              <w:pageBreakBefore w:val="0"/>
              <w:widowControl/>
              <w:kinsoku/>
              <w:wordWrap/>
              <w:overflowPunct/>
              <w:topLinePunct w:val="0"/>
              <w:autoSpaceDE/>
              <w:autoSpaceDN/>
              <w:bidi w:val="0"/>
              <w:spacing w:before="78" w:line="220" w:lineRule="auto"/>
              <w:ind w:left="541"/>
              <w:jc w:val="center"/>
              <w:textAlignment w:val="baseline"/>
              <w:rPr>
                <w:rFonts w:hint="default" w:ascii="Times New Roman" w:hAnsi="Times New Roman" w:eastAsia="宋体" w:cs="Times New Roman"/>
                <w:sz w:val="24"/>
                <w:szCs w:val="24"/>
                <w:highlight w:val="yellow"/>
              </w:rPr>
            </w:pPr>
            <w:r>
              <w:rPr>
                <w:rFonts w:hint="default" w:ascii="Times New Roman" w:hAnsi="Times New Roman" w:eastAsia="Times New Roman" w:cs="Times New Roman"/>
                <w:spacing w:val="-1"/>
                <w:sz w:val="24"/>
                <w:szCs w:val="24"/>
                <w:highlight w:val="none"/>
              </w:rPr>
              <w:t>202</w:t>
            </w:r>
            <w:r>
              <w:rPr>
                <w:rFonts w:hint="eastAsia" w:ascii="Times New Roman" w:hAnsi="Times New Roman" w:eastAsia="宋体" w:cs="Times New Roman"/>
                <w:spacing w:val="-1"/>
                <w:sz w:val="24"/>
                <w:szCs w:val="24"/>
                <w:highlight w:val="none"/>
                <w:lang w:val="en-US" w:eastAsia="zh-CN"/>
              </w:rPr>
              <w:t>4</w:t>
            </w:r>
            <w:r>
              <w:rPr>
                <w:rFonts w:hint="default" w:ascii="Times New Roman" w:hAnsi="Times New Roman" w:eastAsia="宋体" w:cs="Times New Roman"/>
                <w:spacing w:val="-1"/>
                <w:sz w:val="24"/>
                <w:szCs w:val="24"/>
                <w:highlight w:val="none"/>
              </w:rPr>
              <w:t>年</w:t>
            </w:r>
            <w:r>
              <w:rPr>
                <w:rFonts w:hint="eastAsia" w:ascii="Times New Roman" w:hAnsi="Times New Roman" w:eastAsia="宋体" w:cs="Times New Roman"/>
                <w:spacing w:val="-1"/>
                <w:sz w:val="24"/>
                <w:szCs w:val="24"/>
                <w:highlight w:val="none"/>
                <w:lang w:val="en-US" w:eastAsia="zh-CN"/>
              </w:rPr>
              <w:t>1</w:t>
            </w:r>
            <w:r>
              <w:rPr>
                <w:rFonts w:hint="default" w:ascii="Times New Roman" w:hAnsi="Times New Roman" w:eastAsia="宋体" w:cs="Times New Roman"/>
                <w:sz w:val="24"/>
                <w:szCs w:val="24"/>
                <w:highlight w:val="none"/>
              </w:rPr>
              <w:t>月</w:t>
            </w:r>
          </w:p>
        </w:tc>
      </w:tr>
      <w:tr w14:paraId="185F84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1" w:hRule="atLeast"/>
          <w:jc w:val="center"/>
        </w:trPr>
        <w:tc>
          <w:tcPr>
            <w:tcW w:w="2476" w:type="dxa"/>
            <w:vAlign w:val="center"/>
          </w:tcPr>
          <w:p w14:paraId="6639D545">
            <w:pPr>
              <w:keepNext w:val="0"/>
              <w:keepLines w:val="0"/>
              <w:pageBreakBefore w:val="0"/>
              <w:widowControl/>
              <w:kinsoku/>
              <w:wordWrap/>
              <w:overflowPunct/>
              <w:topLinePunct w:val="0"/>
              <w:autoSpaceDE/>
              <w:autoSpaceDN/>
              <w:bidi w:val="0"/>
              <w:spacing w:before="78" w:line="220" w:lineRule="auto"/>
              <w:ind w:left="42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实际生产能</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力</w:t>
            </w:r>
          </w:p>
        </w:tc>
        <w:tc>
          <w:tcPr>
            <w:tcW w:w="2928" w:type="dxa"/>
            <w:gridSpan w:val="3"/>
            <w:vAlign w:val="center"/>
          </w:tcPr>
          <w:p w14:paraId="1E45BC9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1座中水储库容积70万m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，1座提水泵站，库前引水管，输水管网及辅助工程</w:t>
            </w:r>
          </w:p>
        </w:tc>
        <w:tc>
          <w:tcPr>
            <w:tcW w:w="1278" w:type="dxa"/>
            <w:vAlign w:val="center"/>
          </w:tcPr>
          <w:p w14:paraId="06379EEB">
            <w:pPr>
              <w:keepNext w:val="0"/>
              <w:keepLines w:val="0"/>
              <w:pageBreakBefore w:val="0"/>
              <w:widowControl/>
              <w:kinsoku/>
              <w:wordWrap/>
              <w:overflowPunct/>
              <w:topLinePunct w:val="0"/>
              <w:autoSpaceDE/>
              <w:autoSpaceDN/>
              <w:bidi w:val="0"/>
              <w:spacing w:before="37" w:line="220" w:lineRule="auto"/>
              <w:ind w:left="212"/>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入试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行时</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间</w:t>
            </w:r>
          </w:p>
        </w:tc>
        <w:tc>
          <w:tcPr>
            <w:tcW w:w="2281" w:type="dxa"/>
            <w:gridSpan w:val="2"/>
            <w:vAlign w:val="center"/>
          </w:tcPr>
          <w:p w14:paraId="23CADA8C">
            <w:pPr>
              <w:keepNext w:val="0"/>
              <w:keepLines w:val="0"/>
              <w:pageBreakBefore w:val="0"/>
              <w:widowControl/>
              <w:kinsoku/>
              <w:wordWrap/>
              <w:overflowPunct/>
              <w:topLinePunct w:val="0"/>
              <w:autoSpaceDE/>
              <w:autoSpaceDN/>
              <w:bidi w:val="0"/>
              <w:spacing w:before="78" w:line="220" w:lineRule="auto"/>
              <w:ind w:left="541"/>
              <w:jc w:val="center"/>
              <w:textAlignment w:val="baseline"/>
              <w:rPr>
                <w:rFonts w:hint="default" w:ascii="Times New Roman" w:hAnsi="Times New Roman" w:eastAsia="宋体" w:cs="Times New Roman"/>
                <w:sz w:val="24"/>
                <w:szCs w:val="24"/>
                <w:highlight w:val="yellow"/>
              </w:rPr>
            </w:pPr>
            <w:r>
              <w:rPr>
                <w:rFonts w:hint="default" w:ascii="Times New Roman" w:hAnsi="Times New Roman" w:eastAsia="Times New Roman" w:cs="Times New Roman"/>
                <w:spacing w:val="-1"/>
                <w:sz w:val="24"/>
                <w:szCs w:val="24"/>
                <w:highlight w:val="none"/>
              </w:rPr>
              <w:t>202</w:t>
            </w:r>
            <w:r>
              <w:rPr>
                <w:rFonts w:hint="eastAsia" w:ascii="Times New Roman" w:hAnsi="Times New Roman" w:eastAsia="宋体" w:cs="Times New Roman"/>
                <w:spacing w:val="-1"/>
                <w:sz w:val="24"/>
                <w:szCs w:val="24"/>
                <w:highlight w:val="none"/>
                <w:lang w:val="en-US" w:eastAsia="zh-CN"/>
              </w:rPr>
              <w:t>4</w:t>
            </w:r>
            <w:r>
              <w:rPr>
                <w:rFonts w:hint="default" w:ascii="Times New Roman" w:hAnsi="Times New Roman" w:eastAsia="宋体" w:cs="Times New Roman"/>
                <w:spacing w:val="-1"/>
                <w:sz w:val="24"/>
                <w:szCs w:val="24"/>
                <w:highlight w:val="none"/>
              </w:rPr>
              <w:t>年</w:t>
            </w:r>
            <w:r>
              <w:rPr>
                <w:rFonts w:hint="eastAsia" w:ascii="Times New Roman" w:hAnsi="Times New Roman" w:eastAsia="宋体" w:cs="Times New Roman"/>
                <w:sz w:val="24"/>
                <w:szCs w:val="24"/>
                <w:highlight w:val="none"/>
                <w:lang w:val="en-US" w:eastAsia="zh-CN"/>
              </w:rPr>
              <w:t>7</w:t>
            </w:r>
            <w:r>
              <w:rPr>
                <w:rFonts w:hint="default" w:ascii="Times New Roman" w:hAnsi="Times New Roman" w:eastAsia="宋体" w:cs="Times New Roman"/>
                <w:sz w:val="24"/>
                <w:szCs w:val="24"/>
                <w:highlight w:val="none"/>
              </w:rPr>
              <w:t>月</w:t>
            </w:r>
          </w:p>
        </w:tc>
      </w:tr>
      <w:tr w14:paraId="690C58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53" w:hRule="atLeast"/>
          <w:jc w:val="center"/>
        </w:trPr>
        <w:tc>
          <w:tcPr>
            <w:tcW w:w="2476" w:type="dxa"/>
            <w:vAlign w:val="center"/>
          </w:tcPr>
          <w:p w14:paraId="3C06B8F5">
            <w:pPr>
              <w:keepNext w:val="0"/>
              <w:keepLines w:val="0"/>
              <w:pageBreakBefore w:val="0"/>
              <w:widowControl/>
              <w:kinsoku/>
              <w:wordWrap/>
              <w:overflowPunct/>
              <w:topLinePunct w:val="0"/>
              <w:autoSpaceDE/>
              <w:autoSpaceDN/>
              <w:bidi w:val="0"/>
              <w:spacing w:before="78" w:line="219" w:lineRule="auto"/>
              <w:ind w:left="183"/>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项目建设过程简</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述</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(项目立项</w:t>
            </w:r>
            <w:r>
              <w:rPr>
                <w:rFonts w:hint="default" w:ascii="Times New Roman" w:hAnsi="Times New Roman" w:eastAsia="Times New Roman" w:cs="Times New Roman"/>
                <w:b/>
                <w:bCs/>
                <w:spacing w:val="14"/>
                <w:sz w:val="24"/>
                <w:szCs w:val="24"/>
              </w:rPr>
              <w:t>~</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试</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行)</w:t>
            </w:r>
          </w:p>
        </w:tc>
        <w:tc>
          <w:tcPr>
            <w:tcW w:w="6487" w:type="dxa"/>
            <w:gridSpan w:val="6"/>
            <w:vAlign w:val="center"/>
          </w:tcPr>
          <w:p w14:paraId="49532272">
            <w:pPr>
              <w:keepNext w:val="0"/>
              <w:keepLines w:val="0"/>
              <w:pageBreakBefore w:val="0"/>
              <w:widowControl/>
              <w:kinsoku/>
              <w:wordWrap/>
              <w:overflowPunct/>
              <w:topLinePunct w:val="0"/>
              <w:autoSpaceDE/>
              <w:autoSpaceDN/>
              <w:bidi w:val="0"/>
              <w:adjustRightInd/>
              <w:snapToGrid/>
              <w:spacing w:line="360" w:lineRule="auto"/>
              <w:ind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default" w:ascii="Times New Roman" w:hAnsi="Times New Roman" w:eastAsia="宋体" w:cs="Times New Roman"/>
                <w:spacing w:val="6"/>
                <w:sz w:val="24"/>
                <w:szCs w:val="24"/>
                <w:lang w:eastAsia="zh-CN"/>
              </w:rPr>
              <w:t>）</w:t>
            </w:r>
            <w:r>
              <w:rPr>
                <w:rFonts w:hint="default" w:ascii="Times New Roman" w:hAnsi="Times New Roman" w:eastAsia="Times New Roman" w:cs="Times New Roman"/>
                <w:spacing w:val="6"/>
                <w:sz w:val="24"/>
                <w:szCs w:val="24"/>
              </w:rPr>
              <w:t>20</w:t>
            </w:r>
            <w:r>
              <w:rPr>
                <w:rFonts w:hint="default" w:ascii="Times New Roman" w:hAnsi="Times New Roman" w:eastAsia="宋体" w:cs="Times New Roman"/>
                <w:spacing w:val="6"/>
                <w:sz w:val="24"/>
                <w:szCs w:val="24"/>
                <w:lang w:val="en-US" w:eastAsia="zh-CN"/>
              </w:rPr>
              <w:t>2</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3"/>
                <w:sz w:val="24"/>
                <w:szCs w:val="24"/>
              </w:rPr>
              <w:t>年</w:t>
            </w:r>
            <w:r>
              <w:rPr>
                <w:rFonts w:hint="eastAsia" w:ascii="Times New Roman" w:hAnsi="Times New Roman" w:eastAsia="宋体" w:cs="Times New Roman"/>
                <w:spacing w:val="3"/>
                <w:sz w:val="24"/>
                <w:szCs w:val="24"/>
                <w:lang w:val="en-US" w:eastAsia="zh-CN"/>
              </w:rPr>
              <w:t>4</w:t>
            </w:r>
            <w:r>
              <w:rPr>
                <w:rFonts w:hint="default" w:ascii="Times New Roman" w:hAnsi="Times New Roman" w:eastAsia="宋体" w:cs="Times New Roman"/>
                <w:spacing w:val="3"/>
                <w:sz w:val="24"/>
                <w:szCs w:val="24"/>
              </w:rPr>
              <w:t>月由</w:t>
            </w:r>
            <w:r>
              <w:rPr>
                <w:rFonts w:hint="eastAsia" w:ascii="Times New Roman" w:hAnsi="Times New Roman" w:eastAsia="宋体"/>
                <w:color w:val="auto"/>
                <w:sz w:val="24"/>
                <w:szCs w:val="24"/>
                <w:lang w:eastAsia="zh-CN"/>
              </w:rPr>
              <w:t>新疆祥达亿源环保科技有限公司</w:t>
            </w:r>
            <w:r>
              <w:rPr>
                <w:rFonts w:hint="default" w:ascii="Times New Roman" w:hAnsi="Times New Roman" w:eastAsia="宋体" w:cs="Times New Roman"/>
                <w:spacing w:val="-3"/>
                <w:sz w:val="24"/>
                <w:szCs w:val="24"/>
              </w:rPr>
              <w:t>编制完成</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第十四师皮山农场污水资源化利用项目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w:t>
            </w:r>
            <w:r>
              <w:rPr>
                <w:rFonts w:hint="default" w:ascii="Times New Roman" w:hAnsi="Times New Roman" w:eastAsia="宋体" w:cs="Times New Roman"/>
                <w:spacing w:val="-1"/>
                <w:sz w:val="24"/>
                <w:szCs w:val="24"/>
              </w:rPr>
              <w:t>；</w:t>
            </w:r>
          </w:p>
          <w:p w14:paraId="69A219B0">
            <w:pPr>
              <w:keepNext w:val="0"/>
              <w:keepLines w:val="0"/>
              <w:pageBreakBefore w:val="0"/>
              <w:widowControl/>
              <w:kinsoku/>
              <w:wordWrap/>
              <w:overflowPunct/>
              <w:topLinePunct w:val="0"/>
              <w:autoSpaceDE/>
              <w:autoSpaceDN/>
              <w:bidi w:val="0"/>
              <w:adjustRightInd/>
              <w:snapToGrid/>
              <w:spacing w:line="360" w:lineRule="auto"/>
              <w:ind w:right="0" w:firstLine="468" w:firstLineChars="200"/>
              <w:jc w:val="both"/>
              <w:textAlignment w:val="baseline"/>
              <w:rPr>
                <w:rFonts w:hint="default" w:ascii="Times New Roman" w:hAnsi="Times New Roman" w:eastAsia="宋体" w:cs="Times New Roman"/>
                <w:spacing w:val="-3"/>
                <w:sz w:val="24"/>
                <w:szCs w:val="24"/>
                <w:lang w:val="en-US" w:eastAsia="zh-CN"/>
              </w:rPr>
            </w:pPr>
            <w:r>
              <w:rPr>
                <w:rFonts w:hint="default"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highlight w:val="none"/>
                <w:lang w:val="en-US" w:eastAsia="zh-CN"/>
              </w:rPr>
              <w:t>202</w:t>
            </w:r>
            <w:r>
              <w:rPr>
                <w:rFonts w:hint="eastAsia" w:ascii="Times New Roman" w:hAnsi="Times New Roman" w:eastAsia="宋体" w:cs="Times New Roman"/>
                <w:spacing w:val="-3"/>
                <w:sz w:val="24"/>
                <w:szCs w:val="24"/>
                <w:highlight w:val="none"/>
                <w:lang w:val="en-US" w:eastAsia="zh-CN"/>
              </w:rPr>
              <w:t>2</w:t>
            </w:r>
            <w:r>
              <w:rPr>
                <w:rFonts w:hint="default" w:ascii="Times New Roman" w:hAnsi="Times New Roman" w:eastAsia="宋体" w:cs="Times New Roman"/>
                <w:spacing w:val="-3"/>
                <w:sz w:val="24"/>
                <w:szCs w:val="24"/>
                <w:highlight w:val="none"/>
                <w:lang w:val="en-US" w:eastAsia="zh-CN"/>
              </w:rPr>
              <w:t>年</w:t>
            </w:r>
            <w:r>
              <w:rPr>
                <w:rFonts w:hint="eastAsia" w:ascii="Times New Roman" w:hAnsi="Times New Roman" w:eastAsia="宋体" w:cs="Times New Roman"/>
                <w:spacing w:val="-3"/>
                <w:sz w:val="24"/>
                <w:szCs w:val="24"/>
                <w:highlight w:val="none"/>
                <w:lang w:val="en-US" w:eastAsia="zh-CN"/>
              </w:rPr>
              <w:t>5</w:t>
            </w:r>
            <w:r>
              <w:rPr>
                <w:rFonts w:hint="default" w:ascii="Times New Roman" w:hAnsi="Times New Roman" w:eastAsia="宋体" w:cs="Times New Roman"/>
                <w:spacing w:val="-3"/>
                <w:sz w:val="24"/>
                <w:szCs w:val="24"/>
                <w:highlight w:val="none"/>
                <w:lang w:val="en-US" w:eastAsia="zh-CN"/>
              </w:rPr>
              <w:t>月</w:t>
            </w:r>
            <w:r>
              <w:rPr>
                <w:rFonts w:hint="eastAsia" w:ascii="Times New Roman" w:hAnsi="Times New Roman" w:eastAsia="宋体" w:cs="Times New Roman"/>
                <w:spacing w:val="-3"/>
                <w:sz w:val="24"/>
                <w:szCs w:val="24"/>
                <w:highlight w:val="none"/>
                <w:lang w:val="en-US" w:eastAsia="zh-CN"/>
              </w:rPr>
              <w:t>19</w:t>
            </w:r>
            <w:r>
              <w:rPr>
                <w:rFonts w:hint="default" w:ascii="Times New Roman" w:hAnsi="Times New Roman" w:eastAsia="宋体" w:cs="Times New Roman"/>
                <w:spacing w:val="-3"/>
                <w:sz w:val="24"/>
                <w:szCs w:val="24"/>
                <w:highlight w:val="none"/>
                <w:lang w:val="en-US" w:eastAsia="zh-CN"/>
              </w:rPr>
              <w:t>日</w:t>
            </w:r>
            <w:r>
              <w:rPr>
                <w:rFonts w:hint="eastAsia" w:ascii="Times New Roman" w:hAnsi="Times New Roman" w:eastAsia="宋体" w:cs="Times New Roman"/>
                <w:sz w:val="24"/>
                <w:szCs w:val="24"/>
                <w:lang w:val="en-US" w:eastAsia="zh-CN"/>
              </w:rPr>
              <w:t>新疆生产建设兵团第十四师昆玉市生态环境局</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第十四师皮山农场污水资源化利用项目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》的批复（</w:t>
            </w:r>
            <w:r>
              <w:rPr>
                <w:rFonts w:hint="eastAsia" w:ascii="宋体" w:hAnsi="宋体" w:eastAsia="宋体" w:cs="宋体"/>
                <w:color w:val="auto"/>
                <w:sz w:val="24"/>
                <w:szCs w:val="24"/>
                <w:lang w:val="en-US" w:eastAsia="zh-CN"/>
              </w:rPr>
              <w:t>十四</w:t>
            </w:r>
            <w:r>
              <w:rPr>
                <w:rFonts w:hint="eastAsia" w:ascii="Times New Roman" w:hAnsi="Times New Roman" w:eastAsia="宋体" w:cs="Times New Roman"/>
                <w:sz w:val="24"/>
                <w:szCs w:val="24"/>
                <w:lang w:val="en-US" w:eastAsia="zh-CN"/>
              </w:rPr>
              <w:t>师</w:t>
            </w:r>
            <w:r>
              <w:rPr>
                <w:rFonts w:hint="default" w:ascii="Times New Roman" w:hAnsi="Times New Roman" w:eastAsia="宋体" w:cs="Times New Roman"/>
                <w:sz w:val="24"/>
                <w:szCs w:val="24"/>
                <w:lang w:eastAsia="zh-CN"/>
              </w:rPr>
              <w:t>环</w:t>
            </w:r>
            <w:r>
              <w:rPr>
                <w:rFonts w:hint="eastAsia" w:ascii="Times New Roman" w:hAnsi="Times New Roman" w:eastAsia="宋体" w:cs="Times New Roman"/>
                <w:sz w:val="24"/>
                <w:szCs w:val="24"/>
                <w:lang w:val="en-US" w:eastAsia="zh-CN"/>
              </w:rPr>
              <w:t>发</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22</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号</w:t>
            </w:r>
            <w:r>
              <w:rPr>
                <w:rFonts w:hint="default" w:ascii="Times New Roman" w:hAnsi="Times New Roman" w:eastAsia="宋体" w:cs="Times New Roman"/>
                <w:spacing w:val="-3"/>
                <w:sz w:val="24"/>
                <w:szCs w:val="24"/>
                <w:lang w:val="en-US" w:eastAsia="zh-CN"/>
              </w:rPr>
              <w:t>；</w:t>
            </w:r>
          </w:p>
          <w:p w14:paraId="42BE3DBA">
            <w:pPr>
              <w:keepNext w:val="0"/>
              <w:keepLines w:val="0"/>
              <w:pageBreakBefore w:val="0"/>
              <w:widowControl/>
              <w:kinsoku/>
              <w:wordWrap/>
              <w:overflowPunct/>
              <w:topLinePunct w:val="0"/>
              <w:autoSpaceDE/>
              <w:autoSpaceDN/>
              <w:bidi w:val="0"/>
              <w:adjustRightInd/>
              <w:snapToGrid/>
              <w:spacing w:after="0" w:line="360" w:lineRule="auto"/>
              <w:ind w:left="0" w:leftChars="0" w:right="0" w:firstLine="504" w:firstLineChars="200"/>
              <w:jc w:val="both"/>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eastAsia" w:ascii="Times New Roman" w:hAnsi="Times New Roman" w:eastAsia="宋体" w:cs="Times New Roman"/>
                <w:spacing w:val="6"/>
                <w:sz w:val="24"/>
                <w:szCs w:val="24"/>
                <w:lang w:val="en-US" w:eastAsia="zh-CN"/>
              </w:rPr>
              <w:t>本项目2023年3月</w:t>
            </w:r>
            <w:r>
              <w:rPr>
                <w:rFonts w:hint="eastAsia" w:ascii="Times New Roman" w:hAnsi="Times New Roman" w:eastAsia="宋体" w:cs="Times New Roman"/>
                <w:snapToGrid w:val="0"/>
                <w:color w:val="000000"/>
                <w:kern w:val="0"/>
                <w:sz w:val="24"/>
                <w:szCs w:val="24"/>
                <w:lang w:val="en-US" w:eastAsia="zh-CN" w:bidi="ar"/>
              </w:rPr>
              <w:t>办理各项开工手续</w:t>
            </w:r>
            <w:r>
              <w:rPr>
                <w:rFonts w:hint="eastAsia" w:ascii="Times New Roman" w:hAnsi="Times New Roman" w:eastAsia="宋体" w:cs="Times New Roman"/>
                <w:spacing w:val="6"/>
                <w:sz w:val="24"/>
                <w:szCs w:val="24"/>
                <w:lang w:val="en-US" w:eastAsia="zh-CN"/>
              </w:rPr>
              <w:t>，</w:t>
            </w:r>
            <w:r>
              <w:rPr>
                <w:rFonts w:hint="default" w:ascii="Times New Roman" w:hAnsi="Times New Roman" w:eastAsia="宋体" w:cs="Times New Roman"/>
                <w:spacing w:val="6"/>
                <w:sz w:val="24"/>
                <w:szCs w:val="24"/>
                <w:highlight w:val="none"/>
                <w:lang w:eastAsia="zh-CN"/>
              </w:rPr>
              <w:t>202</w:t>
            </w:r>
            <w:r>
              <w:rPr>
                <w:rFonts w:hint="default" w:ascii="Times New Roman" w:hAnsi="Times New Roman" w:eastAsia="宋体" w:cs="Times New Roman"/>
                <w:spacing w:val="-1"/>
                <w:sz w:val="24"/>
                <w:szCs w:val="24"/>
                <w:lang w:val="en-US" w:eastAsia="zh-CN"/>
              </w:rPr>
              <w:t>4年4月本项</w:t>
            </w:r>
            <w:r>
              <w:rPr>
                <w:rFonts w:hint="default" w:ascii="Times New Roman" w:hAnsi="Times New Roman" w:eastAsia="宋体" w:cs="Times New Roman"/>
                <w:spacing w:val="6"/>
                <w:sz w:val="24"/>
                <w:szCs w:val="24"/>
                <w:highlight w:val="none"/>
                <w:lang w:eastAsia="zh-CN"/>
              </w:rPr>
              <w:t>目开工建设；202</w:t>
            </w:r>
            <w:r>
              <w:rPr>
                <w:rFonts w:hint="eastAsia" w:ascii="Times New Roman" w:hAnsi="Times New Roman" w:eastAsia="宋体" w:cs="Times New Roman"/>
                <w:spacing w:val="6"/>
                <w:sz w:val="24"/>
                <w:szCs w:val="24"/>
                <w:highlight w:val="none"/>
                <w:lang w:val="en-US" w:eastAsia="zh-CN"/>
              </w:rPr>
              <w:t>4</w:t>
            </w:r>
            <w:r>
              <w:rPr>
                <w:rFonts w:hint="default" w:ascii="Times New Roman" w:hAnsi="Times New Roman" w:eastAsia="宋体" w:cs="Times New Roman"/>
                <w:spacing w:val="6"/>
                <w:sz w:val="24"/>
                <w:szCs w:val="24"/>
                <w:highlight w:val="none"/>
                <w:lang w:eastAsia="zh-CN"/>
              </w:rPr>
              <w:t>年</w:t>
            </w:r>
            <w:r>
              <w:rPr>
                <w:rFonts w:hint="eastAsia" w:ascii="Times New Roman" w:hAnsi="Times New Roman" w:eastAsia="宋体" w:cs="Times New Roman"/>
                <w:spacing w:val="6"/>
                <w:sz w:val="24"/>
                <w:szCs w:val="24"/>
                <w:highlight w:val="none"/>
                <w:lang w:val="en-US" w:eastAsia="zh-CN"/>
              </w:rPr>
              <w:t>7</w:t>
            </w:r>
            <w:r>
              <w:rPr>
                <w:rFonts w:hint="default" w:ascii="Times New Roman" w:hAnsi="Times New Roman" w:eastAsia="宋体" w:cs="Times New Roman"/>
                <w:spacing w:val="6"/>
                <w:sz w:val="24"/>
                <w:szCs w:val="24"/>
                <w:highlight w:val="none"/>
                <w:lang w:eastAsia="zh-CN"/>
              </w:rPr>
              <w:t>月建成并投入运行；</w:t>
            </w:r>
            <w:r>
              <w:rPr>
                <w:rFonts w:hint="default" w:ascii="Times New Roman" w:hAnsi="Times New Roman" w:eastAsia="宋体" w:cs="Times New Roman"/>
                <w:spacing w:val="6"/>
                <w:sz w:val="24"/>
                <w:szCs w:val="24"/>
                <w:lang w:eastAsia="zh-CN"/>
              </w:rPr>
              <w:t>202</w:t>
            </w:r>
            <w:r>
              <w:rPr>
                <w:rFonts w:hint="eastAsia"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年</w:t>
            </w:r>
            <w:r>
              <w:rPr>
                <w:rFonts w:hint="eastAsia" w:ascii="Times New Roman" w:hAnsi="Times New Roman" w:eastAsia="宋体" w:cs="Times New Roman"/>
                <w:spacing w:val="6"/>
                <w:sz w:val="24"/>
                <w:szCs w:val="24"/>
                <w:lang w:val="en-US" w:eastAsia="zh-CN"/>
              </w:rPr>
              <w:t>7</w:t>
            </w:r>
            <w:r>
              <w:rPr>
                <w:rFonts w:hint="default" w:ascii="Times New Roman" w:hAnsi="Times New Roman" w:eastAsia="宋体" w:cs="Times New Roman"/>
                <w:spacing w:val="6"/>
                <w:sz w:val="24"/>
                <w:szCs w:val="24"/>
                <w:lang w:eastAsia="zh-CN"/>
              </w:rPr>
              <w:t>月，</w:t>
            </w:r>
            <w:r>
              <w:rPr>
                <w:rFonts w:hint="eastAsia" w:ascii="宋体" w:hAnsi="宋体" w:eastAsia="宋体" w:cs="宋体"/>
                <w:color w:val="000000"/>
                <w:sz w:val="24"/>
                <w:szCs w:val="24"/>
                <w:lang w:val="en-US" w:eastAsia="zh-CN"/>
              </w:rPr>
              <w:t>新疆生产建设兵团第十四师水利工程管理服务中心</w:t>
            </w:r>
            <w:r>
              <w:rPr>
                <w:rFonts w:hint="default" w:ascii="Times New Roman" w:hAnsi="Times New Roman" w:eastAsia="宋体" w:cs="Times New Roman"/>
                <w:spacing w:val="6"/>
                <w:sz w:val="24"/>
                <w:szCs w:val="24"/>
                <w:lang w:eastAsia="zh-CN"/>
              </w:rPr>
              <w:t>委托</w:t>
            </w:r>
            <w:r>
              <w:rPr>
                <w:rFonts w:hint="default" w:ascii="Times New Roman" w:hAnsi="Times New Roman" w:eastAsia="宋体" w:cs="Times New Roman"/>
                <w:spacing w:val="6"/>
                <w:sz w:val="24"/>
                <w:szCs w:val="24"/>
                <w:lang w:val="en-US" w:eastAsia="zh-CN"/>
              </w:rPr>
              <w:t>新疆新农丽景环境工程咨询有限公司</w:t>
            </w:r>
            <w:r>
              <w:rPr>
                <w:rFonts w:hint="default" w:ascii="Times New Roman" w:hAnsi="Times New Roman" w:eastAsia="宋体" w:cs="Times New Roman"/>
                <w:spacing w:val="6"/>
                <w:sz w:val="24"/>
                <w:szCs w:val="24"/>
                <w:lang w:eastAsia="zh-CN"/>
              </w:rPr>
              <w:t>承担本项目竣工环境保护验收监测及调查工作。202</w:t>
            </w:r>
            <w:r>
              <w:rPr>
                <w:rFonts w:hint="eastAsia"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年</w:t>
            </w:r>
            <w:r>
              <w:rPr>
                <w:rFonts w:hint="eastAsia" w:ascii="Times New Roman" w:hAnsi="Times New Roman" w:eastAsia="宋体" w:cs="Times New Roman"/>
                <w:spacing w:val="6"/>
                <w:sz w:val="24"/>
                <w:szCs w:val="24"/>
                <w:lang w:val="en-US" w:eastAsia="zh-CN"/>
              </w:rPr>
              <w:t>7</w:t>
            </w:r>
            <w:r>
              <w:rPr>
                <w:rFonts w:hint="default" w:ascii="Times New Roman" w:hAnsi="Times New Roman" w:eastAsia="宋体" w:cs="Times New Roman"/>
                <w:spacing w:val="6"/>
                <w:sz w:val="24"/>
                <w:szCs w:val="24"/>
                <w:lang w:eastAsia="zh-CN"/>
              </w:rPr>
              <w:t>月接受委托后，我公司组织人员进行了现场踏勘，在此基础上编制了《</w:t>
            </w: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pacing w:val="6"/>
                <w:sz w:val="24"/>
                <w:szCs w:val="24"/>
                <w:lang w:eastAsia="zh-CN"/>
              </w:rPr>
              <w:t>竣工环境保护验收调查报告表》。</w:t>
            </w:r>
          </w:p>
        </w:tc>
      </w:tr>
    </w:tbl>
    <w:p w14:paraId="3772385F">
      <w:pPr>
        <w:spacing w:line="74" w:lineRule="exact"/>
        <w:rPr>
          <w:rFonts w:hint="default" w:ascii="Times New Roman" w:hAnsi="Times New Roman" w:cs="Times New Roman"/>
        </w:rPr>
      </w:pPr>
    </w:p>
    <w:p w14:paraId="4891CFE3">
      <w:pPr>
        <w:rPr>
          <w:rFonts w:hint="default" w:ascii="Times New Roman" w:hAnsi="Times New Roman" w:cs="Times New Roman"/>
          <w:sz w:val="21"/>
        </w:rPr>
      </w:pPr>
    </w:p>
    <w:p w14:paraId="3BB29011">
      <w:pPr>
        <w:rPr>
          <w:rFonts w:hint="default" w:ascii="Times New Roman" w:hAnsi="Times New Roman" w:cs="Times New Roman"/>
        </w:rPr>
        <w:sectPr>
          <w:footerReference r:id="rId7" w:type="default"/>
          <w:pgSz w:w="11907" w:h="16839"/>
          <w:pgMar w:top="1803" w:right="1440" w:bottom="1633" w:left="1440" w:header="0" w:footer="991" w:gutter="0"/>
          <w:pgBorders>
            <w:top w:val="none" w:sz="0" w:space="0"/>
            <w:left w:val="none" w:sz="0" w:space="0"/>
            <w:bottom w:val="none" w:sz="0" w:space="0"/>
            <w:right w:val="none" w:sz="0" w:space="0"/>
          </w:pgBorders>
          <w:pgNumType w:fmt="decimal" w:start="1"/>
          <w:cols w:space="720" w:num="1"/>
        </w:sectPr>
      </w:pPr>
    </w:p>
    <w:p w14:paraId="0B0C2A6D">
      <w:pPr>
        <w:pStyle w:val="3"/>
        <w:bidi w:val="0"/>
        <w:rPr>
          <w:rFonts w:hint="default" w:ascii="Times New Roman" w:hAnsi="Times New Roman" w:cs="Times New Roman"/>
          <w:sz w:val="32"/>
          <w:szCs w:val="52"/>
        </w:rPr>
      </w:pPr>
      <w:bookmarkStart w:id="1" w:name="_Toc20221"/>
      <w:r>
        <w:rPr>
          <w:rFonts w:hint="default" w:ascii="Times New Roman" w:hAnsi="Times New Roman" w:cs="Times New Roman"/>
          <w:sz w:val="32"/>
          <w:szCs w:val="52"/>
        </w:rPr>
        <w:t>表二 验收调查目的及原则</w:t>
      </w:r>
      <w:bookmarkEnd w:id="1"/>
    </w:p>
    <w:tbl>
      <w:tblPr>
        <w:tblStyle w:val="28"/>
        <w:tblW w:w="90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8"/>
        <w:gridCol w:w="8456"/>
      </w:tblGrid>
      <w:tr w14:paraId="5CA63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089" w:hRule="atLeast"/>
        </w:trPr>
        <w:tc>
          <w:tcPr>
            <w:tcW w:w="568" w:type="dxa"/>
            <w:textDirection w:val="tbRlV"/>
            <w:vAlign w:val="top"/>
          </w:tcPr>
          <w:p w14:paraId="10DA19B1">
            <w:pPr>
              <w:spacing w:before="162" w:line="201" w:lineRule="auto"/>
              <w:ind w:left="981"/>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position w:val="1"/>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49"/>
                <w:position w:val="1"/>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的</w:t>
            </w:r>
          </w:p>
        </w:tc>
        <w:tc>
          <w:tcPr>
            <w:tcW w:w="8456" w:type="dxa"/>
            <w:vAlign w:val="top"/>
          </w:tcPr>
          <w:p w14:paraId="1421F731">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1</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9"/>
                <w:sz w:val="24"/>
                <w:szCs w:val="24"/>
              </w:rPr>
              <w:t>调</w:t>
            </w:r>
            <w:r>
              <w:rPr>
                <w:rFonts w:hint="default" w:ascii="Times New Roman" w:hAnsi="Times New Roman" w:eastAsia="宋体" w:cs="Times New Roman"/>
                <w:spacing w:val="6"/>
                <w:sz w:val="24"/>
                <w:szCs w:val="24"/>
              </w:rPr>
              <w:t>查</w:t>
            </w: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pacing w:val="6"/>
                <w:sz w:val="24"/>
                <w:szCs w:val="24"/>
              </w:rPr>
              <w:t>在施工及运行阶段</w:t>
            </w:r>
            <w:r>
              <w:rPr>
                <w:rFonts w:hint="default" w:ascii="Times New Roman" w:hAnsi="Times New Roman" w:eastAsia="宋体" w:cs="Times New Roman"/>
                <w:spacing w:val="-2"/>
                <w:sz w:val="24"/>
                <w:szCs w:val="24"/>
              </w:rPr>
              <w:t>管理等方面落实环境影响报告表及批复</w:t>
            </w:r>
            <w:r>
              <w:rPr>
                <w:rFonts w:hint="default" w:ascii="Times New Roman" w:hAnsi="Times New Roman" w:eastAsia="宋体" w:cs="Times New Roman"/>
                <w:spacing w:val="-1"/>
                <w:sz w:val="24"/>
                <w:szCs w:val="24"/>
              </w:rPr>
              <w:t>中所提环境保护措施的情况。</w:t>
            </w:r>
          </w:p>
          <w:p w14:paraId="46696444">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调查本工程已采取的生态保护措施、水土流失及</w:t>
            </w:r>
            <w:r>
              <w:rPr>
                <w:rFonts w:hint="default" w:ascii="Times New Roman" w:hAnsi="Times New Roman" w:eastAsia="宋体" w:cs="Times New Roman"/>
                <w:sz w:val="24"/>
                <w:szCs w:val="24"/>
              </w:rPr>
              <w:t>污染控制措施</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pacing w:val="-1"/>
                <w:sz w:val="24"/>
                <w:szCs w:val="24"/>
              </w:rPr>
              <w:t>并通过对项目所在区域环境现状调查</w:t>
            </w:r>
            <w:r>
              <w:rPr>
                <w:rFonts w:hint="default" w:ascii="Times New Roman" w:hAnsi="Times New Roman" w:eastAsia="宋体" w:cs="Times New Roman"/>
                <w:sz w:val="24"/>
                <w:szCs w:val="24"/>
              </w:rPr>
              <w:t>结果的评价，分析各项措施实施的有</w:t>
            </w:r>
            <w:r>
              <w:rPr>
                <w:rFonts w:hint="default" w:ascii="Times New Roman" w:hAnsi="Times New Roman" w:eastAsia="宋体" w:cs="Times New Roman"/>
                <w:spacing w:val="-11"/>
                <w:sz w:val="24"/>
                <w:szCs w:val="24"/>
              </w:rPr>
              <w:t>效性。</w:t>
            </w:r>
          </w:p>
          <w:p w14:paraId="0513543C">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针对该项目已产生的环境问题及可能存在的潜在环境影响，提出</w:t>
            </w:r>
            <w:r>
              <w:rPr>
                <w:rFonts w:hint="default" w:ascii="Times New Roman" w:hAnsi="Times New Roman" w:eastAsia="宋体" w:cs="Times New Roman"/>
                <w:spacing w:val="-2"/>
                <w:sz w:val="24"/>
                <w:szCs w:val="24"/>
              </w:rPr>
              <w:t>切实可行的措施，对尚不完善</w:t>
            </w:r>
            <w:r>
              <w:rPr>
                <w:rFonts w:hint="default" w:ascii="Times New Roman" w:hAnsi="Times New Roman" w:eastAsia="宋体" w:cs="Times New Roman"/>
                <w:spacing w:val="-1"/>
                <w:sz w:val="24"/>
                <w:szCs w:val="24"/>
              </w:rPr>
              <w:t>的环保措施提出改建意见和建议。</w:t>
            </w:r>
          </w:p>
          <w:p w14:paraId="777C24F0">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根据调查结果，客观公正地从技术上论证该项目是否符合竣工环</w:t>
            </w:r>
            <w:r>
              <w:rPr>
                <w:rFonts w:hint="default" w:ascii="Times New Roman" w:hAnsi="Times New Roman" w:eastAsia="宋体" w:cs="Times New Roman"/>
                <w:spacing w:val="-5"/>
                <w:sz w:val="24"/>
                <w:szCs w:val="24"/>
              </w:rPr>
              <w:t>境保护验收条件</w:t>
            </w:r>
            <w:r>
              <w:rPr>
                <w:rFonts w:hint="default" w:ascii="Times New Roman" w:hAnsi="Times New Roman" w:eastAsia="宋体" w:cs="Times New Roman"/>
                <w:spacing w:val="-4"/>
                <w:sz w:val="24"/>
                <w:szCs w:val="24"/>
              </w:rPr>
              <w:t>。</w:t>
            </w:r>
          </w:p>
        </w:tc>
      </w:tr>
      <w:tr w14:paraId="558D4B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3" w:hRule="atLeast"/>
        </w:trPr>
        <w:tc>
          <w:tcPr>
            <w:tcW w:w="568" w:type="dxa"/>
            <w:textDirection w:val="tbRlV"/>
            <w:vAlign w:val="top"/>
          </w:tcPr>
          <w:p w14:paraId="7D36E2BC">
            <w:pPr>
              <w:spacing w:before="161" w:line="209" w:lineRule="auto"/>
              <w:ind w:left="347"/>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原</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则</w:t>
            </w:r>
          </w:p>
        </w:tc>
        <w:tc>
          <w:tcPr>
            <w:tcW w:w="8456" w:type="dxa"/>
            <w:vAlign w:val="top"/>
          </w:tcPr>
          <w:p w14:paraId="157E36F0">
            <w:pPr>
              <w:keepNext w:val="0"/>
              <w:keepLines w:val="0"/>
              <w:pageBreakBefore w:val="0"/>
              <w:widowControl/>
              <w:kinsoku/>
              <w:wordWrap/>
              <w:overflowPunct/>
              <w:topLinePunct w:val="0"/>
              <w:autoSpaceDE/>
              <w:autoSpaceDN/>
              <w:bidi w:val="0"/>
              <w:adjustRightInd w:val="0"/>
              <w:snapToGrid w:val="0"/>
              <w:spacing w:line="360" w:lineRule="auto"/>
              <w:ind w:left="0" w:right="0" w:firstLine="49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1</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认</w:t>
            </w:r>
            <w:r>
              <w:rPr>
                <w:rFonts w:hint="default" w:ascii="Times New Roman" w:hAnsi="Times New Roman" w:eastAsia="宋体" w:cs="Times New Roman"/>
                <w:spacing w:val="3"/>
                <w:sz w:val="24"/>
                <w:szCs w:val="24"/>
              </w:rPr>
              <w:t>真</w:t>
            </w:r>
            <w:r>
              <w:rPr>
                <w:rFonts w:hint="default" w:ascii="Times New Roman" w:hAnsi="Times New Roman" w:eastAsia="宋体" w:cs="Times New Roman"/>
                <w:spacing w:val="2"/>
                <w:sz w:val="24"/>
                <w:szCs w:val="24"/>
              </w:rPr>
              <w:t>贯彻执行国家与地方的环境保护法律法规及有关规定。</w:t>
            </w:r>
          </w:p>
          <w:p w14:paraId="0EA22565">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坚持污染防治与生态保护并重的原则。</w:t>
            </w:r>
          </w:p>
          <w:p w14:paraId="7E15FDB4">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坚持客观、公正、科学、实用的原则。</w:t>
            </w:r>
          </w:p>
          <w:p w14:paraId="05655084">
            <w:pPr>
              <w:keepNext w:val="0"/>
              <w:keepLines w:val="0"/>
              <w:pageBreakBefore w:val="0"/>
              <w:widowControl/>
              <w:kinsoku/>
              <w:wordWrap/>
              <w:overflowPunct/>
              <w:topLinePunct w:val="0"/>
              <w:autoSpaceDE/>
              <w:autoSpaceDN/>
              <w:bidi w:val="0"/>
              <w:adjustRightInd w:val="0"/>
              <w:snapToGrid w:val="0"/>
              <w:spacing w:line="360" w:lineRule="auto"/>
              <w:ind w:left="0" w:right="0" w:firstLine="48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4</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坚持充分利用已有资料与实地</w:t>
            </w:r>
            <w:r>
              <w:rPr>
                <w:rFonts w:hint="default" w:ascii="Times New Roman" w:hAnsi="Times New Roman" w:eastAsia="宋体" w:cs="Times New Roman"/>
                <w:sz w:val="24"/>
                <w:szCs w:val="24"/>
              </w:rPr>
              <w:t>踏勘、现场调研、现状监测相结合</w:t>
            </w: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p w14:paraId="66C89FC4">
            <w:pPr>
              <w:keepNext w:val="0"/>
              <w:keepLines w:val="0"/>
              <w:pageBreakBefore w:val="0"/>
              <w:widowControl/>
              <w:kinsoku/>
              <w:wordWrap/>
              <w:overflowPunct/>
              <w:topLinePunct w:val="0"/>
              <w:autoSpaceDE/>
              <w:autoSpaceDN/>
              <w:bidi w:val="0"/>
              <w:adjustRightInd w:val="0"/>
              <w:snapToGrid w:val="0"/>
              <w:spacing w:line="360" w:lineRule="auto"/>
              <w:ind w:left="0" w:right="0" w:firstLine="48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position w:val="17"/>
                <w:sz w:val="24"/>
                <w:szCs w:val="24"/>
                <w:lang w:eastAsia="zh-CN"/>
              </w:rPr>
              <w:t>（</w:t>
            </w:r>
            <w:r>
              <w:rPr>
                <w:rFonts w:hint="default" w:ascii="Times New Roman" w:hAnsi="Times New Roman" w:eastAsia="宋体" w:cs="Times New Roman"/>
                <w:spacing w:val="1"/>
                <w:position w:val="17"/>
                <w:sz w:val="24"/>
                <w:szCs w:val="24"/>
                <w:lang w:val="en-US" w:eastAsia="zh-CN"/>
              </w:rPr>
              <w:t>5</w:t>
            </w:r>
            <w:r>
              <w:rPr>
                <w:rFonts w:hint="default" w:ascii="Times New Roman" w:hAnsi="Times New Roman" w:eastAsia="宋体" w:cs="Times New Roman"/>
                <w:spacing w:val="1"/>
                <w:position w:val="17"/>
                <w:sz w:val="24"/>
                <w:szCs w:val="24"/>
                <w:lang w:eastAsia="zh-CN"/>
              </w:rPr>
              <w:t>）</w:t>
            </w:r>
            <w:r>
              <w:rPr>
                <w:rFonts w:hint="default" w:ascii="Times New Roman" w:hAnsi="Times New Roman" w:eastAsia="宋体" w:cs="Times New Roman"/>
                <w:spacing w:val="1"/>
                <w:position w:val="17"/>
                <w:sz w:val="24"/>
                <w:szCs w:val="24"/>
              </w:rPr>
              <w:t>坚持对工程建设前期、建设期</w:t>
            </w:r>
            <w:r>
              <w:rPr>
                <w:rFonts w:hint="default" w:ascii="Times New Roman" w:hAnsi="Times New Roman" w:eastAsia="宋体" w:cs="Times New Roman"/>
                <w:position w:val="17"/>
                <w:sz w:val="24"/>
                <w:szCs w:val="24"/>
              </w:rPr>
              <w:t>、运营期环境影响进行全过程分析</w:t>
            </w:r>
          </w:p>
          <w:p w14:paraId="794CE1D9">
            <w:pPr>
              <w:keepNext w:val="0"/>
              <w:keepLines w:val="0"/>
              <w:pageBreakBefore w:val="0"/>
              <w:widowControl/>
              <w:kinsoku/>
              <w:wordWrap/>
              <w:overflowPunct/>
              <w:topLinePunct w:val="0"/>
              <w:autoSpaceDE/>
              <w:autoSpaceDN/>
              <w:bidi w:val="0"/>
              <w:adjustRightInd w:val="0"/>
              <w:snapToGrid w:val="0"/>
              <w:spacing w:line="360" w:lineRule="auto"/>
              <w:ind w:right="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tc>
      </w:tr>
      <w:tr w14:paraId="4CF06F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4" w:hRule="atLeast"/>
        </w:trPr>
        <w:tc>
          <w:tcPr>
            <w:tcW w:w="568" w:type="dxa"/>
            <w:textDirection w:val="tbRlV"/>
            <w:vAlign w:val="top"/>
          </w:tcPr>
          <w:p w14:paraId="0337630F">
            <w:pPr>
              <w:spacing w:before="161" w:line="209" w:lineRule="auto"/>
              <w:ind w:left="1368"/>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方</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法</w:t>
            </w:r>
          </w:p>
        </w:tc>
        <w:tc>
          <w:tcPr>
            <w:tcW w:w="8456" w:type="dxa"/>
            <w:vAlign w:val="top"/>
          </w:tcPr>
          <w:p w14:paraId="07BCD0B7">
            <w:pPr>
              <w:keepNext w:val="0"/>
              <w:keepLines w:val="0"/>
              <w:pageBreakBefore w:val="0"/>
              <w:widowControl/>
              <w:kinsoku/>
              <w:wordWrap/>
              <w:overflowPunct/>
              <w:topLinePunct w:val="0"/>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1</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执行《建设项目竣工环境保护验收技术规范生态影响类》</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1"/>
                <w:sz w:val="24"/>
                <w:szCs w:val="24"/>
              </w:rPr>
              <w:t>HJ</w:t>
            </w:r>
            <w:r>
              <w:rPr>
                <w:rFonts w:hint="default" w:ascii="Times New Roman" w:hAnsi="Times New Roman" w:eastAsia="Times New Roman" w:cs="Times New Roman"/>
                <w:spacing w:val="-2"/>
                <w:sz w:val="24"/>
                <w:szCs w:val="24"/>
              </w:rPr>
              <w:t>/</w:t>
            </w:r>
            <w:r>
              <w:rPr>
                <w:rFonts w:hint="default" w:ascii="Times New Roman" w:hAnsi="Times New Roman" w:eastAsia="Times New Roman" w:cs="Times New Roman"/>
                <w:spacing w:val="-1"/>
                <w:sz w:val="24"/>
                <w:szCs w:val="24"/>
              </w:rPr>
              <w:t>T</w:t>
            </w:r>
            <w:r>
              <w:rPr>
                <w:rFonts w:hint="default" w:ascii="Times New Roman" w:hAnsi="Times New Roman" w:eastAsia="Times New Roman" w:cs="Times New Roman"/>
                <w:spacing w:val="-2"/>
                <w:sz w:val="24"/>
                <w:szCs w:val="24"/>
              </w:rPr>
              <w:t>394-20</w:t>
            </w:r>
            <w:r>
              <w:rPr>
                <w:rFonts w:hint="default" w:ascii="Times New Roman" w:hAnsi="Times New Roman" w:eastAsia="Times New Roman" w:cs="Times New Roman"/>
                <w:spacing w:val="-1"/>
                <w:sz w:val="24"/>
                <w:szCs w:val="24"/>
              </w:rPr>
              <w:t>07</w:t>
            </w: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1"/>
                <w:sz w:val="24"/>
                <w:szCs w:val="24"/>
              </w:rPr>
              <w:t>的要求，参照《环境影响评价技术导则》的方法进行。</w:t>
            </w:r>
          </w:p>
          <w:p w14:paraId="3EB990D6">
            <w:pPr>
              <w:keepNext w:val="0"/>
              <w:keepLines w:val="0"/>
              <w:pageBreakBefore w:val="0"/>
              <w:widowControl/>
              <w:kinsoku/>
              <w:wordWrap/>
              <w:overflowPunct/>
              <w:topLinePunct w:val="0"/>
              <w:autoSpaceDE/>
              <w:autoSpaceDN/>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2</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在</w:t>
            </w:r>
            <w:r>
              <w:rPr>
                <w:rFonts w:hint="default" w:ascii="Times New Roman" w:hAnsi="Times New Roman" w:eastAsia="宋体" w:cs="Times New Roman"/>
                <w:spacing w:val="5"/>
                <w:sz w:val="24"/>
                <w:szCs w:val="24"/>
              </w:rPr>
              <w:t>收集整理项目环评报告及其批复的基础上，与管理单位沟通</w:t>
            </w:r>
            <w:r>
              <w:rPr>
                <w:rFonts w:hint="default" w:ascii="Times New Roman" w:hAnsi="Times New Roman" w:eastAsia="宋体" w:cs="Times New Roman"/>
                <w:spacing w:val="-1"/>
                <w:sz w:val="24"/>
                <w:szCs w:val="24"/>
              </w:rPr>
              <w:t>验收调查人员采取现</w:t>
            </w:r>
            <w:r>
              <w:rPr>
                <w:rFonts w:hint="default" w:ascii="Times New Roman" w:hAnsi="Times New Roman" w:eastAsia="宋体" w:cs="Times New Roman"/>
                <w:sz w:val="24"/>
                <w:szCs w:val="24"/>
              </w:rPr>
              <w:t>场踏勘、走访调查的方式对项目实施环保措施进行进</w:t>
            </w:r>
            <w:r>
              <w:rPr>
                <w:rFonts w:hint="default" w:ascii="Times New Roman" w:hAnsi="Times New Roman" w:eastAsia="宋体" w:cs="Times New Roman"/>
                <w:spacing w:val="-6"/>
                <w:sz w:val="24"/>
                <w:szCs w:val="24"/>
              </w:rPr>
              <w:t>一步的核实。</w:t>
            </w:r>
          </w:p>
          <w:p w14:paraId="41710BB0">
            <w:pPr>
              <w:keepNext w:val="0"/>
              <w:keepLines w:val="0"/>
              <w:pageBreakBefore w:val="0"/>
              <w:widowControl/>
              <w:kinsoku/>
              <w:wordWrap/>
              <w:overflowPunct/>
              <w:topLinePunct w:val="0"/>
              <w:autoSpaceDE/>
              <w:autoSpaceDN/>
              <w:bidi w:val="0"/>
              <w:adjustRightInd w:val="0"/>
              <w:snapToGrid w:val="0"/>
              <w:spacing w:line="360" w:lineRule="auto"/>
              <w:ind w:right="0" w:firstLine="43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lang w:val="en-US" w:eastAsia="zh-CN"/>
              </w:rPr>
              <w:t>3</w:t>
            </w: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rPr>
              <w:t>施工期环境影响调查，通过查阅文件资料，核查施工设计和文件，</w:t>
            </w:r>
            <w:r>
              <w:rPr>
                <w:rFonts w:hint="default" w:ascii="Times New Roman" w:hAnsi="Times New Roman" w:eastAsia="宋体" w:cs="Times New Roman"/>
                <w:spacing w:val="-10"/>
                <w:sz w:val="24"/>
                <w:szCs w:val="24"/>
              </w:rPr>
              <w:t>以</w:t>
            </w:r>
            <w:r>
              <w:rPr>
                <w:rFonts w:hint="default" w:ascii="Times New Roman" w:hAnsi="Times New Roman" w:eastAsia="宋体" w:cs="Times New Roman"/>
                <w:spacing w:val="-5"/>
                <w:sz w:val="24"/>
                <w:szCs w:val="24"/>
              </w:rPr>
              <w:t>确定施工期的环境影响。</w:t>
            </w:r>
          </w:p>
          <w:p w14:paraId="63B27089">
            <w:pPr>
              <w:keepNext w:val="0"/>
              <w:keepLines w:val="0"/>
              <w:pageBreakBefore w:val="0"/>
              <w:widowControl/>
              <w:kinsoku/>
              <w:wordWrap/>
              <w:overflowPunct/>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运行期环境影响调查以现场勘察为主，通过现场调查以及查阅施</w:t>
            </w:r>
            <w:r>
              <w:rPr>
                <w:rFonts w:hint="default" w:ascii="Times New Roman" w:hAnsi="Times New Roman" w:eastAsia="宋体" w:cs="Times New Roman"/>
                <w:spacing w:val="-4"/>
                <w:sz w:val="24"/>
                <w:szCs w:val="24"/>
              </w:rPr>
              <w:t>工设</w:t>
            </w:r>
            <w:r>
              <w:rPr>
                <w:rFonts w:hint="default" w:ascii="Times New Roman" w:hAnsi="Times New Roman" w:eastAsia="宋体" w:cs="Times New Roman"/>
                <w:spacing w:val="-2"/>
                <w:sz w:val="24"/>
                <w:szCs w:val="24"/>
              </w:rPr>
              <w:t>计文件来分析项目建设造成的环境影响。</w:t>
            </w:r>
          </w:p>
          <w:p w14:paraId="29D538AB">
            <w:pPr>
              <w:keepNext w:val="0"/>
              <w:keepLines w:val="0"/>
              <w:pageBreakBefore w:val="0"/>
              <w:widowControl/>
              <w:kinsoku/>
              <w:wordWrap/>
              <w:overflowPunct/>
              <w:topLinePunct w:val="0"/>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lang w:val="en-US" w:eastAsia="zh-CN"/>
              </w:rPr>
              <w:t>5</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环保措施有效性分析采用改进已有措施与提出补救措施相结合的方法。</w:t>
            </w:r>
          </w:p>
        </w:tc>
      </w:tr>
    </w:tbl>
    <w:p w14:paraId="08117A7D">
      <w:pPr>
        <w:pStyle w:val="3"/>
        <w:bidi w:val="0"/>
        <w:rPr>
          <w:rFonts w:hint="default" w:ascii="Times New Roman" w:hAnsi="Times New Roman" w:cs="Times New Roman"/>
          <w:sz w:val="32"/>
          <w:szCs w:val="52"/>
        </w:rPr>
      </w:pPr>
      <w:bookmarkStart w:id="2" w:name="_Toc13682"/>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三</w:t>
      </w:r>
      <w:r>
        <w:rPr>
          <w:rFonts w:hint="default" w:ascii="Times New Roman" w:hAnsi="Times New Roman" w:cs="Times New Roman"/>
          <w:sz w:val="32"/>
          <w:szCs w:val="52"/>
        </w:rPr>
        <w:t xml:space="preserve"> 调查范围、因子、目标、重点</w:t>
      </w:r>
      <w:bookmarkEnd w:id="2"/>
    </w:p>
    <w:tbl>
      <w:tblPr>
        <w:tblStyle w:val="28"/>
        <w:tblW w:w="907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9"/>
        <w:gridCol w:w="8355"/>
      </w:tblGrid>
      <w:tr w14:paraId="28F5EB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51" w:hRule="atLeast"/>
        </w:trPr>
        <w:tc>
          <w:tcPr>
            <w:tcW w:w="719" w:type="dxa"/>
            <w:tcBorders>
              <w:top w:val="single" w:color="auto" w:sz="4" w:space="0"/>
              <w:left w:val="single" w:color="auto" w:sz="4" w:space="0"/>
              <w:bottom w:val="single" w:color="auto" w:sz="4" w:space="0"/>
              <w:right w:val="single" w:color="auto" w:sz="4" w:space="0"/>
            </w:tcBorders>
            <w:vAlign w:val="center"/>
          </w:tcPr>
          <w:p w14:paraId="36058521">
            <w:pPr>
              <w:spacing w:before="78" w:line="369" w:lineRule="auto"/>
              <w:ind w:left="124" w:right="109" w:hanging="3"/>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范</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围</w:t>
            </w:r>
          </w:p>
        </w:tc>
        <w:tc>
          <w:tcPr>
            <w:tcW w:w="8355" w:type="dxa"/>
            <w:tcBorders>
              <w:left w:val="single" w:color="auto" w:sz="4" w:space="0"/>
            </w:tcBorders>
            <w:vAlign w:val="center"/>
          </w:tcPr>
          <w:p w14:paraId="6487E0CA">
            <w:pPr>
              <w:keepNext w:val="0"/>
              <w:keepLines w:val="0"/>
              <w:pageBreakBefore w:val="0"/>
              <w:widowControl/>
              <w:kinsoku/>
              <w:wordWrap/>
              <w:overflowPunct w:val="0"/>
              <w:topLinePunct w:val="0"/>
              <w:autoSpaceDE/>
              <w:autoSpaceDN/>
              <w:bidi w:val="0"/>
              <w:adjustRightInd w:val="0"/>
              <w:snapToGrid w:val="0"/>
              <w:spacing w:line="360" w:lineRule="auto"/>
              <w:ind w:left="0" w:firstLine="50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验收调查的地理范围原则与环境影响评价文件的评价范围相一致</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5"/>
                <w:sz w:val="24"/>
                <w:szCs w:val="24"/>
              </w:rPr>
              <w:t>同时根据建设项目建设内容发生变更后的情况，以及运行后的实际影</w:t>
            </w:r>
            <w:r>
              <w:rPr>
                <w:rFonts w:hint="default" w:ascii="Times New Roman" w:hAnsi="Times New Roman" w:eastAsia="宋体" w:cs="Times New Roman"/>
                <w:sz w:val="24"/>
                <w:szCs w:val="24"/>
              </w:rPr>
              <w:t>响</w:t>
            </w:r>
            <w:r>
              <w:rPr>
                <w:rFonts w:hint="default" w:ascii="Times New Roman" w:hAnsi="Times New Roman" w:eastAsia="宋体" w:cs="Times New Roman"/>
                <w:spacing w:val="2"/>
                <w:sz w:val="24"/>
                <w:szCs w:val="24"/>
              </w:rPr>
              <w:t>情</w:t>
            </w:r>
            <w:r>
              <w:rPr>
                <w:rFonts w:hint="default" w:ascii="Times New Roman" w:hAnsi="Times New Roman" w:eastAsia="宋体" w:cs="Times New Roman"/>
                <w:spacing w:val="1"/>
                <w:sz w:val="24"/>
                <w:szCs w:val="24"/>
              </w:rPr>
              <w:t>况进行调整。本次竣工环境保护验收调查范围为</w:t>
            </w: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pacing w:val="-1"/>
                <w:sz w:val="24"/>
                <w:szCs w:val="24"/>
              </w:rPr>
              <w:t>区域</w:t>
            </w:r>
            <w:r>
              <w:rPr>
                <w:rFonts w:hint="default" w:ascii="Times New Roman" w:hAnsi="Times New Roman" w:eastAsia="宋体" w:cs="Times New Roman"/>
                <w:sz w:val="24"/>
                <w:szCs w:val="24"/>
              </w:rPr>
              <w:t>，具体调查范围如下：</w:t>
            </w:r>
          </w:p>
          <w:p w14:paraId="65B8391E">
            <w:pPr>
              <w:pStyle w:val="2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生态环境调查范围：水库四周200m范围内的带状区域；</w:t>
            </w:r>
          </w:p>
          <w:p w14:paraId="39B91CEA">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地表水环境调查范围：施工期生产、生活污水处置和排放情况；</w:t>
            </w:r>
          </w:p>
          <w:p w14:paraId="32928692">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声环境调查范围：施工期水库200m范围。重点调查100m范围内的受影响的敏感点；</w:t>
            </w:r>
          </w:p>
          <w:p w14:paraId="70891D9B">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环境空气调查范围：施工影响范围内的环境空气影响调查；</w:t>
            </w:r>
          </w:p>
          <w:p w14:paraId="73714F64">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z w:val="21"/>
                <w:szCs w:val="21"/>
              </w:rPr>
            </w:pPr>
            <w:r>
              <w:rPr>
                <w:rFonts w:hint="default" w:ascii="Times New Roman" w:hAnsi="Times New Roman" w:cs="Times New Roman"/>
                <w:highlight w:val="none"/>
                <w:lang w:val="en-US" w:eastAsia="zh-CN"/>
              </w:rPr>
              <w:t>固体废物调查范围：施工期废土石方、建筑材料和生活垃圾的处置情况。</w:t>
            </w:r>
          </w:p>
        </w:tc>
      </w:tr>
      <w:tr w14:paraId="7AADC3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28" w:hRule="atLeast"/>
        </w:trPr>
        <w:tc>
          <w:tcPr>
            <w:tcW w:w="719" w:type="dxa"/>
            <w:tcBorders>
              <w:top w:val="single" w:color="auto" w:sz="4" w:space="0"/>
              <w:left w:val="single" w:color="auto" w:sz="4" w:space="0"/>
              <w:bottom w:val="single" w:color="auto" w:sz="4" w:space="0"/>
              <w:right w:val="single" w:color="auto" w:sz="4" w:space="0"/>
            </w:tcBorders>
            <w:vAlign w:val="center"/>
          </w:tcPr>
          <w:p w14:paraId="3DC3ACE0">
            <w:pPr>
              <w:spacing w:before="78" w:line="369" w:lineRule="auto"/>
              <w:ind w:left="135" w:right="107" w:hanging="16"/>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因子</w:t>
            </w:r>
          </w:p>
        </w:tc>
        <w:tc>
          <w:tcPr>
            <w:tcW w:w="8355" w:type="dxa"/>
            <w:tcBorders>
              <w:left w:val="single" w:color="auto" w:sz="4" w:space="0"/>
            </w:tcBorders>
            <w:vAlign w:val="center"/>
          </w:tcPr>
          <w:p w14:paraId="7B13144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根据工程施工期、运行期环境影响特点和环境影响评价报告表及批</w:t>
            </w:r>
            <w:r>
              <w:rPr>
                <w:rFonts w:hint="default" w:ascii="Times New Roman" w:hAnsi="Times New Roman" w:eastAsia="宋体" w:cs="Times New Roman"/>
                <w:sz w:val="24"/>
                <w:szCs w:val="24"/>
              </w:rPr>
              <w:t>复</w:t>
            </w:r>
            <w:r>
              <w:rPr>
                <w:rFonts w:hint="default" w:ascii="Times New Roman" w:hAnsi="Times New Roman" w:eastAsia="宋体" w:cs="Times New Roman"/>
                <w:spacing w:val="-4"/>
                <w:sz w:val="24"/>
                <w:szCs w:val="24"/>
              </w:rPr>
              <w:t>要求，确定本</w:t>
            </w:r>
            <w:r>
              <w:rPr>
                <w:rFonts w:hint="default" w:ascii="Times New Roman" w:hAnsi="Times New Roman" w:eastAsia="宋体" w:cs="Times New Roman"/>
                <w:spacing w:val="-2"/>
                <w:sz w:val="24"/>
                <w:szCs w:val="24"/>
              </w:rPr>
              <w:t>工程竣工环境保护验收的环境调查因子如下：</w:t>
            </w:r>
          </w:p>
          <w:p w14:paraId="0A18493F">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44"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16"/>
                <w:sz w:val="24"/>
                <w:szCs w:val="24"/>
                <w:lang w:val="en-US" w:eastAsia="zh-CN"/>
              </w:rPr>
              <w:t>1</w:t>
            </w: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8"/>
                <w:sz w:val="24"/>
                <w:szCs w:val="24"/>
              </w:rPr>
              <w:t>生态环境：调查</w:t>
            </w:r>
            <w:r>
              <w:rPr>
                <w:rFonts w:hint="default" w:ascii="Times New Roman" w:hAnsi="Times New Roman" w:eastAsia="宋体" w:cs="Times New Roman"/>
                <w:spacing w:val="8"/>
                <w:sz w:val="24"/>
                <w:szCs w:val="24"/>
                <w:lang w:val="en-US" w:eastAsia="zh-CN"/>
              </w:rPr>
              <w:t>水库和周围基础设施的施工过程中植被遭到破坏和进行恢复的情况，以及工程占地类型、实际情况，临时占地的恢复情况，取料场、弃渣场的恢复与防护情况。</w:t>
            </w:r>
          </w:p>
          <w:p w14:paraId="5CD5143E">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2</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7"/>
                <w:sz w:val="24"/>
                <w:szCs w:val="24"/>
              </w:rPr>
              <w:t>声</w:t>
            </w:r>
            <w:r>
              <w:rPr>
                <w:rFonts w:hint="default" w:ascii="Times New Roman" w:hAnsi="Times New Roman" w:eastAsia="宋体" w:cs="Times New Roman"/>
                <w:spacing w:val="6"/>
                <w:sz w:val="24"/>
                <w:szCs w:val="24"/>
              </w:rPr>
              <w:t>环境：项目区</w:t>
            </w:r>
            <w:r>
              <w:rPr>
                <w:rFonts w:hint="default" w:ascii="Times New Roman" w:hAnsi="Times New Roman" w:eastAsia="Times New Roman" w:cs="Times New Roman"/>
                <w:spacing w:val="6"/>
                <w:sz w:val="24"/>
                <w:szCs w:val="24"/>
              </w:rPr>
              <w:t>200</w:t>
            </w:r>
            <w:r>
              <w:rPr>
                <w:rFonts w:hint="default" w:ascii="Times New Roman" w:hAnsi="Times New Roman" w:eastAsia="Times New Roman" w:cs="Times New Roman"/>
                <w:sz w:val="24"/>
                <w:szCs w:val="24"/>
              </w:rPr>
              <w:t>m</w:t>
            </w:r>
            <w:r>
              <w:rPr>
                <w:rFonts w:hint="default" w:ascii="Times New Roman" w:hAnsi="Times New Roman" w:eastAsia="宋体" w:cs="Times New Roman"/>
                <w:spacing w:val="6"/>
                <w:sz w:val="24"/>
                <w:szCs w:val="24"/>
              </w:rPr>
              <w:t>范围内居民区等声环境敏感目标。</w:t>
            </w:r>
          </w:p>
          <w:p w14:paraId="1192AD1B">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5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9"/>
                <w:sz w:val="24"/>
                <w:szCs w:val="24"/>
              </w:rPr>
              <w:t>大气环境：施工期扬尘、汽车尾气等。</w:t>
            </w:r>
          </w:p>
          <w:p w14:paraId="45F0A35A">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水环境：施工期生产废水及生活污水排放情况及去向。</w:t>
            </w:r>
          </w:p>
          <w:p w14:paraId="190AE0C5">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rPr>
              <w:t>固体</w:t>
            </w:r>
            <w:r>
              <w:rPr>
                <w:rFonts w:hint="default" w:ascii="Times New Roman" w:hAnsi="Times New Roman" w:eastAsia="宋体" w:cs="Times New Roman"/>
                <w:spacing w:val="5"/>
                <w:sz w:val="24"/>
                <w:szCs w:val="24"/>
              </w:rPr>
              <w:t>废</w:t>
            </w:r>
            <w:r>
              <w:rPr>
                <w:rFonts w:hint="default" w:ascii="Times New Roman" w:hAnsi="Times New Roman" w:eastAsia="宋体" w:cs="Times New Roman"/>
                <w:spacing w:val="4"/>
                <w:sz w:val="24"/>
                <w:szCs w:val="24"/>
              </w:rPr>
              <w:t>物：施工期弃土、建筑垃圾，施工人员生活垃圾处置方</w:t>
            </w:r>
            <w:r>
              <w:rPr>
                <w:rFonts w:hint="default" w:ascii="Times New Roman" w:hAnsi="Times New Roman" w:eastAsia="宋体" w:cs="Times New Roman"/>
                <w:spacing w:val="-11"/>
                <w:sz w:val="24"/>
                <w:szCs w:val="24"/>
              </w:rPr>
              <w:t>式</w:t>
            </w:r>
            <w:r>
              <w:rPr>
                <w:rFonts w:hint="default" w:ascii="Times New Roman" w:hAnsi="Times New Roman" w:eastAsia="宋体" w:cs="Times New Roman"/>
                <w:spacing w:val="-7"/>
                <w:sz w:val="24"/>
                <w:szCs w:val="24"/>
              </w:rPr>
              <w:t>、去向。</w:t>
            </w:r>
          </w:p>
        </w:tc>
      </w:tr>
    </w:tbl>
    <w:p w14:paraId="7E6FA599">
      <w:pPr>
        <w:spacing w:line="74" w:lineRule="exact"/>
        <w:rPr>
          <w:rFonts w:hint="default" w:ascii="Times New Roman" w:hAnsi="Times New Roman" w:cs="Times New Roman"/>
        </w:rPr>
      </w:pPr>
    </w:p>
    <w:tbl>
      <w:tblPr>
        <w:tblStyle w:val="28"/>
        <w:tblW w:w="900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37"/>
        <w:gridCol w:w="8372"/>
      </w:tblGrid>
      <w:tr w14:paraId="65DE16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4" w:hRule="atLeast"/>
        </w:trPr>
        <w:tc>
          <w:tcPr>
            <w:tcW w:w="637" w:type="dxa"/>
            <w:tcBorders>
              <w:top w:val="single" w:color="auto" w:sz="4" w:space="0"/>
              <w:left w:val="single" w:color="auto" w:sz="4" w:space="0"/>
              <w:bottom w:val="single" w:color="auto" w:sz="4" w:space="0"/>
              <w:right w:val="single" w:color="auto" w:sz="4" w:space="0"/>
            </w:tcBorders>
            <w:vAlign w:val="center"/>
          </w:tcPr>
          <w:p w14:paraId="307EE809">
            <w:pPr>
              <w:spacing w:before="78" w:line="366" w:lineRule="auto"/>
              <w:ind w:left="117" w:right="108"/>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敏感目标</w:t>
            </w:r>
          </w:p>
        </w:tc>
        <w:tc>
          <w:tcPr>
            <w:tcW w:w="8372" w:type="dxa"/>
            <w:tcBorders>
              <w:top w:val="single" w:color="auto" w:sz="4" w:space="0"/>
              <w:left w:val="single" w:color="auto" w:sz="4" w:space="0"/>
              <w:bottom w:val="single" w:color="auto" w:sz="4" w:space="0"/>
              <w:right w:val="single" w:color="auto" w:sz="4" w:space="0"/>
            </w:tcBorders>
            <w:vAlign w:val="top"/>
          </w:tcPr>
          <w:p w14:paraId="706F0F2A">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本工程的主要建设</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w:t>
            </w:r>
          </w:p>
          <w:p w14:paraId="1C558420">
            <w:pPr>
              <w:keepNext w:val="0"/>
              <w:keepLines w:val="0"/>
              <w:pageBreakBefore w:val="0"/>
              <w:widowControl/>
              <w:kinsoku w:val="0"/>
              <w:wordWrap/>
              <w:overflowPunct/>
              <w:topLinePunct w:val="0"/>
              <w:autoSpaceDE w:val="0"/>
              <w:autoSpaceDN w:val="0"/>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表3-2</w:t>
            </w:r>
            <w:r>
              <w:rPr>
                <w:rFonts w:hint="default" w:ascii="Times New Roman" w:hAnsi="Times New Roman" w:eastAsia="Times New Roman" w:cs="Times New Roman"/>
                <w:sz w:val="21"/>
                <w:szCs w:val="21"/>
              </w:rPr>
              <w:t xml:space="preserve">   </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项目环境保护评价表</w:t>
            </w:r>
          </w:p>
          <w:tbl>
            <w:tblPr>
              <w:tblStyle w:val="2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3"/>
              <w:gridCol w:w="1143"/>
              <w:gridCol w:w="2030"/>
              <w:gridCol w:w="1569"/>
              <w:gridCol w:w="2954"/>
            </w:tblGrid>
            <w:tr w14:paraId="0D4AA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91" w:type="pct"/>
                  <w:vAlign w:val="center"/>
                </w:tcPr>
                <w:p w14:paraId="7E677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序号</w:t>
                  </w:r>
                </w:p>
              </w:tc>
              <w:tc>
                <w:tcPr>
                  <w:tcW w:w="684" w:type="pct"/>
                  <w:vAlign w:val="center"/>
                </w:tcPr>
                <w:p w14:paraId="517802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环境要素</w:t>
                  </w:r>
                </w:p>
              </w:tc>
              <w:tc>
                <w:tcPr>
                  <w:tcW w:w="1215" w:type="pct"/>
                  <w:vAlign w:val="center"/>
                </w:tcPr>
                <w:p w14:paraId="0C056C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保护目标</w:t>
                  </w:r>
                </w:p>
              </w:tc>
              <w:tc>
                <w:tcPr>
                  <w:tcW w:w="939" w:type="pct"/>
                  <w:vAlign w:val="center"/>
                </w:tcPr>
                <w:p w14:paraId="0FA3C277">
                  <w:pPr>
                    <w:pStyle w:val="25"/>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工程与敏感目标</w:t>
                  </w:r>
                </w:p>
                <w:p w14:paraId="2C041A3A">
                  <w:pPr>
                    <w:pStyle w:val="25"/>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200" w:leftChars="0" w:right="0" w:firstLine="0" w:firstLineChars="0"/>
                    <w:jc w:val="center"/>
                    <w:textAlignment w:val="auto"/>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的关系</w:t>
                  </w:r>
                </w:p>
              </w:tc>
              <w:tc>
                <w:tcPr>
                  <w:tcW w:w="1768" w:type="pct"/>
                  <w:vAlign w:val="center"/>
                </w:tcPr>
                <w:p w14:paraId="5AAB9B3D">
                  <w:pPr>
                    <w:pStyle w:val="25"/>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200" w:leftChars="0" w:right="0" w:firstLine="0" w:firstLineChars="0"/>
                    <w:jc w:val="center"/>
                    <w:textAlignment w:val="auto"/>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敏感点环境保护要求</w:t>
                  </w:r>
                </w:p>
              </w:tc>
            </w:tr>
            <w:tr w14:paraId="05B25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53" w:type="dxa"/>
                  <w:vMerge w:val="restart"/>
                  <w:vAlign w:val="center"/>
                </w:tcPr>
                <w:p w14:paraId="4E6BA6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0" w:leftChars="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Calibri" w:cs="Times New Roman"/>
                      <w:color w:val="000000" w:themeColor="text1"/>
                      <w:szCs w:val="21"/>
                      <w:highlight w:val="none"/>
                      <w:lang w:val="en-US" w:eastAsia="zh-CN"/>
                      <w14:textFill>
                        <w14:solidFill>
                          <w14:schemeClr w14:val="tx1"/>
                        </w14:solidFill>
                      </w14:textFill>
                    </w:rPr>
                    <w:t>1</w:t>
                  </w:r>
                </w:p>
              </w:tc>
              <w:tc>
                <w:tcPr>
                  <w:tcW w:w="1143" w:type="dxa"/>
                  <w:vMerge w:val="restart"/>
                  <w:vAlign w:val="center"/>
                </w:tcPr>
                <w:p w14:paraId="2F72D7E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环境空气、声环境</w:t>
                  </w:r>
                </w:p>
              </w:tc>
              <w:tc>
                <w:tcPr>
                  <w:tcW w:w="2030" w:type="dxa"/>
                  <w:vAlign w:val="center"/>
                </w:tcPr>
                <w:p w14:paraId="78D5A3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皮山农场场部居民点1</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，160人</w:t>
                  </w:r>
                </w:p>
              </w:tc>
              <w:tc>
                <w:tcPr>
                  <w:tcW w:w="1569" w:type="dxa"/>
                  <w:vAlign w:val="center"/>
                </w:tcPr>
                <w:p w14:paraId="4B6747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东</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侧</w:t>
                  </w: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42</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m</w:t>
                  </w:r>
                </w:p>
              </w:tc>
              <w:tc>
                <w:tcPr>
                  <w:tcW w:w="2954" w:type="dxa"/>
                  <w:vMerge w:val="restart"/>
                  <w:vAlign w:val="center"/>
                </w:tcPr>
                <w:p w14:paraId="58300FF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《环境空气质量标准》（GB3095-2012）二级标准</w:t>
                  </w:r>
                </w:p>
                <w:p w14:paraId="6FF400A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《声环境质量标准》（GB3096-2008）中的</w:t>
                  </w:r>
                  <w:r>
                    <w:rPr>
                      <w:rFonts w:hint="eastAsia" w:ascii="Times New Roman" w:hAnsi="Times New Roman" w:cs="Times New Roman"/>
                      <w:color w:val="000000" w:themeColor="text1"/>
                      <w:kern w:val="2"/>
                      <w:sz w:val="21"/>
                      <w:szCs w:val="21"/>
                      <w:highlight w:val="none"/>
                      <w:lang w:val="en-US" w:eastAsia="zh-CN" w:bidi="ar"/>
                      <w14:textFill>
                        <w14:solidFill>
                          <w14:schemeClr w14:val="tx1"/>
                        </w14:solidFill>
                      </w14:textFill>
                    </w:rPr>
                    <w:t>2</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类标准</w:t>
                  </w:r>
                </w:p>
              </w:tc>
            </w:tr>
            <w:tr w14:paraId="602A4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53" w:type="dxa"/>
                  <w:vMerge w:val="continue"/>
                  <w:vAlign w:val="center"/>
                </w:tcPr>
                <w:p w14:paraId="514412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0" w:leftChars="0" w:right="0" w:firstLine="0" w:firstLineChars="0"/>
                    <w:jc w:val="center"/>
                    <w:textAlignment w:val="auto"/>
                    <w:rPr>
                      <w:rFonts w:hint="default"/>
                    </w:rPr>
                  </w:pPr>
                </w:p>
              </w:tc>
              <w:tc>
                <w:tcPr>
                  <w:tcW w:w="1143" w:type="dxa"/>
                  <w:vMerge w:val="continue"/>
                  <w:vAlign w:val="center"/>
                </w:tcPr>
                <w:p w14:paraId="5463BA6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rPr>
                  </w:pPr>
                </w:p>
              </w:tc>
              <w:tc>
                <w:tcPr>
                  <w:tcW w:w="2030" w:type="dxa"/>
                  <w:vAlign w:val="center"/>
                </w:tcPr>
                <w:p w14:paraId="48D396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皮山农场场部居民点2</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，100人</w:t>
                  </w:r>
                </w:p>
              </w:tc>
              <w:tc>
                <w:tcPr>
                  <w:tcW w:w="1569" w:type="dxa"/>
                  <w:vAlign w:val="center"/>
                </w:tcPr>
                <w:p w14:paraId="166DB64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东侧43</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m</w:t>
                  </w:r>
                </w:p>
              </w:tc>
              <w:tc>
                <w:tcPr>
                  <w:tcW w:w="2954" w:type="dxa"/>
                  <w:vMerge w:val="continue"/>
                  <w:vAlign w:val="center"/>
                </w:tcPr>
                <w:p w14:paraId="7886542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p>
              </w:tc>
            </w:tr>
            <w:tr w14:paraId="3079F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653" w:type="dxa"/>
                  <w:vAlign w:val="center"/>
                </w:tcPr>
                <w:p w14:paraId="4FDAC3C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0" w:leftChars="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szCs w:val="21"/>
                      <w:highlight w:val="none"/>
                      <w:lang w:val="en-US" w:eastAsia="zh-CN"/>
                      <w14:textFill>
                        <w14:solidFill>
                          <w14:schemeClr w14:val="tx1"/>
                        </w14:solidFill>
                      </w14:textFill>
                    </w:rPr>
                    <w:t>2</w:t>
                  </w:r>
                </w:p>
              </w:tc>
              <w:tc>
                <w:tcPr>
                  <w:tcW w:w="1143" w:type="dxa"/>
                  <w:vAlign w:val="center"/>
                </w:tcPr>
                <w:p w14:paraId="1B936A3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生态</w:t>
                  </w:r>
                </w:p>
              </w:tc>
              <w:tc>
                <w:tcPr>
                  <w:tcW w:w="2030" w:type="dxa"/>
                  <w:vAlign w:val="center"/>
                </w:tcPr>
                <w:p w14:paraId="6A5C7A1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防护林及</w:t>
                  </w:r>
                </w:p>
                <w:p w14:paraId="6A7B7BE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自然植被</w:t>
                  </w:r>
                </w:p>
              </w:tc>
              <w:tc>
                <w:tcPr>
                  <w:tcW w:w="1569" w:type="dxa"/>
                  <w:vAlign w:val="center"/>
                </w:tcPr>
                <w:p w14:paraId="6B0022C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项目区</w:t>
                  </w: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周边</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分布</w:t>
                  </w:r>
                </w:p>
              </w:tc>
              <w:tc>
                <w:tcPr>
                  <w:tcW w:w="2954" w:type="dxa"/>
                  <w:vAlign w:val="center"/>
                </w:tcPr>
                <w:p w14:paraId="6006676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防护林及自然植被不遭受破坏</w:t>
                  </w:r>
                </w:p>
              </w:tc>
            </w:tr>
          </w:tbl>
          <w:p w14:paraId="49952986">
            <w:pPr>
              <w:rPr>
                <w:rFonts w:hint="default" w:ascii="Times New Roman" w:hAnsi="Times New Roman" w:cs="Times New Roman"/>
                <w:lang w:val="en-US" w:eastAsia="zh-CN"/>
              </w:rPr>
            </w:pPr>
          </w:p>
        </w:tc>
      </w:tr>
      <w:tr w14:paraId="22E3C8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7" w:hRule="atLeast"/>
        </w:trPr>
        <w:tc>
          <w:tcPr>
            <w:tcW w:w="637" w:type="dxa"/>
            <w:tcBorders>
              <w:top w:val="single" w:color="auto" w:sz="4" w:space="0"/>
              <w:left w:val="single" w:color="auto" w:sz="4" w:space="0"/>
              <w:bottom w:val="single" w:color="auto" w:sz="4" w:space="0"/>
              <w:right w:val="single" w:color="auto" w:sz="4" w:space="0"/>
            </w:tcBorders>
            <w:vAlign w:val="center"/>
          </w:tcPr>
          <w:p w14:paraId="2E9789A1">
            <w:pPr>
              <w:spacing w:before="78" w:line="371" w:lineRule="auto"/>
              <w:ind w:left="118" w:right="108"/>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查重点</w:t>
            </w:r>
          </w:p>
        </w:tc>
        <w:tc>
          <w:tcPr>
            <w:tcW w:w="8372" w:type="dxa"/>
            <w:tcBorders>
              <w:top w:val="single" w:color="auto" w:sz="4" w:space="0"/>
              <w:left w:val="single" w:color="auto" w:sz="4" w:space="0"/>
              <w:bottom w:val="single" w:color="auto" w:sz="4" w:space="0"/>
              <w:right w:val="single" w:color="auto" w:sz="4" w:space="0"/>
            </w:tcBorders>
            <w:vAlign w:val="center"/>
          </w:tcPr>
          <w:p w14:paraId="5B42096C">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根据《建设项目</w:t>
            </w:r>
            <w:r>
              <w:rPr>
                <w:rFonts w:hint="default" w:ascii="Times New Roman" w:hAnsi="Times New Roman" w:eastAsia="宋体" w:cs="Times New Roman"/>
                <w:spacing w:val="8"/>
                <w:sz w:val="24"/>
                <w:szCs w:val="24"/>
                <w:lang w:val="en-US" w:eastAsia="zh-CN"/>
              </w:rPr>
              <w:t>竣工环境保护</w:t>
            </w:r>
            <w:r>
              <w:rPr>
                <w:rFonts w:hint="default" w:ascii="Times New Roman" w:hAnsi="Times New Roman" w:eastAsia="宋体" w:cs="Times New Roman"/>
                <w:spacing w:val="8"/>
                <w:sz w:val="24"/>
                <w:szCs w:val="24"/>
                <w:lang w:eastAsia="zh-CN"/>
              </w:rPr>
              <w:t>验收技术规范 生态影响类》(HJ/T394-2007)及现场勘察，本次调查的重点是：</w:t>
            </w:r>
          </w:p>
          <w:p w14:paraId="120777FE">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）实际工程内容及方案设计变更情况；</w:t>
            </w:r>
          </w:p>
          <w:p w14:paraId="1B11A670">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）实际工程内容及方案设计变更造成的环境影响变化情况；</w:t>
            </w:r>
          </w:p>
          <w:p w14:paraId="17CEEC05">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）环境影响评价制度及其他环境保护规章制度执行情况；</w:t>
            </w:r>
          </w:p>
          <w:p w14:paraId="3D5BCB8A">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）环境影响评价文件及环境影响评价审批文件中提出的主要环境影响；</w:t>
            </w:r>
          </w:p>
          <w:p w14:paraId="4D10F889">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）环境质量和主要污染因子达标情况；</w:t>
            </w:r>
          </w:p>
          <w:p w14:paraId="48C7F970">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）环境保护设计文件、环境影响评价文件及环境影响评价审批文件中提出的环境保护措施落实情况及其效果、环境风险防范与应急措施落实情况及有效性；</w:t>
            </w:r>
          </w:p>
          <w:p w14:paraId="0766F377">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）工程施工期和试运营期实际存在的及公众反映强烈的环境问题</w:t>
            </w:r>
          </w:p>
          <w:p w14:paraId="23C71764">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）验收环境影响评价文件对污染因子达标情况的预测结果；</w:t>
            </w:r>
          </w:p>
          <w:p w14:paraId="318646F0">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）工程环境保护投资情况。</w:t>
            </w:r>
          </w:p>
        </w:tc>
      </w:tr>
    </w:tbl>
    <w:p w14:paraId="0E01EAFD">
      <w:pPr>
        <w:rPr>
          <w:rFonts w:hint="default" w:ascii="Times New Roman" w:hAnsi="Times New Roman" w:cs="Times New Roman"/>
          <w:sz w:val="21"/>
        </w:rPr>
      </w:pPr>
    </w:p>
    <w:p w14:paraId="7110301A">
      <w:pPr>
        <w:rPr>
          <w:rFonts w:hint="default" w:ascii="Times New Roman" w:hAnsi="Times New Roman" w:cs="Times New Roman"/>
        </w:rPr>
        <w:sectPr>
          <w:footerReference r:id="rId8"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598ABC4F">
      <w:pPr>
        <w:pStyle w:val="3"/>
        <w:bidi w:val="0"/>
        <w:rPr>
          <w:rFonts w:hint="default" w:ascii="Times New Roman" w:hAnsi="Times New Roman" w:cs="Times New Roman"/>
          <w:sz w:val="32"/>
          <w:szCs w:val="52"/>
        </w:rPr>
      </w:pPr>
      <w:bookmarkStart w:id="3" w:name="_Toc731"/>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四</w:t>
      </w:r>
      <w:r>
        <w:rPr>
          <w:rFonts w:hint="default" w:ascii="Times New Roman" w:hAnsi="Times New Roman" w:cs="Times New Roman"/>
          <w:sz w:val="32"/>
          <w:szCs w:val="52"/>
        </w:rPr>
        <w:t xml:space="preserve"> 验收执行标准</w:t>
      </w:r>
      <w:bookmarkEnd w:id="3"/>
    </w:p>
    <w:tbl>
      <w:tblPr>
        <w:tblStyle w:val="28"/>
        <w:tblW w:w="906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58"/>
        <w:gridCol w:w="7311"/>
      </w:tblGrid>
      <w:tr w14:paraId="2D07A4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07" w:hRule="atLeast"/>
        </w:trPr>
        <w:tc>
          <w:tcPr>
            <w:tcW w:w="1758" w:type="dxa"/>
            <w:vAlign w:val="center"/>
          </w:tcPr>
          <w:p w14:paraId="2468E177">
            <w:pPr>
              <w:spacing w:before="78" w:line="220" w:lineRule="auto"/>
              <w:ind w:left="198"/>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环境质量标准</w:t>
            </w:r>
          </w:p>
        </w:tc>
        <w:tc>
          <w:tcPr>
            <w:tcW w:w="7311" w:type="dxa"/>
            <w:vAlign w:val="top"/>
          </w:tcPr>
          <w:p w14:paraId="53444846">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本次环境影响调查，原则上采用该项目环境影响报告表所采用的环境标准，对已修订新颁布的标准则采用替代后的新标准进行校核。</w:t>
            </w:r>
          </w:p>
          <w:p w14:paraId="1505BBB9">
            <w:pPr>
              <w:keepNext w:val="0"/>
              <w:keepLines w:val="0"/>
              <w:pageBreakBefore w:val="0"/>
              <w:widowControl/>
              <w:numPr>
                <w:ilvl w:val="0"/>
                <w:numId w:val="3"/>
              </w:numPr>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项目验收阶段执行《环境空气质量标准》(GB3095-2012)中二级标准；</w:t>
            </w:r>
          </w:p>
          <w:p w14:paraId="1E9AFF64">
            <w:pPr>
              <w:jc w:val="center"/>
              <w:rPr>
                <w:rFonts w:hint="default" w:ascii="Times New Roman" w:hAnsi="Times New Roman" w:cs="Times New Roman"/>
                <w:b/>
                <w:bCs/>
              </w:rPr>
            </w:pPr>
            <w:r>
              <w:rPr>
                <w:rFonts w:hint="default" w:ascii="Times New Roman" w:hAnsi="Times New Roman" w:cs="Times New Roman"/>
                <w:b/>
                <w:bCs/>
              </w:rPr>
              <w:t>表</w:t>
            </w:r>
            <w:r>
              <w:rPr>
                <w:rFonts w:hint="default" w:ascii="Times New Roman" w:hAnsi="Times New Roman" w:cs="Times New Roman"/>
                <w:b/>
                <w:bCs/>
                <w:lang w:val="en-US" w:eastAsia="zh-CN"/>
              </w:rPr>
              <w:t xml:space="preserve">4-1   </w:t>
            </w:r>
            <w:r>
              <w:rPr>
                <w:rFonts w:hint="default" w:ascii="Times New Roman" w:hAnsi="Times New Roman" w:cs="Times New Roman"/>
                <w:b/>
                <w:bCs/>
              </w:rPr>
              <w:t>环境空气质量标准</w:t>
            </w:r>
          </w:p>
          <w:tbl>
            <w:tblPr>
              <w:tblStyle w:val="21"/>
              <w:tblW w:w="495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19"/>
              <w:gridCol w:w="2040"/>
              <w:gridCol w:w="1039"/>
              <w:gridCol w:w="1039"/>
              <w:gridCol w:w="1011"/>
              <w:gridCol w:w="1084"/>
            </w:tblGrid>
            <w:tr w14:paraId="43C699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PrEx>
              <w:trPr>
                <w:trHeight w:val="401" w:hRule="atLeast"/>
                <w:jc w:val="center"/>
              </w:trPr>
              <w:tc>
                <w:tcPr>
                  <w:tcW w:w="708" w:type="pct"/>
                  <w:tcBorders>
                    <w:tl2br w:val="nil"/>
                    <w:tr2bl w:val="nil"/>
                  </w:tcBorders>
                  <w:shd w:val="clear" w:color="auto" w:fill="auto"/>
                  <w:noWrap w:val="0"/>
                  <w:vAlign w:val="center"/>
                </w:tcPr>
                <w:p w14:paraId="31C44C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评价因子</w:t>
                  </w:r>
                </w:p>
              </w:tc>
              <w:tc>
                <w:tcPr>
                  <w:tcW w:w="1414" w:type="pct"/>
                  <w:tcBorders>
                    <w:tl2br w:val="nil"/>
                    <w:tr2bl w:val="nil"/>
                  </w:tcBorders>
                  <w:shd w:val="clear" w:color="auto" w:fill="auto"/>
                  <w:noWrap w:val="0"/>
                  <w:vAlign w:val="center"/>
                </w:tcPr>
                <w:p w14:paraId="6F073B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年评价指标</w:t>
                  </w:r>
                </w:p>
              </w:tc>
              <w:tc>
                <w:tcPr>
                  <w:tcW w:w="703" w:type="pct"/>
                  <w:tcBorders>
                    <w:tl2br w:val="nil"/>
                    <w:tr2bl w:val="nil"/>
                  </w:tcBorders>
                  <w:shd w:val="clear" w:color="auto" w:fill="auto"/>
                  <w:noWrap w:val="0"/>
                  <w:vAlign w:val="center"/>
                </w:tcPr>
                <w:p w14:paraId="6948138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现状浓度</w:t>
                  </w:r>
                </w:p>
              </w:tc>
              <w:tc>
                <w:tcPr>
                  <w:tcW w:w="716" w:type="pct"/>
                  <w:tcBorders>
                    <w:tl2br w:val="nil"/>
                    <w:tr2bl w:val="nil"/>
                  </w:tcBorders>
                  <w:shd w:val="clear" w:color="auto" w:fill="auto"/>
                  <w:noWrap w:val="0"/>
                  <w:vAlign w:val="center"/>
                </w:tcPr>
                <w:p w14:paraId="38062B8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标准限值</w:t>
                  </w:r>
                </w:p>
              </w:tc>
              <w:tc>
                <w:tcPr>
                  <w:tcW w:w="703" w:type="pct"/>
                  <w:tcBorders>
                    <w:tl2br w:val="nil"/>
                    <w:tr2bl w:val="nil"/>
                  </w:tcBorders>
                  <w:shd w:val="clear" w:color="auto" w:fill="auto"/>
                  <w:noWrap w:val="0"/>
                  <w:vAlign w:val="center"/>
                </w:tcPr>
                <w:p w14:paraId="64BE74F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占标率%</w:t>
                  </w:r>
                </w:p>
              </w:tc>
              <w:tc>
                <w:tcPr>
                  <w:tcW w:w="753" w:type="pct"/>
                  <w:tcBorders>
                    <w:tl2br w:val="nil"/>
                    <w:tr2bl w:val="nil"/>
                  </w:tcBorders>
                  <w:shd w:val="clear" w:color="auto" w:fill="auto"/>
                  <w:noWrap w:val="0"/>
                  <w:vAlign w:val="center"/>
                </w:tcPr>
                <w:p w14:paraId="34F091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达标情况</w:t>
                  </w:r>
                </w:p>
              </w:tc>
            </w:tr>
            <w:tr w14:paraId="45660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708" w:type="pct"/>
                  <w:tcBorders>
                    <w:tl2br w:val="nil"/>
                    <w:tr2bl w:val="nil"/>
                  </w:tcBorders>
                  <w:shd w:val="clear" w:color="auto" w:fill="auto"/>
                  <w:noWrap w:val="0"/>
                  <w:vAlign w:val="center"/>
                </w:tcPr>
                <w:p w14:paraId="79040D6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SO</w:t>
                  </w:r>
                  <w:r>
                    <w:rPr>
                      <w:rFonts w:hint="default" w:ascii="Times New Roman" w:hAnsi="Times New Roman" w:eastAsia="宋体" w:cs="Times New Roman"/>
                      <w:color w:val="000000" w:themeColor="text1"/>
                      <w:sz w:val="21"/>
                      <w:szCs w:val="21"/>
                      <w:vertAlign w:val="subscript"/>
                      <w14:textFill>
                        <w14:solidFill>
                          <w14:schemeClr w14:val="tx1"/>
                        </w14:solidFill>
                      </w14:textFill>
                    </w:rPr>
                    <w:t>2</w:t>
                  </w:r>
                </w:p>
              </w:tc>
              <w:tc>
                <w:tcPr>
                  <w:tcW w:w="1414" w:type="pct"/>
                  <w:tcBorders>
                    <w:tl2br w:val="nil"/>
                    <w:tr2bl w:val="nil"/>
                  </w:tcBorders>
                  <w:shd w:val="clear" w:color="auto" w:fill="auto"/>
                  <w:noWrap w:val="0"/>
                  <w:vAlign w:val="center"/>
                </w:tcPr>
                <w:p w14:paraId="0C080E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45533FF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bCs/>
                      <w:color w:val="000000" w:themeColor="text1"/>
                      <w:sz w:val="21"/>
                      <w:szCs w:val="21"/>
                      <w:lang w:val="en-US" w:eastAsia="zh-CN"/>
                      <w14:textFill>
                        <w14:solidFill>
                          <w14:schemeClr w14:val="tx1"/>
                        </w14:solidFill>
                      </w14:textFill>
                    </w:rPr>
                    <w:t>14</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0B3D022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60μg/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2807F4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23.3</w:t>
                  </w:r>
                </w:p>
              </w:tc>
              <w:tc>
                <w:tcPr>
                  <w:tcW w:w="753" w:type="pct"/>
                  <w:tcBorders>
                    <w:tl2br w:val="nil"/>
                    <w:tr2bl w:val="nil"/>
                  </w:tcBorders>
                  <w:shd w:val="clear" w:color="auto" w:fill="auto"/>
                  <w:noWrap w:val="0"/>
                  <w:vAlign w:val="center"/>
                </w:tcPr>
                <w:p w14:paraId="14040ED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4AF978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39F66F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NO</w:t>
                  </w:r>
                  <w:r>
                    <w:rPr>
                      <w:rFonts w:hint="default" w:ascii="Times New Roman" w:hAnsi="Times New Roman" w:eastAsia="宋体" w:cs="Times New Roman"/>
                      <w:color w:val="000000" w:themeColor="text1"/>
                      <w:sz w:val="21"/>
                      <w:szCs w:val="21"/>
                      <w:vertAlign w:val="subscript"/>
                      <w14:textFill>
                        <w14:solidFill>
                          <w14:schemeClr w14:val="tx1"/>
                        </w14:solidFill>
                      </w14:textFill>
                    </w:rPr>
                    <w:t>2</w:t>
                  </w:r>
                </w:p>
              </w:tc>
              <w:tc>
                <w:tcPr>
                  <w:tcW w:w="1414" w:type="pct"/>
                  <w:tcBorders>
                    <w:tl2br w:val="nil"/>
                    <w:tr2bl w:val="nil"/>
                  </w:tcBorders>
                  <w:shd w:val="clear" w:color="auto" w:fill="auto"/>
                  <w:noWrap w:val="0"/>
                  <w:vAlign w:val="center"/>
                </w:tcPr>
                <w:p w14:paraId="1831B6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1CCD7AB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bCs/>
                      <w:color w:val="000000" w:themeColor="text1"/>
                      <w:sz w:val="21"/>
                      <w:szCs w:val="21"/>
                      <w:lang w:val="en-US" w:eastAsia="zh-CN"/>
                      <w14:textFill>
                        <w14:solidFill>
                          <w14:schemeClr w14:val="tx1"/>
                        </w14:solidFill>
                      </w14:textFill>
                    </w:rPr>
                    <w:t>26</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1947F3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40μg/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32A312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65.0</w:t>
                  </w:r>
                </w:p>
              </w:tc>
              <w:tc>
                <w:tcPr>
                  <w:tcW w:w="753" w:type="pct"/>
                  <w:tcBorders>
                    <w:tl2br w:val="nil"/>
                    <w:tr2bl w:val="nil"/>
                  </w:tcBorders>
                  <w:shd w:val="clear" w:color="auto" w:fill="auto"/>
                  <w:noWrap w:val="0"/>
                  <w:vAlign w:val="center"/>
                </w:tcPr>
                <w:p w14:paraId="753676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037F46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0BBC507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CO</w:t>
                  </w:r>
                </w:p>
              </w:tc>
              <w:tc>
                <w:tcPr>
                  <w:tcW w:w="1414" w:type="pct"/>
                  <w:tcBorders>
                    <w:tl2br w:val="nil"/>
                    <w:tr2bl w:val="nil"/>
                  </w:tcBorders>
                  <w:shd w:val="clear" w:color="auto" w:fill="auto"/>
                  <w:noWrap w:val="0"/>
                  <w:vAlign w:val="center"/>
                </w:tcPr>
                <w:p w14:paraId="20BBFD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第95百分位数日平均</w:t>
                  </w:r>
                </w:p>
              </w:tc>
              <w:tc>
                <w:tcPr>
                  <w:tcW w:w="703" w:type="pct"/>
                  <w:tcBorders>
                    <w:tl2br w:val="nil"/>
                    <w:tr2bl w:val="nil"/>
                  </w:tcBorders>
                  <w:shd w:val="clear" w:color="auto" w:fill="auto"/>
                  <w:noWrap w:val="0"/>
                  <w:vAlign w:val="center"/>
                </w:tcPr>
                <w:p w14:paraId="1EF62F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bCs/>
                      <w:color w:val="000000" w:themeColor="text1"/>
                      <w:sz w:val="21"/>
                      <w:szCs w:val="21"/>
                      <w:lang w:val="en-US" w:eastAsia="zh-CN"/>
                      <w14:textFill>
                        <w14:solidFill>
                          <w14:schemeClr w14:val="tx1"/>
                        </w14:solidFill>
                      </w14:textFill>
                    </w:rPr>
                    <w:t>1.8</w:t>
                  </w:r>
                  <w:r>
                    <w:rPr>
                      <w:rFonts w:hint="default" w:ascii="Times New Roman" w:hAnsi="Times New Roman" w:eastAsia="宋体" w:cs="Times New Roman"/>
                      <w:bCs/>
                      <w:color w:val="000000" w:themeColor="text1"/>
                      <w:sz w:val="21"/>
                      <w:szCs w:val="21"/>
                      <w14:textFill>
                        <w14:solidFill>
                          <w14:schemeClr w14:val="tx1"/>
                        </w14:solidFill>
                      </w14:textFill>
                    </w:rPr>
                    <w:t>mg/</w:t>
                  </w:r>
                  <w:r>
                    <w:rPr>
                      <w:rFonts w:hint="default" w:ascii="Times New Roman" w:hAnsi="Times New Roman" w:cs="Times New Roman"/>
                      <w:bCs/>
                      <w:color w:val="000000" w:themeColor="text1"/>
                      <w:sz w:val="21"/>
                      <w:szCs w:val="21"/>
                      <w:lang w:eastAsia="zh-CN"/>
                      <w14:textFill>
                        <w14:solidFill>
                          <w14:schemeClr w14:val="tx1"/>
                        </w14:solidFill>
                      </w14:textFill>
                    </w:rPr>
                    <w:t>m</w:t>
                  </w:r>
                  <w:r>
                    <w:rPr>
                      <w:rFonts w:hint="default" w:ascii="Times New Roman" w:hAnsi="Times New Roman" w:cs="Times New Roman"/>
                      <w:bCs/>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690A7B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4</w:t>
                  </w:r>
                  <w:r>
                    <w:rPr>
                      <w:rFonts w:hint="default" w:ascii="Times New Roman" w:hAnsi="Times New Roman" w:eastAsia="宋体" w:cs="Times New Roman"/>
                      <w:bCs/>
                      <w:color w:val="000000" w:themeColor="text1"/>
                      <w:sz w:val="21"/>
                      <w:szCs w:val="21"/>
                      <w14:textFill>
                        <w14:solidFill>
                          <w14:schemeClr w14:val="tx1"/>
                        </w14:solidFill>
                      </w14:textFill>
                    </w:rPr>
                    <w:t>mg/</w:t>
                  </w:r>
                  <w:r>
                    <w:rPr>
                      <w:rFonts w:hint="default" w:ascii="Times New Roman" w:hAnsi="Times New Roman" w:cs="Times New Roman"/>
                      <w:bCs/>
                      <w:color w:val="000000" w:themeColor="text1"/>
                      <w:sz w:val="21"/>
                      <w:szCs w:val="21"/>
                      <w:lang w:eastAsia="zh-CN"/>
                      <w14:textFill>
                        <w14:solidFill>
                          <w14:schemeClr w14:val="tx1"/>
                        </w14:solidFill>
                      </w14:textFill>
                    </w:rPr>
                    <w:t>m</w:t>
                  </w:r>
                  <w:r>
                    <w:rPr>
                      <w:rFonts w:hint="default" w:ascii="Times New Roman" w:hAnsi="Times New Roman" w:cs="Times New Roman"/>
                      <w:bCs/>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626097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45.0</w:t>
                  </w:r>
                </w:p>
              </w:tc>
              <w:tc>
                <w:tcPr>
                  <w:tcW w:w="753" w:type="pct"/>
                  <w:tcBorders>
                    <w:tl2br w:val="nil"/>
                    <w:tr2bl w:val="nil"/>
                  </w:tcBorders>
                  <w:shd w:val="clear" w:color="auto" w:fill="auto"/>
                  <w:noWrap w:val="0"/>
                  <w:vAlign w:val="center"/>
                </w:tcPr>
                <w:p w14:paraId="55D6503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2C92E8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5CFF94F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O</w:t>
                  </w:r>
                  <w:r>
                    <w:rPr>
                      <w:rFonts w:hint="default" w:ascii="Times New Roman" w:hAnsi="Times New Roman" w:eastAsia="宋体" w:cs="Times New Roman"/>
                      <w:color w:val="000000" w:themeColor="text1"/>
                      <w:sz w:val="21"/>
                      <w:szCs w:val="21"/>
                      <w:vertAlign w:val="subscript"/>
                      <w14:textFill>
                        <w14:solidFill>
                          <w14:schemeClr w14:val="tx1"/>
                        </w14:solidFill>
                      </w14:textFill>
                    </w:rPr>
                    <w:t>3</w:t>
                  </w:r>
                </w:p>
              </w:tc>
              <w:tc>
                <w:tcPr>
                  <w:tcW w:w="1414" w:type="pct"/>
                  <w:tcBorders>
                    <w:tl2br w:val="nil"/>
                    <w:tr2bl w:val="nil"/>
                  </w:tcBorders>
                  <w:shd w:val="clear" w:color="auto" w:fill="auto"/>
                  <w:noWrap w:val="0"/>
                  <w:vAlign w:val="center"/>
                </w:tcPr>
                <w:p w14:paraId="754DB1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第90百分位数日平均</w:t>
                  </w:r>
                </w:p>
              </w:tc>
              <w:tc>
                <w:tcPr>
                  <w:tcW w:w="703" w:type="pct"/>
                  <w:tcBorders>
                    <w:tl2br w:val="nil"/>
                    <w:tr2bl w:val="nil"/>
                  </w:tcBorders>
                  <w:shd w:val="clear" w:color="auto" w:fill="auto"/>
                  <w:noWrap w:val="0"/>
                  <w:vAlign w:val="center"/>
                </w:tcPr>
                <w:p w14:paraId="1BD078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112</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2723609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160μg/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01F75E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70.0</w:t>
                  </w:r>
                </w:p>
              </w:tc>
              <w:tc>
                <w:tcPr>
                  <w:tcW w:w="753" w:type="pct"/>
                  <w:tcBorders>
                    <w:tl2br w:val="nil"/>
                    <w:tr2bl w:val="nil"/>
                  </w:tcBorders>
                  <w:shd w:val="clear" w:color="auto" w:fill="auto"/>
                  <w:noWrap w:val="0"/>
                  <w:vAlign w:val="center"/>
                </w:tcPr>
                <w:p w14:paraId="34D384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39ED97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3F4C09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PM</w:t>
                  </w:r>
                  <w:r>
                    <w:rPr>
                      <w:rFonts w:hint="default" w:ascii="Times New Roman" w:hAnsi="Times New Roman" w:eastAsia="宋体" w:cs="Times New Roman"/>
                      <w:color w:val="000000" w:themeColor="text1"/>
                      <w:sz w:val="21"/>
                      <w:szCs w:val="21"/>
                      <w:vertAlign w:val="subscript"/>
                      <w14:textFill>
                        <w14:solidFill>
                          <w14:schemeClr w14:val="tx1"/>
                        </w14:solidFill>
                      </w14:textFill>
                    </w:rPr>
                    <w:t>10</w:t>
                  </w:r>
                </w:p>
              </w:tc>
              <w:tc>
                <w:tcPr>
                  <w:tcW w:w="1414" w:type="pct"/>
                  <w:tcBorders>
                    <w:tl2br w:val="nil"/>
                    <w:tr2bl w:val="nil"/>
                  </w:tcBorders>
                  <w:shd w:val="clear" w:color="auto" w:fill="auto"/>
                  <w:noWrap w:val="0"/>
                  <w:vAlign w:val="center"/>
                </w:tcPr>
                <w:p w14:paraId="32BF01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225211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128</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346D613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70μg/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009A641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182.9</w:t>
                  </w:r>
                </w:p>
              </w:tc>
              <w:tc>
                <w:tcPr>
                  <w:tcW w:w="753" w:type="pct"/>
                  <w:tcBorders>
                    <w:tl2br w:val="nil"/>
                    <w:tr2bl w:val="nil"/>
                  </w:tcBorders>
                  <w:shd w:val="clear" w:color="auto" w:fill="auto"/>
                  <w:noWrap w:val="0"/>
                  <w:vAlign w:val="center"/>
                </w:tcPr>
                <w:p w14:paraId="5FDAC8E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超标</w:t>
                  </w:r>
                </w:p>
              </w:tc>
            </w:tr>
            <w:tr w14:paraId="063C83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0AE335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PM</w:t>
                  </w:r>
                  <w:r>
                    <w:rPr>
                      <w:rFonts w:hint="default" w:ascii="Times New Roman" w:hAnsi="Times New Roman" w:cs="Times New Roman"/>
                      <w:color w:val="000000" w:themeColor="text1"/>
                      <w:sz w:val="21"/>
                      <w:szCs w:val="21"/>
                      <w:highlight w:val="none"/>
                      <w:vertAlign w:val="subscript"/>
                      <w:lang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.5</w:t>
                  </w:r>
                </w:p>
              </w:tc>
              <w:tc>
                <w:tcPr>
                  <w:tcW w:w="1414" w:type="pct"/>
                  <w:tcBorders>
                    <w:tl2br w:val="nil"/>
                    <w:tr2bl w:val="nil"/>
                  </w:tcBorders>
                  <w:shd w:val="clear" w:color="auto" w:fill="auto"/>
                  <w:noWrap w:val="0"/>
                  <w:vAlign w:val="center"/>
                </w:tcPr>
                <w:p w14:paraId="38BAC22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0C5810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58</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2D6660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35μg/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013583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165.7</w:t>
                  </w:r>
                </w:p>
              </w:tc>
              <w:tc>
                <w:tcPr>
                  <w:tcW w:w="753" w:type="pct"/>
                  <w:tcBorders>
                    <w:tl2br w:val="nil"/>
                    <w:tr2bl w:val="nil"/>
                  </w:tcBorders>
                  <w:shd w:val="clear" w:color="auto" w:fill="auto"/>
                  <w:noWrap w:val="0"/>
                  <w:vAlign w:val="center"/>
                </w:tcPr>
                <w:p w14:paraId="1C2C77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超标</w:t>
                  </w:r>
                </w:p>
              </w:tc>
            </w:tr>
          </w:tbl>
          <w:p w14:paraId="6CF62D19">
            <w:pPr>
              <w:keepNext w:val="0"/>
              <w:keepLines w:val="0"/>
              <w:pageBreakBefore w:val="0"/>
              <w:widowControl/>
              <w:numPr>
                <w:ilvl w:val="0"/>
                <w:numId w:val="3"/>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项目验收阶段执行《声环境质量标准》(GB3096-2008)中2类标准要求。</w:t>
            </w:r>
          </w:p>
          <w:p w14:paraId="215952E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b/>
                <w:bCs w:val="0"/>
                <w:sz w:val="21"/>
                <w:szCs w:val="21"/>
              </w:rPr>
            </w:pPr>
            <w:r>
              <w:rPr>
                <w:rFonts w:hint="default" w:ascii="Times New Roman" w:hAnsi="Times New Roman" w:cs="Times New Roman"/>
                <w:b/>
                <w:bCs w:val="0"/>
                <w:sz w:val="21"/>
                <w:szCs w:val="21"/>
              </w:rPr>
              <w:t>表</w:t>
            </w:r>
            <w:r>
              <w:rPr>
                <w:rFonts w:hint="default" w:ascii="Times New Roman" w:hAnsi="Times New Roman" w:cs="Times New Roman"/>
                <w:b/>
                <w:bCs w:val="0"/>
                <w:sz w:val="21"/>
                <w:szCs w:val="21"/>
                <w:lang w:val="en-US" w:eastAsia="zh-CN"/>
              </w:rPr>
              <w:t>4-2</w:t>
            </w:r>
            <w:r>
              <w:rPr>
                <w:rFonts w:hint="default" w:ascii="Times New Roman" w:hAnsi="Times New Roman" w:cs="Times New Roman"/>
                <w:b/>
                <w:bCs w:val="0"/>
                <w:sz w:val="21"/>
                <w:szCs w:val="21"/>
              </w:rPr>
              <w:t xml:space="preserve"> </w:t>
            </w:r>
            <w:r>
              <w:rPr>
                <w:rFonts w:hint="default" w:ascii="Times New Roman" w:hAnsi="Times New Roman" w:eastAsia="宋体" w:cs="Times New Roman"/>
                <w:b/>
                <w:bCs w:val="0"/>
                <w:sz w:val="21"/>
                <w:szCs w:val="21"/>
                <w:lang w:val="en-US" w:eastAsia="zh-CN"/>
              </w:rPr>
              <w:t xml:space="preserve"> </w:t>
            </w:r>
            <w:r>
              <w:rPr>
                <w:rFonts w:hint="default" w:ascii="Times New Roman" w:hAnsi="Times New Roman" w:cs="Times New Roman"/>
                <w:b/>
                <w:bCs w:val="0"/>
                <w:sz w:val="21"/>
                <w:szCs w:val="21"/>
              </w:rPr>
              <w:t>声环境质量标准   单位：dB（A）</w:t>
            </w:r>
          </w:p>
          <w:tbl>
            <w:tblPr>
              <w:tblStyle w:val="2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1"/>
              <w:gridCol w:w="2415"/>
              <w:gridCol w:w="2698"/>
            </w:tblGrid>
            <w:tr w14:paraId="7C253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495" w:type="pct"/>
                  <w:noWrap w:val="0"/>
                  <w:vAlign w:val="center"/>
                </w:tcPr>
                <w:p w14:paraId="31FBE971">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类别</w:t>
                  </w:r>
                </w:p>
              </w:tc>
              <w:tc>
                <w:tcPr>
                  <w:tcW w:w="1655" w:type="pct"/>
                  <w:noWrap w:val="0"/>
                  <w:vAlign w:val="center"/>
                </w:tcPr>
                <w:p w14:paraId="3C0A963B">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昼间</w:t>
                  </w:r>
                </w:p>
              </w:tc>
              <w:tc>
                <w:tcPr>
                  <w:tcW w:w="1849" w:type="pct"/>
                  <w:noWrap w:val="0"/>
                  <w:vAlign w:val="center"/>
                </w:tcPr>
                <w:p w14:paraId="3234AFE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rPr>
                  </w:pPr>
                  <w:r>
                    <w:rPr>
                      <w:rFonts w:hint="default" w:ascii="Times New Roman" w:hAnsi="Times New Roman" w:eastAsia="宋体" w:cs="Times New Roman"/>
                      <w:b/>
                      <w:bCs/>
                      <w:lang w:val="en-US" w:eastAsia="zh-CN"/>
                    </w:rPr>
                    <w:t>夜间</w:t>
                  </w:r>
                </w:p>
              </w:tc>
            </w:tr>
            <w:tr w14:paraId="06DCB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14:paraId="6916589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噪声</w:t>
                  </w:r>
                </w:p>
              </w:tc>
              <w:tc>
                <w:tcPr>
                  <w:tcW w:w="1655" w:type="pct"/>
                  <w:noWrap w:val="0"/>
                  <w:vAlign w:val="center"/>
                </w:tcPr>
                <w:p w14:paraId="117E14DD">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rPr>
                  </w:pPr>
                  <w:r>
                    <w:rPr>
                      <w:rFonts w:hint="default" w:ascii="Times New Roman" w:hAnsi="Times New Roman" w:cs="Times New Roman"/>
                      <w:lang w:val="en-US" w:eastAsia="zh-CN"/>
                    </w:rPr>
                    <w:t>60</w:t>
                  </w:r>
                </w:p>
              </w:tc>
              <w:tc>
                <w:tcPr>
                  <w:tcW w:w="1849" w:type="pct"/>
                  <w:noWrap w:val="0"/>
                  <w:vAlign w:val="center"/>
                </w:tcPr>
                <w:p w14:paraId="5A268C28">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50</w:t>
                  </w:r>
                </w:p>
              </w:tc>
            </w:tr>
          </w:tbl>
          <w:p w14:paraId="52EEAD3C">
            <w:pPr>
              <w:pStyle w:val="17"/>
              <w:numPr>
                <w:ilvl w:val="0"/>
                <w:numId w:val="0"/>
              </w:numPr>
              <w:ind w:leftChars="200"/>
              <w:rPr>
                <w:rFonts w:hint="default" w:ascii="Times New Roman" w:hAnsi="Times New Roman" w:cs="Times New Roman"/>
              </w:rPr>
            </w:pPr>
          </w:p>
        </w:tc>
      </w:tr>
      <w:tr w14:paraId="0FB97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758" w:type="dxa"/>
            <w:vAlign w:val="center"/>
          </w:tcPr>
          <w:p w14:paraId="3699359B">
            <w:pPr>
              <w:spacing w:before="113" w:line="468" w:lineRule="exact"/>
              <w:ind w:left="119"/>
              <w:rPr>
                <w:rFonts w:hint="default" w:ascii="Times New Roman" w:hAnsi="Times New Roman" w:eastAsia="宋体" w:cs="Times New Roman"/>
                <w:sz w:val="24"/>
                <w:szCs w:val="24"/>
              </w:rPr>
            </w:pPr>
            <w:r>
              <w:rPr>
                <w:rFonts w:hint="default" w:ascii="Times New Roman" w:hAnsi="Times New Roman" w:eastAsia="宋体" w:cs="Times New Roman"/>
                <w:spacing w:val="28"/>
                <w:position w:val="17"/>
                <w:sz w:val="24"/>
                <w:szCs w:val="24"/>
                <w14:textOutline w14:w="4354" w14:cap="flat" w14:cmpd="sng">
                  <w14:solidFill>
                    <w14:srgbClr w14:val="000000"/>
                  </w14:solidFill>
                  <w14:prstDash w14:val="solid"/>
                  <w14:miter w14:val="0"/>
                </w14:textOutline>
              </w:rPr>
              <w:t>污染物排放标</w:t>
            </w:r>
          </w:p>
          <w:p w14:paraId="0E3880D3">
            <w:pPr>
              <w:spacing w:before="1" w:line="220" w:lineRule="auto"/>
              <w:ind w:left="119"/>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准</w:t>
            </w:r>
          </w:p>
        </w:tc>
        <w:tc>
          <w:tcPr>
            <w:tcW w:w="7311" w:type="dxa"/>
            <w:vAlign w:val="center"/>
          </w:tcPr>
          <w:p w14:paraId="26FA766E">
            <w:pPr>
              <w:keepNext w:val="0"/>
              <w:keepLines w:val="0"/>
              <w:pageBreakBefore w:val="0"/>
              <w:widowControl/>
              <w:numPr>
                <w:ilvl w:val="0"/>
                <w:numId w:val="0"/>
              </w:numPr>
              <w:kinsoku/>
              <w:wordWrap/>
              <w:overflowPunct/>
              <w:topLinePunct w:val="0"/>
              <w:autoSpaceDE/>
              <w:autoSpaceDN/>
              <w:bidi w:val="0"/>
              <w:adjustRightInd/>
              <w:snapToGrid/>
              <w:spacing w:line="360" w:lineRule="auto"/>
              <w:ind w:left="420" w:leftChars="0"/>
              <w:jc w:val="left"/>
              <w:textAlignment w:val="auto"/>
              <w:rPr>
                <w:rFonts w:hint="default" w:ascii="Times New Roman" w:hAnsi="Times New Roman" w:eastAsia="宋体" w:cs="Times New Roman"/>
                <w:b w:val="0"/>
                <w:bCs w:val="0"/>
                <w:color w:val="auto"/>
                <w:kern w:val="0"/>
                <w:sz w:val="24"/>
                <w:szCs w:val="22"/>
                <w:highlight w:val="none"/>
                <w:lang w:eastAsia="zh-CN"/>
              </w:rPr>
            </w:pPr>
            <w:r>
              <w:rPr>
                <w:rFonts w:hint="default" w:ascii="Times New Roman" w:hAnsi="Times New Roman" w:eastAsia="宋体" w:cs="Times New Roman"/>
                <w:b w:val="0"/>
                <w:bCs w:val="0"/>
                <w:color w:val="auto"/>
                <w:kern w:val="0"/>
                <w:sz w:val="24"/>
                <w:szCs w:val="22"/>
                <w:highlight w:val="none"/>
                <w:lang w:val="en-US" w:eastAsia="zh-CN"/>
              </w:rPr>
              <w:t>1、</w:t>
            </w:r>
            <w:r>
              <w:rPr>
                <w:rFonts w:hint="default" w:ascii="Times New Roman" w:hAnsi="Times New Roman" w:eastAsia="宋体" w:cs="Times New Roman"/>
                <w:b w:val="0"/>
                <w:bCs w:val="0"/>
                <w:color w:val="auto"/>
                <w:kern w:val="0"/>
                <w:sz w:val="24"/>
                <w:szCs w:val="22"/>
                <w:highlight w:val="none"/>
                <w:lang w:eastAsia="zh-CN"/>
              </w:rPr>
              <w:t>废气</w:t>
            </w:r>
          </w:p>
          <w:p w14:paraId="2FAF4C06">
            <w:pPr>
              <w:pStyle w:val="14"/>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color w:val="auto"/>
                <w:kern w:val="0"/>
                <w:sz w:val="24"/>
                <w:szCs w:val="22"/>
                <w:highlight w:val="none"/>
                <w:lang w:eastAsia="zh-CN"/>
              </w:rPr>
            </w:pPr>
            <w:r>
              <w:rPr>
                <w:rFonts w:hint="default" w:ascii="Times New Roman" w:hAnsi="Times New Roman" w:eastAsia="宋体" w:cs="Times New Roman"/>
                <w:b w:val="0"/>
                <w:bCs w:val="0"/>
                <w:color w:val="auto"/>
                <w:kern w:val="0"/>
                <w:sz w:val="24"/>
                <w:szCs w:val="22"/>
                <w:highlight w:val="none"/>
                <w:lang w:eastAsia="zh-CN"/>
              </w:rPr>
              <w:t>粉尘执行《大气污染物综合排放标准》（GB16297-</w:t>
            </w:r>
            <w:r>
              <w:rPr>
                <w:rFonts w:hint="default" w:ascii="Times New Roman" w:hAnsi="Times New Roman" w:eastAsia="宋体" w:cs="Times New Roman"/>
                <w:b w:val="0"/>
                <w:bCs w:val="0"/>
                <w:color w:val="auto"/>
                <w:kern w:val="0"/>
                <w:sz w:val="24"/>
                <w:szCs w:val="22"/>
                <w:highlight w:val="none"/>
                <w:lang w:val="en-US" w:eastAsia="zh-CN"/>
              </w:rPr>
              <w:t>19</w:t>
            </w:r>
            <w:r>
              <w:rPr>
                <w:rFonts w:hint="default" w:ascii="Times New Roman" w:hAnsi="Times New Roman" w:eastAsia="宋体" w:cs="Times New Roman"/>
                <w:b w:val="0"/>
                <w:bCs w:val="0"/>
                <w:color w:val="auto"/>
                <w:kern w:val="0"/>
                <w:sz w:val="24"/>
                <w:szCs w:val="22"/>
                <w:highlight w:val="none"/>
                <w:lang w:eastAsia="zh-CN"/>
              </w:rPr>
              <w:t>96）</w:t>
            </w:r>
            <w:r>
              <w:rPr>
                <w:rFonts w:hint="default" w:ascii="Times New Roman" w:hAnsi="Times New Roman" w:eastAsia="宋体" w:cs="Times New Roman"/>
                <w:b w:val="0"/>
                <w:bCs w:val="0"/>
                <w:color w:val="auto"/>
                <w:kern w:val="0"/>
                <w:sz w:val="24"/>
                <w:szCs w:val="22"/>
                <w:highlight w:val="none"/>
                <w:lang w:val="en-US" w:eastAsia="zh-CN"/>
              </w:rPr>
              <w:t>中无组织排放监控浓度限值</w:t>
            </w:r>
            <w:r>
              <w:rPr>
                <w:rFonts w:hint="default" w:ascii="Times New Roman" w:hAnsi="Times New Roman" w:eastAsia="宋体" w:cs="Times New Roman"/>
                <w:b w:val="0"/>
                <w:bCs w:val="0"/>
                <w:color w:val="auto"/>
                <w:kern w:val="0"/>
                <w:sz w:val="24"/>
                <w:szCs w:val="22"/>
                <w:highlight w:val="none"/>
                <w:lang w:eastAsia="zh-CN"/>
              </w:rPr>
              <w:t>，详见下表。</w:t>
            </w:r>
          </w:p>
          <w:p w14:paraId="00BC0F77">
            <w:pPr>
              <w:pStyle w:val="14"/>
              <w:keepNext w:val="0"/>
              <w:keepLines w:val="0"/>
              <w:pageBreakBefore w:val="0"/>
              <w:widowControl/>
              <w:kinsoku w:val="0"/>
              <w:wordWrap/>
              <w:overflowPunct/>
              <w:topLinePunct w:val="0"/>
              <w:autoSpaceDE w:val="0"/>
              <w:autoSpaceDN w:val="0"/>
              <w:bidi w:val="0"/>
              <w:adjustRightInd/>
              <w:snapToGrid/>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表</w:t>
            </w:r>
            <w:r>
              <w:rPr>
                <w:rFonts w:hint="default" w:ascii="Times New Roman" w:hAnsi="Times New Roman" w:cs="Times New Roman"/>
                <w:b/>
                <w:bCs/>
                <w:color w:val="000000" w:themeColor="text1"/>
                <w:sz w:val="21"/>
                <w:szCs w:val="21"/>
                <w:lang w:val="en-US" w:eastAsia="zh-CN"/>
                <w14:textFill>
                  <w14:solidFill>
                    <w14:schemeClr w14:val="tx1"/>
                  </w14:solidFill>
                </w14:textFill>
              </w:rPr>
              <w:t>4-3</w:t>
            </w:r>
            <w:r>
              <w:rPr>
                <w:rFonts w:hint="default" w:ascii="Times New Roman" w:hAnsi="Times New Roman" w:cs="Times New Roman"/>
                <w:b/>
                <w:bCs/>
                <w:color w:val="000000" w:themeColor="text1"/>
                <w:sz w:val="21"/>
                <w:szCs w:val="21"/>
                <w14:textFill>
                  <w14:solidFill>
                    <w14:schemeClr w14:val="tx1"/>
                  </w14:solidFill>
                </w14:textFill>
              </w:rPr>
              <w:t xml:space="preserve">     废气排放标准限值        </w:t>
            </w:r>
            <w:r>
              <w:rPr>
                <w:rFonts w:hint="default" w:ascii="Times New Roman" w:hAnsi="Times New Roman" w:eastAsia="宋体" w:cs="Times New Roman"/>
                <w:b/>
                <w:bCs/>
                <w:color w:val="000000" w:themeColor="text1"/>
                <w:sz w:val="21"/>
                <w:szCs w:val="21"/>
                <w14:textFill>
                  <w14:solidFill>
                    <w14:schemeClr w14:val="tx1"/>
                  </w14:solidFill>
                </w14:textFill>
              </w:rPr>
              <w:t>单位：mg/m</w:t>
            </w:r>
            <w:r>
              <w:rPr>
                <w:rFonts w:hint="default" w:ascii="Times New Roman" w:hAnsi="Times New Roman" w:eastAsia="宋体" w:cs="Times New Roman"/>
                <w:b/>
                <w:bCs/>
                <w:color w:val="000000" w:themeColor="text1"/>
                <w:sz w:val="21"/>
                <w:szCs w:val="21"/>
                <w:vertAlign w:val="superscript"/>
                <w14:textFill>
                  <w14:solidFill>
                    <w14:schemeClr w14:val="tx1"/>
                  </w14:solidFill>
                </w14:textFill>
              </w:rPr>
              <w:t>3</w:t>
            </w:r>
          </w:p>
          <w:tbl>
            <w:tblPr>
              <w:tblStyle w:val="21"/>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46"/>
              <w:gridCol w:w="2680"/>
            </w:tblGrid>
            <w:tr w14:paraId="026216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17" w:type="pct"/>
                  <w:vMerge w:val="restart"/>
                  <w:tcBorders>
                    <w:top w:val="single" w:color="auto" w:sz="4" w:space="0"/>
                    <w:left w:val="single" w:color="auto" w:sz="4" w:space="0"/>
                  </w:tcBorders>
                  <w:noWrap w:val="0"/>
                  <w:vAlign w:val="center"/>
                </w:tcPr>
                <w:p w14:paraId="38929895">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baseline"/>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污染物</w:t>
                  </w:r>
                </w:p>
              </w:tc>
              <w:tc>
                <w:tcPr>
                  <w:tcW w:w="3782" w:type="pct"/>
                  <w:gridSpan w:val="2"/>
                  <w:tcBorders>
                    <w:top w:val="single" w:color="auto" w:sz="4" w:space="0"/>
                    <w:right w:val="single" w:color="auto" w:sz="4" w:space="0"/>
                  </w:tcBorders>
                  <w:noWrap w:val="0"/>
                  <w:vAlign w:val="center"/>
                </w:tcPr>
                <w:p w14:paraId="51A7FEA7">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baseline"/>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无组织排放监控浓度限值</w:t>
                  </w:r>
                </w:p>
              </w:tc>
            </w:tr>
            <w:tr w14:paraId="61656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1217" w:type="pct"/>
                  <w:vMerge w:val="continue"/>
                  <w:tcBorders>
                    <w:left w:val="single" w:color="auto" w:sz="4" w:space="0"/>
                  </w:tcBorders>
                  <w:noWrap w:val="0"/>
                  <w:vAlign w:val="center"/>
                </w:tcPr>
                <w:p w14:paraId="7B3B30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contextualSpacing/>
                    <w:jc w:val="center"/>
                    <w:textAlignment w:val="auto"/>
                    <w:rPr>
                      <w:rFonts w:hint="default" w:ascii="Times New Roman" w:hAnsi="Times New Roman" w:eastAsia="宋体" w:cs="Times New Roman"/>
                      <w:b/>
                      <w:bCs/>
                      <w:color w:val="auto"/>
                      <w:sz w:val="21"/>
                      <w:szCs w:val="21"/>
                    </w:rPr>
                  </w:pPr>
                </w:p>
              </w:tc>
              <w:tc>
                <w:tcPr>
                  <w:tcW w:w="1948" w:type="pct"/>
                  <w:noWrap w:val="0"/>
                  <w:vAlign w:val="center"/>
                </w:tcPr>
                <w:p w14:paraId="7691E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contextualSpacing/>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监控点</w:t>
                  </w:r>
                </w:p>
              </w:tc>
              <w:tc>
                <w:tcPr>
                  <w:tcW w:w="1834" w:type="pct"/>
                  <w:tcBorders>
                    <w:right w:val="single" w:color="auto" w:sz="4" w:space="0"/>
                  </w:tcBorders>
                  <w:noWrap w:val="0"/>
                  <w:vAlign w:val="center"/>
                </w:tcPr>
                <w:p w14:paraId="19B724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contextualSpacing/>
                    <w:jc w:val="center"/>
                    <w:textAlignment w:val="auto"/>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浓度</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mg/m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lang w:eastAsia="zh-CN"/>
                    </w:rPr>
                    <w:t>）</w:t>
                  </w:r>
                </w:p>
              </w:tc>
            </w:tr>
            <w:tr w14:paraId="4FA32A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17" w:type="pct"/>
                  <w:tcBorders>
                    <w:left w:val="single" w:color="auto" w:sz="4" w:space="0"/>
                    <w:bottom w:val="single" w:color="auto" w:sz="4" w:space="0"/>
                  </w:tcBorders>
                  <w:noWrap w:val="0"/>
                  <w:vAlign w:val="center"/>
                </w:tcPr>
                <w:p w14:paraId="704E3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contextualSpacing/>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1948" w:type="pct"/>
                  <w:tcBorders>
                    <w:bottom w:val="single" w:color="auto" w:sz="4" w:space="0"/>
                  </w:tcBorders>
                  <w:noWrap w:val="0"/>
                  <w:vAlign w:val="center"/>
                </w:tcPr>
                <w:p w14:paraId="4EFF59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contextualSpacing/>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周界外浓度最高点</w:t>
                  </w:r>
                </w:p>
              </w:tc>
              <w:tc>
                <w:tcPr>
                  <w:tcW w:w="1834" w:type="pct"/>
                  <w:tcBorders>
                    <w:bottom w:val="single" w:color="auto" w:sz="4" w:space="0"/>
                    <w:right w:val="single" w:color="auto" w:sz="4" w:space="0"/>
                  </w:tcBorders>
                  <w:noWrap w:val="0"/>
                  <w:vAlign w:val="center"/>
                </w:tcPr>
                <w:p w14:paraId="6090E6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contextualSpacing/>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r>
          </w:tbl>
          <w:p w14:paraId="0B615893">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rPr>
                <w:rFonts w:hint="default" w:ascii="Times New Roman" w:hAnsi="Times New Roman" w:eastAsia="宋体" w:cs="Times New Roman"/>
                <w:color w:val="auto"/>
                <w:sz w:val="24"/>
                <w:szCs w:val="32"/>
              </w:rPr>
            </w:pPr>
            <w:r>
              <w:rPr>
                <w:rFonts w:hint="default" w:ascii="Times New Roman" w:hAnsi="Times New Roman" w:cs="Times New Roman"/>
                <w:color w:val="000000" w:themeColor="text1"/>
                <w:sz w:val="24"/>
                <w:szCs w:val="32"/>
                <w:lang w:val="en-US" w:eastAsia="zh-CN"/>
                <w14:textFill>
                  <w14:solidFill>
                    <w14:schemeClr w14:val="tx1"/>
                  </w14:solidFill>
                </w14:textFill>
              </w:rPr>
              <w:t>2、</w:t>
            </w:r>
            <w:r>
              <w:rPr>
                <w:rFonts w:hint="default" w:ascii="Times New Roman" w:hAnsi="Times New Roman" w:eastAsia="宋体" w:cs="Times New Roman"/>
                <w:color w:val="auto"/>
                <w:sz w:val="24"/>
                <w:szCs w:val="32"/>
              </w:rPr>
              <w:t>噪声</w:t>
            </w:r>
          </w:p>
          <w:p w14:paraId="6714B6FC">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rPr>
              <w:t>施工期噪声执行</w:t>
            </w:r>
            <w:r>
              <w:rPr>
                <w:rFonts w:hint="default" w:ascii="Times New Roman" w:hAnsi="Times New Roman" w:eastAsia="宋体" w:cs="Times New Roman"/>
                <w:snapToGrid w:val="0"/>
                <w:color w:val="auto"/>
                <w:sz w:val="24"/>
                <w:szCs w:val="32"/>
              </w:rPr>
              <w:t>《</w:t>
            </w:r>
            <w:r>
              <w:rPr>
                <w:rFonts w:hint="default" w:ascii="Times New Roman" w:hAnsi="Times New Roman" w:eastAsia="宋体" w:cs="Times New Roman"/>
                <w:color w:val="auto"/>
                <w:sz w:val="24"/>
                <w:szCs w:val="32"/>
              </w:rPr>
              <w:t>建筑施工场界环境噪声排放标准</w:t>
            </w:r>
            <w:r>
              <w:rPr>
                <w:rFonts w:hint="default" w:ascii="Times New Roman" w:hAnsi="Times New Roman" w:eastAsia="宋体" w:cs="Times New Roman"/>
                <w:snapToGrid w:val="0"/>
                <w:color w:val="auto"/>
                <w:sz w:val="24"/>
                <w:szCs w:val="32"/>
              </w:rPr>
              <w:t>》</w:t>
            </w:r>
            <w:r>
              <w:rPr>
                <w:rFonts w:hint="default" w:ascii="Times New Roman" w:hAnsi="Times New Roman" w:eastAsia="宋体" w:cs="Times New Roman"/>
                <w:color w:val="auto"/>
                <w:sz w:val="24"/>
                <w:szCs w:val="32"/>
              </w:rPr>
              <w:t>（GB12532-2011）</w:t>
            </w:r>
            <w:r>
              <w:rPr>
                <w:rFonts w:hint="default" w:ascii="Times New Roman" w:hAnsi="Times New Roman" w:eastAsia="宋体" w:cs="Times New Roman"/>
                <w:bCs/>
                <w:color w:val="auto"/>
                <w:sz w:val="24"/>
                <w:szCs w:val="32"/>
              </w:rPr>
              <w:t>即昼间≤70dB(A)，夜间≤55dB(A)</w:t>
            </w:r>
          </w:p>
          <w:p w14:paraId="0C89D379">
            <w:pPr>
              <w:spacing w:line="240" w:lineRule="auto"/>
              <w:ind w:right="23" w:firstLine="422"/>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cs="Times New Roman"/>
                <w:b/>
                <w:bCs/>
                <w:color w:val="auto"/>
                <w:sz w:val="21"/>
                <w:szCs w:val="21"/>
              </w:rPr>
              <w:t>表</w:t>
            </w:r>
            <w:r>
              <w:rPr>
                <w:rFonts w:hint="default" w:ascii="Times New Roman" w:hAnsi="Times New Roman" w:cs="Times New Roman"/>
                <w:b/>
                <w:bCs/>
                <w:color w:val="auto"/>
                <w:sz w:val="21"/>
                <w:szCs w:val="21"/>
                <w:lang w:val="en-US" w:eastAsia="zh-CN"/>
              </w:rPr>
              <w:t>4-4</w:t>
            </w:r>
            <w:r>
              <w:rPr>
                <w:rFonts w:hint="default" w:ascii="Times New Roman" w:hAnsi="Times New Roman" w:cs="Times New Roman"/>
                <w:b/>
                <w:bCs/>
                <w:color w:val="auto"/>
                <w:sz w:val="21"/>
                <w:szCs w:val="21"/>
              </w:rPr>
              <w:t xml:space="preserve">     </w:t>
            </w:r>
            <w:r>
              <w:rPr>
                <w:rFonts w:hint="default" w:ascii="Times New Roman" w:hAnsi="Times New Roman" w:eastAsia="宋体" w:cs="Times New Roman"/>
                <w:b/>
                <w:bCs/>
                <w:color w:val="000000"/>
                <w:sz w:val="21"/>
                <w:szCs w:val="21"/>
                <w:lang w:val="en-US" w:eastAsia="zh-CN"/>
              </w:rPr>
              <w:t>建筑施工厂界环境噪声</w:t>
            </w:r>
            <w:r>
              <w:rPr>
                <w:rFonts w:hint="default" w:ascii="Times New Roman" w:hAnsi="Times New Roman" w:cs="Times New Roman"/>
                <w:b/>
                <w:bCs/>
                <w:color w:val="auto"/>
                <w:sz w:val="21"/>
                <w:szCs w:val="21"/>
              </w:rPr>
              <w:t>标准</w:t>
            </w:r>
            <w:r>
              <w:rPr>
                <w:rFonts w:hint="default" w:ascii="Times New Roman" w:hAnsi="Times New Roman" w:eastAsia="宋体" w:cs="Times New Roman"/>
                <w:b/>
                <w:bCs/>
                <w:color w:val="auto"/>
                <w:sz w:val="21"/>
                <w:szCs w:val="21"/>
                <w:lang w:val="en-US" w:eastAsia="zh-CN"/>
              </w:rPr>
              <w:t>dB（A）</w:t>
            </w:r>
          </w:p>
          <w:tbl>
            <w:tblPr>
              <w:tblStyle w:val="2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63"/>
              <w:gridCol w:w="3731"/>
            </w:tblGrid>
            <w:tr w14:paraId="08FC1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442" w:type="pct"/>
                  <w:noWrap w:val="0"/>
                  <w:vAlign w:val="center"/>
                </w:tcPr>
                <w:p w14:paraId="6036019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昼间</w:t>
                  </w:r>
                </w:p>
              </w:tc>
              <w:tc>
                <w:tcPr>
                  <w:tcW w:w="2557" w:type="pct"/>
                  <w:noWrap w:val="0"/>
                  <w:vAlign w:val="center"/>
                </w:tcPr>
                <w:p w14:paraId="539BF58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夜间</w:t>
                  </w:r>
                </w:p>
              </w:tc>
            </w:tr>
            <w:tr w14:paraId="4BC26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442" w:type="pct"/>
                  <w:noWrap w:val="0"/>
                  <w:vAlign w:val="center"/>
                </w:tcPr>
                <w:p w14:paraId="0998C81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70</w:t>
                  </w:r>
                </w:p>
              </w:tc>
              <w:tc>
                <w:tcPr>
                  <w:tcW w:w="2557" w:type="pct"/>
                  <w:noWrap w:val="0"/>
                  <w:vAlign w:val="center"/>
                </w:tcPr>
                <w:p w14:paraId="389E3FB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55</w:t>
                  </w:r>
                </w:p>
              </w:tc>
            </w:tr>
          </w:tbl>
          <w:p w14:paraId="154EA656">
            <w:pPr>
              <w:spacing w:before="69" w:line="232" w:lineRule="auto"/>
              <w:ind w:left="3309"/>
              <w:rPr>
                <w:rFonts w:hint="default" w:ascii="Times New Roman" w:hAnsi="Times New Roman" w:eastAsia="Times New Roman" w:cs="Times New Roman"/>
                <w:sz w:val="24"/>
                <w:szCs w:val="24"/>
              </w:rPr>
            </w:pPr>
          </w:p>
        </w:tc>
      </w:tr>
      <w:tr w14:paraId="77CB47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9" w:hRule="atLeast"/>
        </w:trPr>
        <w:tc>
          <w:tcPr>
            <w:tcW w:w="1758" w:type="dxa"/>
            <w:vAlign w:val="center"/>
          </w:tcPr>
          <w:p w14:paraId="0C13D873">
            <w:pPr>
              <w:spacing w:before="114" w:line="220" w:lineRule="auto"/>
              <w:ind w:left="201"/>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总量</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控制标准</w:t>
            </w:r>
          </w:p>
        </w:tc>
        <w:tc>
          <w:tcPr>
            <w:tcW w:w="7311" w:type="dxa"/>
            <w:vAlign w:val="center"/>
          </w:tcPr>
          <w:p w14:paraId="4DF689D8">
            <w:pPr>
              <w:spacing w:before="114" w:line="218" w:lineRule="auto"/>
              <w:ind w:left="594"/>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根据该项目环评报告及批复结果，该项</w:t>
            </w:r>
            <w:r>
              <w:rPr>
                <w:rFonts w:hint="default" w:ascii="Times New Roman" w:hAnsi="Times New Roman" w:eastAsia="宋体" w:cs="Times New Roman"/>
                <w:spacing w:val="-1"/>
                <w:sz w:val="24"/>
                <w:szCs w:val="24"/>
              </w:rPr>
              <w:t>目不设总量指标。</w:t>
            </w:r>
          </w:p>
        </w:tc>
      </w:tr>
      <w:tr w14:paraId="6A02F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35" w:hRule="atLeast"/>
        </w:trPr>
        <w:tc>
          <w:tcPr>
            <w:tcW w:w="1758" w:type="dxa"/>
            <w:vAlign w:val="center"/>
          </w:tcPr>
          <w:p w14:paraId="4D79EE2B">
            <w:pPr>
              <w:spacing w:before="78" w:line="254" w:lineRule="auto"/>
              <w:ind w:left="198" w:right="193" w:hanging="1"/>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1" w:type="dxa"/>
            <w:vAlign w:val="center"/>
          </w:tcPr>
          <w:p w14:paraId="2E2893AF">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）《中华人民共和国环境保护法》（2015年1月1日实施）；</w:t>
            </w:r>
          </w:p>
          <w:p w14:paraId="1ADF20BD">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）《国务院关于修改&lt;建设项目环境保护管理条例&gt;的决定》（中华人民共和国国务院令682号，2017年10月1日）；</w:t>
            </w:r>
          </w:p>
          <w:p w14:paraId="5D6C1C28">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）关于发布《建设项目竣工环境保护验收暂行办法》的公告（国家环保总局国环规环评[2017]4号，2017年11月22日）以及《</w:t>
            </w:r>
            <w:r>
              <w:rPr>
                <w:rFonts w:hint="default" w:ascii="Times New Roman" w:hAnsi="Times New Roman" w:eastAsia="宋体" w:cs="Times New Roman"/>
                <w:spacing w:val="8"/>
                <w:sz w:val="24"/>
                <w:szCs w:val="24"/>
                <w:lang w:eastAsia="zh-CN"/>
              </w:rPr>
              <w:fldChar w:fldCharType="begin"/>
            </w:r>
            <w:r>
              <w:rPr>
                <w:rFonts w:hint="default" w:ascii="Times New Roman" w:hAnsi="Times New Roman" w:eastAsia="宋体" w:cs="Times New Roman"/>
                <w:spacing w:val="8"/>
                <w:sz w:val="24"/>
                <w:szCs w:val="24"/>
                <w:lang w:eastAsia="zh-CN"/>
              </w:rPr>
              <w:instrText xml:space="preserve"> HYPERLINK "http://www.mep.gov.cn/gkml/hbb/gfxwj/201711/W020171127564463305172.pdf" </w:instrText>
            </w:r>
            <w:r>
              <w:rPr>
                <w:rFonts w:hint="default" w:ascii="Times New Roman" w:hAnsi="Times New Roman" w:eastAsia="宋体" w:cs="Times New Roman"/>
                <w:spacing w:val="8"/>
                <w:sz w:val="24"/>
                <w:szCs w:val="24"/>
                <w:lang w:eastAsia="zh-CN"/>
              </w:rPr>
              <w:fldChar w:fldCharType="separate"/>
            </w:r>
            <w:r>
              <w:rPr>
                <w:rFonts w:hint="default" w:ascii="Times New Roman" w:hAnsi="Times New Roman" w:eastAsia="宋体" w:cs="Times New Roman"/>
                <w:spacing w:val="8"/>
                <w:sz w:val="24"/>
                <w:szCs w:val="24"/>
                <w:lang w:eastAsia="zh-CN"/>
              </w:rPr>
              <w:t>建设项目竣工环境保护验收暂行办法</w:t>
            </w:r>
            <w:r>
              <w:rPr>
                <w:rFonts w:hint="default" w:ascii="Times New Roman" w:hAnsi="Times New Roman" w:eastAsia="宋体" w:cs="Times New Roman"/>
                <w:spacing w:val="8"/>
                <w:sz w:val="24"/>
                <w:szCs w:val="24"/>
                <w:lang w:eastAsia="zh-CN"/>
              </w:rPr>
              <w:fldChar w:fldCharType="end"/>
            </w:r>
            <w:r>
              <w:rPr>
                <w:rFonts w:hint="default" w:ascii="Times New Roman" w:hAnsi="Times New Roman" w:eastAsia="宋体" w:cs="Times New Roman"/>
                <w:spacing w:val="8"/>
                <w:sz w:val="24"/>
                <w:szCs w:val="24"/>
                <w:lang w:eastAsia="zh-CN"/>
              </w:rPr>
              <w:t>》；</w:t>
            </w:r>
          </w:p>
          <w:p w14:paraId="436703FA">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）原国家环保总局《建设项目环境保护设施竣工验收监测技术要求》(试行)；</w:t>
            </w:r>
          </w:p>
          <w:p w14:paraId="65B7550B">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）《建设项目竣工环境保护验收技术规范 生态影响类》（HJ/T394-2007）；</w:t>
            </w:r>
          </w:p>
          <w:p w14:paraId="206CAD7B">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）《关于印发环评管理中部分行业建设项目重大变动 清单的通知》(环办[2015]52号，2015年6月4日)；</w:t>
            </w:r>
          </w:p>
          <w:p w14:paraId="2411C727">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）《关于规范建设单位自主开展建设项目竣工环境保护验收的通知》（环办环评函[2017]1235号）；</w:t>
            </w:r>
          </w:p>
          <w:p w14:paraId="6D9A3455">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）《关于进一步做好建设项目环境保护“三同时”及自主验收监督检查工作的通知》（生态环境部办公厅，环办执法〔2020〕11号，2020年05月28日）；</w:t>
            </w:r>
          </w:p>
        </w:tc>
      </w:tr>
      <w:tr w14:paraId="7F2B38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21" w:hRule="atLeast"/>
        </w:trPr>
        <w:tc>
          <w:tcPr>
            <w:tcW w:w="1758" w:type="dxa"/>
            <w:vAlign w:val="center"/>
          </w:tcPr>
          <w:p w14:paraId="512EA842">
            <w:pPr>
              <w:spacing w:before="78" w:line="255" w:lineRule="auto"/>
              <w:ind w:left="198" w:leftChars="0" w:right="193" w:rightChars="0" w:hanging="1" w:firstLineChars="0"/>
              <w:jc w:val="center"/>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1" w:type="dxa"/>
            <w:vAlign w:val="center"/>
          </w:tcPr>
          <w:p w14:paraId="2B45AA51">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中华人民共和国噪声污染环境防治法》(1996年10月29日第八届全国人民代表大会常务委员会第二十二次会议通过，根据2018年12月29日第十三届全国人民代表大会常务委员会第七次会议《关于修改〈中华人民共和国劳动法〉等七部法律的决定》修正)；</w:t>
            </w:r>
          </w:p>
          <w:p w14:paraId="7BB0FF7F">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10</w:t>
            </w:r>
            <w:r>
              <w:rPr>
                <w:rFonts w:hint="default" w:ascii="Times New Roman" w:hAnsi="Times New Roman" w:eastAsia="宋体" w:cs="Times New Roman"/>
                <w:spacing w:val="8"/>
                <w:sz w:val="24"/>
                <w:szCs w:val="24"/>
                <w:lang w:eastAsia="zh-CN"/>
              </w:rPr>
              <w:t>）《中华人民共和国固体废物污染环境防治法》(2020年4月29日第十三届全国人民代表大会常务委员会第十七次会议第二次修订，2020年9月1日起施行)；</w:t>
            </w:r>
          </w:p>
          <w:p w14:paraId="24EE8276">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11</w:t>
            </w:r>
            <w:r>
              <w:rPr>
                <w:rFonts w:hint="default" w:ascii="Times New Roman" w:hAnsi="Times New Roman" w:eastAsia="宋体" w:cs="Times New Roman"/>
                <w:spacing w:val="8"/>
                <w:sz w:val="24"/>
                <w:szCs w:val="24"/>
                <w:lang w:eastAsia="zh-CN"/>
              </w:rPr>
              <w:t>）关于印发《新疆维吾尔自治区环境影响评价管理中 建设项目重大变动界定程序规定》的通知(新环环评发[2019]140号)；</w:t>
            </w:r>
          </w:p>
          <w:p w14:paraId="6573B96D">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12</w:t>
            </w:r>
            <w:r>
              <w:rPr>
                <w:rFonts w:hint="default" w:ascii="Times New Roman" w:hAnsi="Times New Roman" w:eastAsia="宋体" w:cs="Times New Roman"/>
                <w:spacing w:val="8"/>
                <w:sz w:val="24"/>
                <w:szCs w:val="24"/>
                <w:lang w:eastAsia="zh-CN"/>
              </w:rPr>
              <w:t>）202</w:t>
            </w:r>
            <w:r>
              <w:rPr>
                <w:rFonts w:hint="eastAsia"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年</w:t>
            </w:r>
            <w:r>
              <w:rPr>
                <w:rFonts w:hint="eastAsia"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月由</w:t>
            </w:r>
            <w:r>
              <w:rPr>
                <w:rFonts w:hint="eastAsia" w:ascii="Times New Roman" w:hAnsi="Times New Roman" w:eastAsia="宋体"/>
                <w:color w:val="auto"/>
                <w:sz w:val="24"/>
                <w:szCs w:val="24"/>
                <w:lang w:eastAsia="zh-CN"/>
              </w:rPr>
              <w:t>新疆祥达亿源环保科技有限公司</w:t>
            </w:r>
            <w:r>
              <w:rPr>
                <w:rFonts w:hint="default" w:ascii="Times New Roman" w:hAnsi="Times New Roman" w:eastAsia="宋体" w:cs="Times New Roman"/>
                <w:spacing w:val="6"/>
                <w:sz w:val="24"/>
                <w:szCs w:val="24"/>
              </w:rPr>
              <w:t>编制完成《</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1"/>
                <w:sz w:val="24"/>
                <w:szCs w:val="24"/>
              </w:rPr>
              <w:t>》；</w:t>
            </w:r>
          </w:p>
          <w:p w14:paraId="2C424FBA">
            <w:pPr>
              <w:keepNext w:val="0"/>
              <w:keepLines w:val="0"/>
              <w:pageBreakBefore w:val="0"/>
              <w:widowControl/>
              <w:kinsoku/>
              <w:wordWrap/>
              <w:overflowPunct/>
              <w:topLinePunct w:val="0"/>
              <w:autoSpaceDE/>
              <w:autoSpaceDN/>
              <w:bidi w:val="0"/>
              <w:adjustRightInd/>
              <w:snapToGrid/>
              <w:spacing w:line="360" w:lineRule="auto"/>
              <w:ind w:left="112" w:right="105" w:firstLine="488" w:firstLineChars="200"/>
              <w:textAlignment w:val="baseline"/>
              <w:rPr>
                <w:rFonts w:hint="default" w:ascii="Times New Roman" w:hAnsi="Times New Roman" w:eastAsia="宋体" w:cs="Times New Roman"/>
                <w:sz w:val="24"/>
                <w:szCs w:val="24"/>
                <w:highlight w:val="yellow"/>
              </w:rPr>
            </w:pP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2"/>
                <w:sz w:val="24"/>
                <w:szCs w:val="24"/>
                <w:lang w:val="en-US" w:eastAsia="zh-CN"/>
              </w:rPr>
              <w:t>1</w:t>
            </w:r>
            <w:r>
              <w:rPr>
                <w:rFonts w:hint="eastAsia" w:ascii="Times New Roman" w:hAnsi="Times New Roman" w:eastAsia="宋体" w:cs="Times New Roman"/>
                <w:spacing w:val="2"/>
                <w:sz w:val="24"/>
                <w:szCs w:val="24"/>
                <w:lang w:val="en-US" w:eastAsia="zh-CN"/>
              </w:rPr>
              <w:t>3</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2"/>
                <w:sz w:val="24"/>
                <w:szCs w:val="24"/>
                <w:highlight w:val="none"/>
              </w:rPr>
              <w:t>202</w:t>
            </w:r>
            <w:r>
              <w:rPr>
                <w:rFonts w:hint="eastAsia" w:ascii="Times New Roman" w:hAnsi="Times New Roman" w:eastAsia="宋体" w:cs="Times New Roman"/>
                <w:spacing w:val="2"/>
                <w:sz w:val="24"/>
                <w:szCs w:val="24"/>
                <w:highlight w:val="none"/>
                <w:lang w:val="en-US" w:eastAsia="zh-CN"/>
              </w:rPr>
              <w:t>2</w:t>
            </w:r>
            <w:r>
              <w:rPr>
                <w:rFonts w:hint="default" w:ascii="Times New Roman" w:hAnsi="Times New Roman" w:eastAsia="宋体" w:cs="Times New Roman"/>
                <w:spacing w:val="2"/>
                <w:sz w:val="24"/>
                <w:szCs w:val="24"/>
                <w:highlight w:val="none"/>
              </w:rPr>
              <w:t>年</w:t>
            </w:r>
            <w:r>
              <w:rPr>
                <w:rFonts w:hint="eastAsia" w:ascii="Times New Roman" w:hAnsi="Times New Roman" w:eastAsia="宋体" w:cs="Times New Roman"/>
                <w:spacing w:val="2"/>
                <w:sz w:val="24"/>
                <w:szCs w:val="24"/>
                <w:highlight w:val="none"/>
                <w:lang w:val="en-US" w:eastAsia="zh-CN"/>
              </w:rPr>
              <w:t>5</w:t>
            </w:r>
            <w:r>
              <w:rPr>
                <w:rFonts w:hint="default" w:ascii="Times New Roman" w:hAnsi="Times New Roman" w:eastAsia="宋体" w:cs="Times New Roman"/>
                <w:spacing w:val="2"/>
                <w:sz w:val="24"/>
                <w:szCs w:val="24"/>
                <w:highlight w:val="none"/>
              </w:rPr>
              <w:t>月</w:t>
            </w:r>
            <w:r>
              <w:rPr>
                <w:rFonts w:hint="eastAsia" w:ascii="Times New Roman" w:hAnsi="Times New Roman" w:eastAsia="宋体" w:cs="Times New Roman"/>
                <w:spacing w:val="2"/>
                <w:sz w:val="24"/>
                <w:szCs w:val="24"/>
                <w:highlight w:val="none"/>
                <w:lang w:val="en-US" w:eastAsia="zh-CN"/>
              </w:rPr>
              <w:t>19</w:t>
            </w:r>
            <w:r>
              <w:rPr>
                <w:rFonts w:hint="default" w:ascii="Times New Roman" w:hAnsi="Times New Roman" w:eastAsia="宋体" w:cs="Times New Roman"/>
                <w:spacing w:val="2"/>
                <w:sz w:val="24"/>
                <w:szCs w:val="24"/>
                <w:highlight w:val="none"/>
              </w:rPr>
              <w:t>日</w:t>
            </w:r>
            <w:r>
              <w:rPr>
                <w:rFonts w:hint="eastAsia" w:ascii="Times New Roman" w:hAnsi="Times New Roman" w:eastAsia="宋体" w:cs="Times New Roman"/>
                <w:sz w:val="24"/>
                <w:szCs w:val="24"/>
                <w:lang w:val="en-US" w:eastAsia="zh-CN"/>
              </w:rPr>
              <w:t>新疆生产建设兵团第十四师昆玉市生态环境局</w:t>
            </w:r>
            <w:r>
              <w:rPr>
                <w:rFonts w:hint="default" w:ascii="Times New Roman" w:hAnsi="Times New Roman" w:eastAsia="宋体" w:cs="Times New Roman"/>
                <w:spacing w:val="2"/>
                <w:sz w:val="24"/>
                <w:szCs w:val="24"/>
              </w:rPr>
              <w:t>对《</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5"/>
                <w:sz w:val="24"/>
                <w:szCs w:val="24"/>
              </w:rPr>
              <w:t>》出具了《</w:t>
            </w:r>
            <w:r>
              <w:rPr>
                <w:rFonts w:hint="default" w:ascii="Times New Roman" w:hAnsi="Times New Roman" w:eastAsia="宋体" w:cs="Times New Roman"/>
                <w:spacing w:val="-3"/>
                <w:sz w:val="24"/>
                <w:szCs w:val="24"/>
              </w:rPr>
              <w:t>关</w:t>
            </w:r>
            <w:r>
              <w:rPr>
                <w:rFonts w:hint="default" w:ascii="Times New Roman" w:hAnsi="Times New Roman" w:eastAsia="宋体" w:cs="Times New Roman"/>
                <w:spacing w:val="6"/>
                <w:sz w:val="24"/>
                <w:szCs w:val="24"/>
              </w:rPr>
              <w:t>于</w:t>
            </w:r>
            <w:r>
              <w:rPr>
                <w:rFonts w:hint="default" w:ascii="Times New Roman" w:hAnsi="Times New Roman" w:eastAsia="宋体" w:cs="Times New Roman"/>
                <w:spacing w:val="6"/>
                <w:sz w:val="24"/>
                <w:szCs w:val="24"/>
                <w:lang w:val="en-US" w:eastAsia="zh-CN"/>
              </w:rPr>
              <w:t>对</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3"/>
                <w:sz w:val="24"/>
                <w:szCs w:val="24"/>
              </w:rPr>
              <w:t>的</w:t>
            </w:r>
            <w:r>
              <w:rPr>
                <w:rFonts w:hint="default" w:ascii="Times New Roman" w:hAnsi="Times New Roman" w:eastAsia="宋体" w:cs="Times New Roman"/>
                <w:spacing w:val="10"/>
                <w:sz w:val="24"/>
                <w:szCs w:val="24"/>
              </w:rPr>
              <w:t>批复</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5"/>
                <w:sz w:val="24"/>
                <w:szCs w:val="24"/>
                <w:highlight w:val="none"/>
                <w:lang w:eastAsia="zh-CN"/>
              </w:rPr>
              <w:t>（</w:t>
            </w:r>
            <w:r>
              <w:rPr>
                <w:rFonts w:hint="eastAsia" w:ascii="宋体" w:hAnsi="宋体" w:eastAsia="宋体" w:cs="宋体"/>
                <w:color w:val="auto"/>
                <w:sz w:val="24"/>
                <w:szCs w:val="24"/>
                <w:lang w:val="en-US" w:eastAsia="zh-CN"/>
              </w:rPr>
              <w:t>十四</w:t>
            </w:r>
            <w:r>
              <w:rPr>
                <w:rFonts w:hint="eastAsia" w:ascii="Times New Roman" w:hAnsi="Times New Roman" w:eastAsia="宋体" w:cs="Times New Roman"/>
                <w:sz w:val="24"/>
                <w:szCs w:val="24"/>
                <w:lang w:val="en-US" w:eastAsia="zh-CN"/>
              </w:rPr>
              <w:t>师</w:t>
            </w:r>
            <w:r>
              <w:rPr>
                <w:rFonts w:hint="default" w:ascii="Times New Roman" w:hAnsi="Times New Roman" w:eastAsia="宋体" w:cs="Times New Roman"/>
                <w:sz w:val="24"/>
                <w:szCs w:val="24"/>
                <w:lang w:eastAsia="zh-CN"/>
              </w:rPr>
              <w:t>环</w:t>
            </w:r>
            <w:r>
              <w:rPr>
                <w:rFonts w:hint="eastAsia" w:ascii="Times New Roman" w:hAnsi="Times New Roman" w:eastAsia="宋体" w:cs="Times New Roman"/>
                <w:sz w:val="24"/>
                <w:szCs w:val="24"/>
                <w:lang w:val="en-US" w:eastAsia="zh-CN"/>
              </w:rPr>
              <w:t>发</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号</w:t>
            </w:r>
            <w:r>
              <w:rPr>
                <w:rFonts w:hint="default" w:ascii="Times New Roman" w:hAnsi="Times New Roman" w:eastAsia="宋体" w:cs="Times New Roman"/>
                <w:spacing w:val="5"/>
                <w:sz w:val="24"/>
                <w:szCs w:val="24"/>
                <w:highlight w:val="none"/>
                <w:lang w:eastAsia="zh-CN"/>
              </w:rPr>
              <w:t>）</w:t>
            </w:r>
            <w:r>
              <w:rPr>
                <w:rFonts w:hint="default" w:ascii="Times New Roman" w:hAnsi="Times New Roman" w:eastAsia="宋体" w:cs="Times New Roman"/>
                <w:spacing w:val="5"/>
                <w:sz w:val="24"/>
                <w:szCs w:val="24"/>
                <w:highlight w:val="none"/>
              </w:rPr>
              <w:t>；</w:t>
            </w:r>
          </w:p>
          <w:p w14:paraId="07DF9DCF">
            <w:pPr>
              <w:keepNext w:val="0"/>
              <w:keepLines w:val="0"/>
              <w:pageBreakBefore w:val="0"/>
              <w:widowControl/>
              <w:kinsoku/>
              <w:wordWrap/>
              <w:overflowPunct/>
              <w:topLinePunct w:val="0"/>
              <w:autoSpaceDE/>
              <w:autoSpaceDN/>
              <w:bidi w:val="0"/>
              <w:adjustRightInd/>
              <w:snapToGrid/>
              <w:spacing w:line="360" w:lineRule="auto"/>
              <w:ind w:left="114" w:leftChars="0" w:right="107" w:rightChars="0" w:firstLine="504" w:firstLineChars="200"/>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竣工环</w:t>
            </w:r>
            <w:r>
              <w:rPr>
                <w:rFonts w:hint="default" w:ascii="Times New Roman" w:hAnsi="Times New Roman" w:eastAsia="宋体" w:cs="Times New Roman"/>
                <w:spacing w:val="-2"/>
                <w:sz w:val="24"/>
                <w:szCs w:val="24"/>
              </w:rPr>
              <w:t>境保护验收调查委托书》</w:t>
            </w:r>
            <w:r>
              <w:rPr>
                <w:rFonts w:hint="default" w:ascii="Times New Roman" w:hAnsi="Times New Roman" w:eastAsia="宋体" w:cs="Times New Roman"/>
                <w:spacing w:val="-1"/>
                <w:sz w:val="24"/>
                <w:szCs w:val="24"/>
              </w:rPr>
              <w:t>。</w:t>
            </w:r>
          </w:p>
        </w:tc>
      </w:tr>
    </w:tbl>
    <w:p w14:paraId="040A2E4C">
      <w:pPr>
        <w:spacing w:line="74" w:lineRule="exact"/>
        <w:rPr>
          <w:rFonts w:hint="default" w:ascii="Times New Roman" w:hAnsi="Times New Roman" w:cs="Times New Roman"/>
        </w:rPr>
      </w:pPr>
    </w:p>
    <w:p w14:paraId="19DC0BAD">
      <w:pPr>
        <w:rPr>
          <w:rFonts w:hint="default" w:ascii="Times New Roman" w:hAnsi="Times New Roman" w:cs="Times New Roman"/>
          <w:sz w:val="21"/>
        </w:rPr>
      </w:pPr>
    </w:p>
    <w:p w14:paraId="7A965F2B">
      <w:pPr>
        <w:rPr>
          <w:rFonts w:hint="default" w:ascii="Times New Roman" w:hAnsi="Times New Roman" w:cs="Times New Roman"/>
        </w:rPr>
        <w:sectPr>
          <w:footerReference r:id="rId9"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4FA942C8">
      <w:pPr>
        <w:pStyle w:val="3"/>
        <w:bidi w:val="0"/>
        <w:rPr>
          <w:rFonts w:hint="default" w:ascii="Times New Roman" w:hAnsi="Times New Roman" w:cs="Times New Roman"/>
          <w:sz w:val="32"/>
          <w:szCs w:val="52"/>
        </w:rPr>
      </w:pPr>
      <w:bookmarkStart w:id="4" w:name="_Toc21753"/>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五</w:t>
      </w:r>
      <w:r>
        <w:rPr>
          <w:rFonts w:hint="default" w:ascii="Times New Roman" w:hAnsi="Times New Roman" w:cs="Times New Roman"/>
          <w:sz w:val="32"/>
          <w:szCs w:val="52"/>
        </w:rPr>
        <w:t xml:space="preserve"> 工程概况</w:t>
      </w:r>
      <w:bookmarkEnd w:id="4"/>
    </w:p>
    <w:tbl>
      <w:tblPr>
        <w:tblStyle w:val="28"/>
        <w:tblW w:w="910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049"/>
        <w:gridCol w:w="8057"/>
      </w:tblGrid>
      <w:tr w14:paraId="5C32A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2134" w:type="dxa"/>
            <w:vAlign w:val="center"/>
          </w:tcPr>
          <w:p w14:paraId="6ABD976B">
            <w:pPr>
              <w:spacing w:before="117" w:line="22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项</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目名称</w:t>
            </w:r>
          </w:p>
        </w:tc>
        <w:tc>
          <w:tcPr>
            <w:tcW w:w="6970" w:type="dxa"/>
            <w:vAlign w:val="top"/>
          </w:tcPr>
          <w:p w14:paraId="5C9BCC91">
            <w:pPr>
              <w:spacing w:before="117" w:line="220" w:lineRule="auto"/>
              <w:jc w:val="center"/>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第十四师皮山农场污水资源化利用项目</w:t>
            </w:r>
          </w:p>
        </w:tc>
      </w:tr>
      <w:tr w14:paraId="43DA46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jc w:val="center"/>
        </w:trPr>
        <w:tc>
          <w:tcPr>
            <w:tcW w:w="2134" w:type="dxa"/>
            <w:vAlign w:val="center"/>
          </w:tcPr>
          <w:p w14:paraId="17528EF1">
            <w:pPr>
              <w:spacing w:before="78" w:line="388" w:lineRule="exact"/>
              <w:jc w:val="center"/>
              <w:rPr>
                <w:rFonts w:hint="default" w:ascii="Times New Roman" w:hAnsi="Times New Roman" w:eastAsia="宋体" w:cs="Times New Roman"/>
                <w:sz w:val="24"/>
                <w:szCs w:val="24"/>
              </w:rPr>
            </w:pPr>
            <w:r>
              <w:rPr>
                <w:rFonts w:hint="default" w:ascii="Times New Roman" w:hAnsi="Times New Roman" w:eastAsia="宋体" w:cs="Times New Roman"/>
                <w:spacing w:val="-2"/>
                <w:position w:val="10"/>
                <w:sz w:val="24"/>
                <w:szCs w:val="24"/>
                <w14:textOutline w14:w="4354" w14:cap="flat" w14:cmpd="sng">
                  <w14:solidFill>
                    <w14:srgbClr w14:val="000000"/>
                  </w14:solidFill>
                  <w14:prstDash w14:val="solid"/>
                  <w14:miter w14:val="0"/>
                </w14:textOutline>
              </w:rPr>
              <w:t>项目地</w:t>
            </w:r>
            <w:r>
              <w:rPr>
                <w:rFonts w:hint="default" w:ascii="Times New Roman" w:hAnsi="Times New Roman" w:eastAsia="宋体" w:cs="Times New Roman"/>
                <w:spacing w:val="-1"/>
                <w:position w:val="10"/>
                <w:sz w:val="24"/>
                <w:szCs w:val="24"/>
                <w14:textOutline w14:w="4354" w14:cap="flat" w14:cmpd="sng">
                  <w14:solidFill>
                    <w14:srgbClr w14:val="000000"/>
                  </w14:solidFill>
                  <w14:prstDash w14:val="solid"/>
                  <w14:miter w14:val="0"/>
                </w14:textOutline>
              </w:rPr>
              <w:t>理位置</w:t>
            </w:r>
          </w:p>
        </w:tc>
        <w:tc>
          <w:tcPr>
            <w:tcW w:w="6970" w:type="dxa"/>
            <w:vAlign w:val="top"/>
          </w:tcPr>
          <w:p w14:paraId="6F50C9BD">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bCs/>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snapToGrid w:val="0"/>
                <w:color w:val="000000"/>
                <w:kern w:val="0"/>
                <w:sz w:val="24"/>
                <w:szCs w:val="24"/>
                <w:lang w:val="en-US" w:eastAsia="zh-CN" w:bidi="ar"/>
              </w:rPr>
              <w:t>工程所在地位于新疆生产建设兵团第十四师</w:t>
            </w:r>
            <w:r>
              <w:rPr>
                <w:rFonts w:hint="eastAsia" w:ascii="Times New Roman" w:hAnsi="Times New Roman" w:eastAsia="宋体" w:cs="Times New Roman"/>
                <w:snapToGrid w:val="0"/>
                <w:color w:val="000000"/>
                <w:kern w:val="0"/>
                <w:sz w:val="24"/>
                <w:szCs w:val="24"/>
                <w:lang w:val="en-US" w:eastAsia="zh-CN" w:bidi="ar"/>
              </w:rPr>
              <w:t>皮山农场</w:t>
            </w:r>
            <w:r>
              <w:rPr>
                <w:rFonts w:hint="default" w:ascii="Times New Roman" w:hAnsi="Times New Roman" w:eastAsia="宋体" w:cs="Times New Roman"/>
                <w:snapToGrid w:val="0"/>
                <w:color w:val="000000"/>
                <w:kern w:val="0"/>
                <w:sz w:val="24"/>
                <w:szCs w:val="24"/>
                <w:lang w:val="en-US" w:eastAsia="zh-CN" w:bidi="ar"/>
              </w:rPr>
              <w:t>。</w:t>
            </w:r>
            <w:r>
              <w:rPr>
                <w:rFonts w:hint="eastAsia" w:cs="Times New Roman"/>
                <w:b w:val="0"/>
                <w:color w:val="000000" w:themeColor="text1"/>
                <w:kern w:val="2"/>
                <w:sz w:val="24"/>
                <w:szCs w:val="24"/>
                <w:highlight w:val="none"/>
                <w:lang w:val="en-US" w:eastAsia="zh-CN" w:bidi="ar-SA"/>
                <w14:textFill>
                  <w14:solidFill>
                    <w14:schemeClr w14:val="tx1"/>
                  </w14:solidFill>
                </w14:textFill>
              </w:rPr>
              <w:t>中水储库</w:t>
            </w:r>
            <w:r>
              <w:rPr>
                <w:rFonts w:hint="default" w:ascii="Times New Roman" w:hAnsi="Times New Roman" w:cs="Times New Roman"/>
                <w:b w:val="0"/>
                <w:color w:val="000000" w:themeColor="text1"/>
                <w:kern w:val="2"/>
                <w:sz w:val="24"/>
                <w:szCs w:val="24"/>
                <w:highlight w:val="none"/>
                <w:lang w:val="en-US" w:eastAsia="zh-CN" w:bidi="ar-SA"/>
                <w14:textFill>
                  <w14:solidFill>
                    <w14:schemeClr w14:val="tx1"/>
                  </w14:solidFill>
                </w14:textFill>
              </w:rPr>
              <w:t>中心地理坐标为E78°30′23.455″、N37°41′22.381″，</w:t>
            </w:r>
            <w:r>
              <w:rPr>
                <w:rFonts w:hint="default" w:ascii="Times New Roman" w:hAnsi="Times New Roman" w:cs="Times New Roman"/>
                <w:color w:val="000000" w:themeColor="text1"/>
                <w:sz w:val="24"/>
                <w:szCs w:val="22"/>
                <w:highlight w:val="none"/>
                <w:lang w:val="en-US" w:eastAsia="zh-CN" w:bidi="ar-SA"/>
                <w14:textFill>
                  <w14:solidFill>
                    <w14:schemeClr w14:val="tx1"/>
                  </w14:solidFill>
                </w14:textFill>
              </w:rPr>
              <w:t>项目输水管线</w:t>
            </w:r>
            <w:r>
              <w:rPr>
                <w:rFonts w:hint="default" w:ascii="Times New Roman" w:hAnsi="Times New Roman" w:cs="Times New Roman"/>
                <w:bCs/>
                <w:color w:val="000000" w:themeColor="text1"/>
                <w:sz w:val="24"/>
                <w:szCs w:val="24"/>
                <w:lang w:val="en-US" w:eastAsia="zh-CN"/>
                <w14:textFill>
                  <w14:solidFill>
                    <w14:schemeClr w14:val="tx1"/>
                  </w14:solidFill>
                </w14:textFill>
              </w:rPr>
              <w:t>主要拐点坐标一览表见</w:t>
            </w:r>
            <w:r>
              <w:rPr>
                <w:rFonts w:hint="eastAsia" w:ascii="Times New Roman" w:hAnsi="Times New Roman" w:cs="Times New Roman"/>
                <w:bCs/>
                <w:color w:val="000000" w:themeColor="text1"/>
                <w:sz w:val="24"/>
                <w:szCs w:val="24"/>
                <w:lang w:val="en-US" w:eastAsia="zh-CN"/>
                <w14:textFill>
                  <w14:solidFill>
                    <w14:schemeClr w14:val="tx1"/>
                  </w14:solidFill>
                </w14:textFill>
              </w:rPr>
              <w:t>下</w:t>
            </w:r>
            <w:r>
              <w:rPr>
                <w:rFonts w:hint="default" w:ascii="Times New Roman" w:hAnsi="Times New Roman" w:cs="Times New Roman"/>
                <w:bCs/>
                <w:color w:val="000000" w:themeColor="text1"/>
                <w:sz w:val="24"/>
                <w:szCs w:val="24"/>
                <w:lang w:val="en-US" w:eastAsia="zh-CN"/>
                <w14:textFill>
                  <w14:solidFill>
                    <w14:schemeClr w14:val="tx1"/>
                  </w14:solidFill>
                </w14:textFill>
              </w:rPr>
              <w:t>表</w:t>
            </w:r>
            <w:r>
              <w:rPr>
                <w:rFonts w:hint="eastAsia" w:ascii="Times New Roman" w:hAnsi="Times New Roman" w:cs="Times New Roman"/>
                <w:bCs/>
                <w:color w:val="000000" w:themeColor="text1"/>
                <w:sz w:val="24"/>
                <w:szCs w:val="24"/>
                <w:lang w:val="en-US" w:eastAsia="zh-CN"/>
                <w14:textFill>
                  <w14:solidFill>
                    <w14:schemeClr w14:val="tx1"/>
                  </w14:solidFill>
                </w14:textFill>
              </w:rPr>
              <w:t>。</w:t>
            </w:r>
          </w:p>
          <w:p w14:paraId="7EB37E8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cs="Times New Roman"/>
                <w:b/>
                <w:bCs/>
                <w:color w:val="000000" w:themeColor="text1"/>
                <w:sz w:val="21"/>
                <w:szCs w:val="21"/>
                <w:highlight w:val="none"/>
                <w:lang w:val="en-US" w:eastAsia="zh-CN"/>
                <w14:textFill>
                  <w14:solidFill>
                    <w14:schemeClr w14:val="tx1"/>
                  </w14:solidFill>
                </w14:textFill>
              </w:rPr>
              <w:t>5</w:t>
            </w: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1  输水管线主要拐点坐标一览表</w:t>
            </w:r>
          </w:p>
          <w:tbl>
            <w:tblPr>
              <w:tblStyle w:val="21"/>
              <w:tblW w:w="805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9"/>
              <w:gridCol w:w="1755"/>
              <w:gridCol w:w="984"/>
              <w:gridCol w:w="1862"/>
              <w:gridCol w:w="1771"/>
              <w:gridCol w:w="1030"/>
            </w:tblGrid>
            <w:tr w14:paraId="2B99EE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16" w:type="pct"/>
                  <w:tcBorders>
                    <w:tl2br w:val="nil"/>
                    <w:tr2bl w:val="nil"/>
                  </w:tcBorders>
                  <w:noWrap w:val="0"/>
                  <w:vAlign w:val="center"/>
                </w:tcPr>
                <w:p w14:paraId="0D7E86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位置</w:t>
                  </w:r>
                </w:p>
              </w:tc>
              <w:tc>
                <w:tcPr>
                  <w:tcW w:w="1103" w:type="pct"/>
                  <w:tcBorders>
                    <w:tl2br w:val="nil"/>
                    <w:tr2bl w:val="nil"/>
                  </w:tcBorders>
                  <w:noWrap w:val="0"/>
                  <w:vAlign w:val="center"/>
                </w:tcPr>
                <w:p w14:paraId="2F7D03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位置</w:t>
                  </w:r>
                </w:p>
              </w:tc>
              <w:tc>
                <w:tcPr>
                  <w:tcW w:w="624" w:type="pct"/>
                  <w:tcBorders>
                    <w:tl2br w:val="nil"/>
                    <w:tr2bl w:val="nil"/>
                  </w:tcBorders>
                  <w:noWrap w:val="0"/>
                  <w:vAlign w:val="center"/>
                </w:tcPr>
                <w:p w14:paraId="112873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桩号</w:t>
                  </w:r>
                </w:p>
              </w:tc>
              <w:tc>
                <w:tcPr>
                  <w:tcW w:w="1169" w:type="pct"/>
                  <w:tcBorders>
                    <w:tl2br w:val="nil"/>
                    <w:tr2bl w:val="nil"/>
                  </w:tcBorders>
                  <w:noWrap w:val="0"/>
                  <w:vAlign w:val="center"/>
                </w:tcPr>
                <w:p w14:paraId="53AA3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起点坐标</w:t>
                  </w:r>
                </w:p>
              </w:tc>
              <w:tc>
                <w:tcPr>
                  <w:tcW w:w="1034" w:type="pct"/>
                  <w:tcBorders>
                    <w:tl2br w:val="nil"/>
                    <w:tr2bl w:val="nil"/>
                  </w:tcBorders>
                  <w:noWrap w:val="0"/>
                  <w:vAlign w:val="center"/>
                </w:tcPr>
                <w:p w14:paraId="12965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终点坐标</w:t>
                  </w:r>
                </w:p>
              </w:tc>
              <w:tc>
                <w:tcPr>
                  <w:tcW w:w="652" w:type="pct"/>
                  <w:tcBorders>
                    <w:tl2br w:val="nil"/>
                    <w:tr2bl w:val="nil"/>
                  </w:tcBorders>
                  <w:noWrap w:val="0"/>
                  <w:vAlign w:val="center"/>
                </w:tcPr>
                <w:p w14:paraId="07850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长度（m）</w:t>
                  </w:r>
                </w:p>
              </w:tc>
            </w:tr>
            <w:tr w14:paraId="0F761B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16" w:type="pct"/>
                  <w:vMerge w:val="restart"/>
                  <w:tcBorders>
                    <w:tl2br w:val="nil"/>
                    <w:tr2bl w:val="nil"/>
                  </w:tcBorders>
                  <w:noWrap w:val="0"/>
                  <w:vAlign w:val="center"/>
                </w:tcPr>
                <w:p w14:paraId="79F7DD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第十四师皮山农场</w:t>
                  </w:r>
                </w:p>
              </w:tc>
              <w:tc>
                <w:tcPr>
                  <w:tcW w:w="1103" w:type="pct"/>
                  <w:tcBorders>
                    <w:tl2br w:val="nil"/>
                    <w:tr2bl w:val="nil"/>
                  </w:tcBorders>
                  <w:noWrap w:val="0"/>
                  <w:vAlign w:val="center"/>
                </w:tcPr>
                <w:p w14:paraId="67E19C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皮山农场</w:t>
                  </w:r>
                </w:p>
                <w:p w14:paraId="3BBCEB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场部绿化区域</w:t>
                  </w:r>
                </w:p>
              </w:tc>
              <w:tc>
                <w:tcPr>
                  <w:tcW w:w="624" w:type="pct"/>
                  <w:tcBorders>
                    <w:tl2br w:val="nil"/>
                    <w:tr2bl w:val="nil"/>
                  </w:tcBorders>
                  <w:noWrap w:val="0"/>
                  <w:vAlign w:val="center"/>
                </w:tcPr>
                <w:p w14:paraId="59AE4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1区</w:t>
                  </w:r>
                </w:p>
              </w:tc>
              <w:tc>
                <w:tcPr>
                  <w:tcW w:w="1169" w:type="pct"/>
                  <w:tcBorders>
                    <w:tl2br w:val="nil"/>
                    <w:tr2bl w:val="nil"/>
                  </w:tcBorders>
                  <w:noWrap w:val="0"/>
                  <w:vAlign w:val="center"/>
                </w:tcPr>
                <w:p w14:paraId="39D81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E78°30′9.783″、N37°41′28.753″</w:t>
                  </w:r>
                </w:p>
              </w:tc>
              <w:tc>
                <w:tcPr>
                  <w:tcW w:w="1034" w:type="pct"/>
                  <w:tcBorders>
                    <w:tl2br w:val="nil"/>
                    <w:tr2bl w:val="nil"/>
                  </w:tcBorders>
                  <w:noWrap w:val="0"/>
                  <w:vAlign w:val="center"/>
                </w:tcPr>
                <w:p w14:paraId="3ADB9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E78°28′21.655″、N37°41′41.422″</w:t>
                  </w:r>
                </w:p>
              </w:tc>
              <w:tc>
                <w:tcPr>
                  <w:tcW w:w="652" w:type="pct"/>
                  <w:tcBorders>
                    <w:tl2br w:val="nil"/>
                    <w:tr2bl w:val="nil"/>
                  </w:tcBorders>
                  <w:noWrap w:val="0"/>
                  <w:vAlign w:val="center"/>
                </w:tcPr>
                <w:p w14:paraId="2EFA0E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5499</w:t>
                  </w:r>
                </w:p>
              </w:tc>
            </w:tr>
            <w:tr w14:paraId="114C69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16" w:type="pct"/>
                  <w:vMerge w:val="continue"/>
                  <w:tcBorders>
                    <w:tl2br w:val="nil"/>
                    <w:tr2bl w:val="nil"/>
                  </w:tcBorders>
                  <w:noWrap w:val="0"/>
                  <w:vAlign w:val="center"/>
                </w:tcPr>
                <w:p w14:paraId="4D11B4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1103" w:type="pct"/>
                  <w:tcBorders>
                    <w:tl2br w:val="nil"/>
                    <w:tr2bl w:val="nil"/>
                  </w:tcBorders>
                  <w:noWrap w:val="0"/>
                  <w:vAlign w:val="center"/>
                </w:tcPr>
                <w:p w14:paraId="522C71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阿火公路和二连道路防护林区域</w:t>
                  </w:r>
                </w:p>
              </w:tc>
              <w:tc>
                <w:tcPr>
                  <w:tcW w:w="624" w:type="pct"/>
                  <w:tcBorders>
                    <w:tl2br w:val="nil"/>
                    <w:tr2bl w:val="nil"/>
                  </w:tcBorders>
                  <w:noWrap w:val="0"/>
                  <w:vAlign w:val="center"/>
                </w:tcPr>
                <w:p w14:paraId="55405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2区</w:t>
                  </w:r>
                </w:p>
              </w:tc>
              <w:tc>
                <w:tcPr>
                  <w:tcW w:w="1169" w:type="pct"/>
                  <w:tcBorders>
                    <w:tl2br w:val="nil"/>
                    <w:tr2bl w:val="nil"/>
                  </w:tcBorders>
                  <w:noWrap w:val="0"/>
                  <w:vAlign w:val="center"/>
                </w:tcPr>
                <w:p w14:paraId="0EACA1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E78°30′9.783″、N37°41′28.753″</w:t>
                  </w:r>
                </w:p>
              </w:tc>
              <w:tc>
                <w:tcPr>
                  <w:tcW w:w="1034" w:type="pct"/>
                  <w:tcBorders>
                    <w:tl2br w:val="nil"/>
                    <w:tr2bl w:val="nil"/>
                  </w:tcBorders>
                  <w:noWrap w:val="0"/>
                  <w:vAlign w:val="center"/>
                </w:tcPr>
                <w:p w14:paraId="0FE921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E78°25′31.459″、N37°38′46.96″</w:t>
                  </w:r>
                </w:p>
              </w:tc>
              <w:tc>
                <w:tcPr>
                  <w:tcW w:w="652" w:type="pct"/>
                  <w:tcBorders>
                    <w:tl2br w:val="nil"/>
                    <w:tr2bl w:val="nil"/>
                  </w:tcBorders>
                  <w:noWrap w:val="0"/>
                  <w:vAlign w:val="center"/>
                </w:tcPr>
                <w:p w14:paraId="31D22B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8779</w:t>
                  </w:r>
                </w:p>
              </w:tc>
            </w:tr>
            <w:tr w14:paraId="495AF1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16" w:type="pct"/>
                  <w:vMerge w:val="continue"/>
                  <w:tcBorders>
                    <w:tl2br w:val="nil"/>
                    <w:tr2bl w:val="nil"/>
                  </w:tcBorders>
                  <w:noWrap w:val="0"/>
                  <w:vAlign w:val="center"/>
                </w:tcPr>
                <w:p w14:paraId="25C81F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1103" w:type="pct"/>
                  <w:tcBorders>
                    <w:tl2br w:val="nil"/>
                    <w:tr2bl w:val="nil"/>
                  </w:tcBorders>
                  <w:noWrap w:val="0"/>
                  <w:vAlign w:val="center"/>
                </w:tcPr>
                <w:p w14:paraId="1F139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工业园区</w:t>
                  </w:r>
                </w:p>
                <w:p w14:paraId="25622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防护林区域</w:t>
                  </w:r>
                </w:p>
              </w:tc>
              <w:tc>
                <w:tcPr>
                  <w:tcW w:w="624" w:type="pct"/>
                  <w:tcBorders>
                    <w:tl2br w:val="nil"/>
                    <w:tr2bl w:val="nil"/>
                  </w:tcBorders>
                  <w:noWrap w:val="0"/>
                  <w:vAlign w:val="center"/>
                </w:tcPr>
                <w:p w14:paraId="064904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3区</w:t>
                  </w:r>
                </w:p>
              </w:tc>
              <w:tc>
                <w:tcPr>
                  <w:tcW w:w="1169" w:type="pct"/>
                  <w:tcBorders>
                    <w:tl2br w:val="nil"/>
                    <w:tr2bl w:val="nil"/>
                  </w:tcBorders>
                  <w:noWrap w:val="0"/>
                  <w:vAlign w:val="center"/>
                </w:tcPr>
                <w:p w14:paraId="57E65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E78°30′9.783″、N37°41′28.753″</w:t>
                  </w:r>
                </w:p>
              </w:tc>
              <w:tc>
                <w:tcPr>
                  <w:tcW w:w="1034" w:type="pct"/>
                  <w:tcBorders>
                    <w:tl2br w:val="nil"/>
                    <w:tr2bl w:val="nil"/>
                  </w:tcBorders>
                  <w:noWrap w:val="0"/>
                  <w:vAlign w:val="center"/>
                </w:tcPr>
                <w:p w14:paraId="661211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E78°29′43.547″、N37°44′7.101″</w:t>
                  </w:r>
                </w:p>
              </w:tc>
              <w:tc>
                <w:tcPr>
                  <w:tcW w:w="652" w:type="pct"/>
                  <w:tcBorders>
                    <w:tl2br w:val="nil"/>
                    <w:tr2bl w:val="nil"/>
                  </w:tcBorders>
                  <w:noWrap w:val="0"/>
                  <w:vAlign w:val="center"/>
                </w:tcPr>
                <w:p w14:paraId="0CA2C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7236</w:t>
                  </w:r>
                </w:p>
              </w:tc>
            </w:tr>
            <w:tr w14:paraId="555385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347" w:type="pct"/>
                  <w:gridSpan w:val="5"/>
                  <w:tcBorders>
                    <w:tl2br w:val="nil"/>
                    <w:tr2bl w:val="nil"/>
                  </w:tcBorders>
                  <w:noWrap w:val="0"/>
                  <w:vAlign w:val="center"/>
                </w:tcPr>
                <w:p w14:paraId="5F986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合计</w:t>
                  </w:r>
                </w:p>
              </w:tc>
              <w:tc>
                <w:tcPr>
                  <w:tcW w:w="652" w:type="pct"/>
                  <w:tcBorders>
                    <w:tl2br w:val="nil"/>
                    <w:tr2bl w:val="nil"/>
                  </w:tcBorders>
                  <w:noWrap w:val="0"/>
                  <w:vAlign w:val="center"/>
                </w:tcPr>
                <w:p w14:paraId="2AD3F3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21514</w:t>
                  </w:r>
                </w:p>
              </w:tc>
            </w:tr>
          </w:tbl>
          <w:p w14:paraId="25E242BD">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szCs w:val="24"/>
                <w:highlight w:val="none"/>
                <w:lang w:val="en-US" w:eastAsia="zh-CN"/>
              </w:rPr>
              <w:t>项目区地理位置详见附图1。</w:t>
            </w:r>
          </w:p>
        </w:tc>
      </w:tr>
      <w:tr w14:paraId="7BBA56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54" w:hRule="atLeast"/>
          <w:jc w:val="center"/>
        </w:trPr>
        <w:tc>
          <w:tcPr>
            <w:tcW w:w="9104" w:type="dxa"/>
            <w:gridSpan w:val="2"/>
            <w:vAlign w:val="top"/>
          </w:tcPr>
          <w:p w14:paraId="167DB1C7">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.1</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主要工程</w:t>
            </w:r>
            <w:r>
              <w:rPr>
                <w:rFonts w:hint="default"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组成</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及规模</w:t>
            </w:r>
          </w:p>
          <w:p w14:paraId="6FC5E01B">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both"/>
              <w:textAlignment w:val="auto"/>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1、工程等级和标准</w:t>
            </w:r>
          </w:p>
          <w:p w14:paraId="4FD8017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根据《防洪标准》（GB50201-2014）和《水利水电工程等级划分及洪水标准》（SL252-2017）规定，</w:t>
            </w:r>
            <w:r>
              <w:rPr>
                <w:rFonts w:hint="eastAsia" w:cs="Times New Roman"/>
                <w:color w:val="000000" w:themeColor="text1"/>
                <w:kern w:val="0"/>
                <w:sz w:val="24"/>
                <w:szCs w:val="24"/>
                <w:lang w:val="en-US" w:eastAsia="zh-CN" w:bidi="ar"/>
                <w14:textFill>
                  <w14:solidFill>
                    <w14:schemeClr w14:val="tx1"/>
                  </w14:solidFill>
                </w14:textFill>
              </w:rPr>
              <w:t>中水储库</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设计</w:t>
            </w:r>
            <w:r>
              <w:rPr>
                <w:rFonts w:hint="eastAsia" w:cs="Times New Roman"/>
                <w:color w:val="000000" w:themeColor="text1"/>
                <w:kern w:val="0"/>
                <w:sz w:val="24"/>
                <w:szCs w:val="24"/>
                <w:lang w:val="en-US" w:eastAsia="zh-CN" w:bidi="ar"/>
                <w14:textFill>
                  <w14:solidFill>
                    <w14:schemeClr w14:val="tx1"/>
                  </w14:solidFill>
                </w14:textFill>
              </w:rPr>
              <w:t>库容</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为70万m³，该工程等别为Ⅴ等，工程规模为小（2）型。主要建筑物为5级，次要建筑物为5级，临时建筑物为5级。</w:t>
            </w:r>
          </w:p>
          <w:p w14:paraId="6A13B3A6">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cs="Times New Roman"/>
                <w:b/>
                <w:color w:val="000000" w:themeColor="text1"/>
                <w:szCs w:val="24"/>
                <w:lang w:val="en-US" w:eastAsia="zh-CN"/>
                <w14:textFill>
                  <w14:solidFill>
                    <w14:schemeClr w14:val="tx1"/>
                  </w14:solidFill>
                </w14:textFill>
              </w:rPr>
            </w:pPr>
            <w:r>
              <w:rPr>
                <w:rFonts w:hint="default" w:ascii="Times New Roman" w:hAnsi="Times New Roman" w:cs="Times New Roman"/>
                <w:b/>
                <w:color w:val="000000" w:themeColor="text1"/>
                <w:szCs w:val="24"/>
                <w:lang w:val="en-US" w:eastAsia="zh-CN"/>
                <w14:textFill>
                  <w14:solidFill>
                    <w14:schemeClr w14:val="tx1"/>
                  </w14:solidFill>
                </w14:textFill>
              </w:rPr>
              <w:t>2、项目建设概况</w:t>
            </w:r>
          </w:p>
          <w:p w14:paraId="4F2855D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本次建设内容为新建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w:t>
            </w:r>
          </w:p>
          <w:p w14:paraId="44513D3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p>
          <w:p w14:paraId="4B03036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布置在在建污水厂东侧，设计容积70万m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平面上呈“口”型布置，</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单侧堤防长度454m，堤防总长度1.816km。</w:t>
            </w:r>
          </w:p>
          <w:p w14:paraId="2A38E44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（2）提水泵站</w:t>
            </w:r>
          </w:p>
          <w:p w14:paraId="62FAD87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提水泵站位于</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北侧，泵站顺提水方向依次是前</w:t>
            </w:r>
            <w:r>
              <w:rPr>
                <w:rFonts w:hint="eastAsia" w:cs="Times New Roman"/>
                <w:color w:val="000000" w:themeColor="text1"/>
                <w:kern w:val="0"/>
                <w:sz w:val="24"/>
                <w:szCs w:val="24"/>
                <w:highlight w:val="none"/>
                <w:lang w:val="en-US" w:eastAsia="zh-CN" w:bidi="ar-SA"/>
                <w14:textFill>
                  <w14:solidFill>
                    <w14:schemeClr w14:val="tx1"/>
                  </w14:solidFill>
                </w14:textFill>
              </w:rPr>
              <w:t>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、泵房、出水管道等。泵房内布置3台机组，3四台机组并排布置，每台水泵控制一个灌溉片区，水泵采用离心泵，其中1区提水泵站设计流量720m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/h，型号为300KQW720-50-132/4，扬程50m。2区提水泵站设计流量690m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/h，水泵型号为300KQW670-70-200/4，扬程70m。3区提水泵站设计流量370m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w:t>
            </w:r>
          </w:p>
          <w:p w14:paraId="7683C0C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（3）库前引水管</w:t>
            </w:r>
          </w:p>
          <w:p w14:paraId="454E5CD9">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库前引水管起点接污水处理厂的消毒池后的闸阀井，终点汇入</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，输水方式为重力流输水，管道长度450m，管道输水流量800m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/h，采用 DN800 的钢管。</w:t>
            </w:r>
          </w:p>
          <w:p w14:paraId="5C4997B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（4）输水管网</w:t>
            </w:r>
          </w:p>
          <w:p w14:paraId="55492A2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本次输水管网总长度21.514km，输送方式均为压力流态，管道分为三个区，每个片区为独立管道。</w:t>
            </w:r>
          </w:p>
          <w:p w14:paraId="419C1FB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 区主要控制范围为皮山农场场部绿化区域，灌溉面积2200亩。提水泵站设计流量720m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 xml:space="preserve">/h，型号为300KQW720-50-132/4，扬程50m，电机功率 114kw。管道总长度5.499km，采用管径DN450管道长度1951m，DN400管道长度3548m。 </w:t>
            </w:r>
          </w:p>
          <w:p w14:paraId="05A74FBC">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 区主要控制范围为阿火公路和二连道路防护林区域，灌溉面积3100亩。提水泵站设计流量690m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/h，水泵型号为300KQW670-70-200/4，扬程70m，电机功率160kw。管道总长度8.779km，采用管径DN450 管道4015m，DN400管道4764m。</w:t>
            </w:r>
          </w:p>
          <w:p w14:paraId="4EEB6BDB">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 区主要控制范围为工业园区防护林区域，灌溉面积1700亩。提水泵站设计流量370m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/h，水泵型号为200KQL346-60-90/4，扬程60m，电机功率90kw。管道总长度7.236km，管径DN300。</w:t>
            </w:r>
          </w:p>
          <w:p w14:paraId="071F083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主要工程建设内容见表</w:t>
            </w:r>
            <w:r>
              <w:rPr>
                <w:rFonts w:hint="eastAsia" w:ascii="Times New Roman" w:hAnsi="Times New Roman" w:cs="Times New Roman"/>
                <w:color w:val="000000" w:themeColor="text1"/>
                <w:kern w:val="0"/>
                <w:sz w:val="24"/>
                <w:szCs w:val="24"/>
                <w:highlight w:val="none"/>
                <w:lang w:val="en-US" w:eastAsia="zh-CN" w:bidi="ar-SA"/>
                <w14:textFill>
                  <w14:solidFill>
                    <w14:schemeClr w14:val="tx1"/>
                  </w14:solidFill>
                </w14:textFill>
              </w:rPr>
              <w:t>5</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w:t>
            </w:r>
          </w:p>
          <w:p w14:paraId="697C6DA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snapToGrid w:val="0"/>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cs="Times New Roman"/>
                <w:b/>
                <w:bCs/>
                <w:color w:val="000000" w:themeColor="text1"/>
                <w:sz w:val="21"/>
                <w:szCs w:val="21"/>
                <w:highlight w:val="none"/>
                <w:lang w:val="en-US" w:eastAsia="zh-CN"/>
                <w14:textFill>
                  <w14:solidFill>
                    <w14:schemeClr w14:val="tx1"/>
                  </w14:solidFill>
                </w14:textFill>
              </w:rPr>
              <w:t>5</w:t>
            </w: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-2   主要工程建设内容</w:t>
            </w:r>
          </w:p>
          <w:tbl>
            <w:tblPr>
              <w:tblStyle w:val="22"/>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7"/>
              <w:gridCol w:w="1434"/>
              <w:gridCol w:w="4891"/>
              <w:gridCol w:w="657"/>
              <w:gridCol w:w="1026"/>
            </w:tblGrid>
            <w:tr w14:paraId="44EFA2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435" w:type="pct"/>
                  <w:gridSpan w:val="4"/>
                  <w:tcBorders>
                    <w:tl2br w:val="nil"/>
                    <w:tr2bl w:val="nil"/>
                  </w:tcBorders>
                  <w:noWrap w:val="0"/>
                  <w:vAlign w:val="center"/>
                </w:tcPr>
                <w:p w14:paraId="4A5C06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bCs/>
                      <w:sz w:val="21"/>
                      <w:szCs w:val="21"/>
                      <w:vertAlign w:val="baseline"/>
                      <w:lang w:val="en-US" w:eastAsia="zh-CN"/>
                    </w:rPr>
                    <w:t>环评设计建设</w:t>
                  </w:r>
                </w:p>
              </w:tc>
              <w:tc>
                <w:tcPr>
                  <w:tcW w:w="564" w:type="pct"/>
                  <w:vMerge w:val="restart"/>
                  <w:tcBorders>
                    <w:tl2br w:val="nil"/>
                    <w:tr2bl w:val="nil"/>
                  </w:tcBorders>
                  <w:noWrap w:val="0"/>
                  <w:vAlign w:val="center"/>
                </w:tcPr>
                <w:p w14:paraId="2F8C0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bCs/>
                      <w:sz w:val="21"/>
                      <w:szCs w:val="21"/>
                      <w:vertAlign w:val="baseline"/>
                      <w:lang w:val="en-US" w:eastAsia="zh-CN"/>
                    </w:rPr>
                    <w:t>环评设计建设</w:t>
                  </w:r>
                </w:p>
              </w:tc>
            </w:tr>
            <w:tr w14:paraId="15E8D4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tcBorders>
                    <w:tl2br w:val="nil"/>
                    <w:tr2bl w:val="nil"/>
                  </w:tcBorders>
                  <w:noWrap w:val="0"/>
                  <w:vAlign w:val="center"/>
                </w:tcPr>
                <w:p w14:paraId="53583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类别</w:t>
                  </w:r>
                </w:p>
              </w:tc>
              <w:tc>
                <w:tcPr>
                  <w:tcW w:w="788" w:type="pct"/>
                  <w:tcBorders>
                    <w:tl2br w:val="nil"/>
                    <w:tr2bl w:val="nil"/>
                  </w:tcBorders>
                  <w:noWrap w:val="0"/>
                  <w:vAlign w:val="center"/>
                </w:tcPr>
                <w:p w14:paraId="04B64B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名称</w:t>
                  </w:r>
                </w:p>
              </w:tc>
              <w:tc>
                <w:tcPr>
                  <w:tcW w:w="2688" w:type="pct"/>
                  <w:tcBorders>
                    <w:tl2br w:val="nil"/>
                    <w:tr2bl w:val="nil"/>
                  </w:tcBorders>
                  <w:noWrap w:val="0"/>
                  <w:vAlign w:val="center"/>
                </w:tcPr>
                <w:p w14:paraId="08D057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建设内容</w:t>
                  </w:r>
                </w:p>
              </w:tc>
              <w:tc>
                <w:tcPr>
                  <w:tcW w:w="360" w:type="pct"/>
                  <w:tcBorders>
                    <w:tl2br w:val="nil"/>
                    <w:tr2bl w:val="nil"/>
                  </w:tcBorders>
                  <w:noWrap w:val="0"/>
                  <w:vAlign w:val="center"/>
                </w:tcPr>
                <w:p w14:paraId="26431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备注</w:t>
                  </w:r>
                </w:p>
              </w:tc>
              <w:tc>
                <w:tcPr>
                  <w:tcW w:w="564" w:type="pct"/>
                  <w:vMerge w:val="continue"/>
                  <w:tcBorders>
                    <w:tl2br w:val="nil"/>
                    <w:tr2bl w:val="nil"/>
                  </w:tcBorders>
                  <w:noWrap w:val="0"/>
                  <w:vAlign w:val="center"/>
                </w:tcPr>
                <w:p w14:paraId="17693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03EC63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restart"/>
                  <w:tcBorders>
                    <w:tl2br w:val="nil"/>
                    <w:tr2bl w:val="nil"/>
                  </w:tcBorders>
                  <w:noWrap w:val="0"/>
                  <w:vAlign w:val="center"/>
                </w:tcPr>
                <w:p w14:paraId="05F7CF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主体工程</w:t>
                  </w:r>
                </w:p>
              </w:tc>
              <w:tc>
                <w:tcPr>
                  <w:tcW w:w="788" w:type="pct"/>
                  <w:tcBorders>
                    <w:tl2br w:val="nil"/>
                    <w:tr2bl w:val="nil"/>
                  </w:tcBorders>
                  <w:noWrap w:val="0"/>
                  <w:vAlign w:val="center"/>
                </w:tcPr>
                <w:p w14:paraId="29D783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eastAsia" w:cs="Times New Roman"/>
                      <w:b w:val="0"/>
                      <w:bCs w:val="0"/>
                      <w:color w:val="000000" w:themeColor="text1"/>
                      <w:sz w:val="21"/>
                      <w:szCs w:val="21"/>
                      <w:vertAlign w:val="baseline"/>
                      <w:lang w:val="en-US" w:eastAsia="zh-CN"/>
                      <w14:textFill>
                        <w14:solidFill>
                          <w14:schemeClr w14:val="tx1"/>
                        </w14:solidFill>
                      </w14:textFill>
                    </w:rPr>
                    <w:t>中水储库</w:t>
                  </w:r>
                </w:p>
              </w:tc>
              <w:tc>
                <w:tcPr>
                  <w:tcW w:w="2688" w:type="pct"/>
                  <w:tcBorders>
                    <w:tl2br w:val="nil"/>
                    <w:tr2bl w:val="nil"/>
                  </w:tcBorders>
                  <w:noWrap w:val="0"/>
                  <w:vAlign w:val="center"/>
                </w:tcPr>
                <w:p w14:paraId="14692F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eastAsia" w:cs="Times New Roman"/>
                      <w:b w:val="0"/>
                      <w:bCs w:val="0"/>
                      <w:color w:val="000000" w:themeColor="text1"/>
                      <w:sz w:val="21"/>
                      <w:szCs w:val="21"/>
                      <w:vertAlign w:val="baseline"/>
                      <w:lang w:val="en-US" w:eastAsia="zh-CN"/>
                      <w14:textFill>
                        <w14:solidFill>
                          <w14:schemeClr w14:val="tx1"/>
                        </w14:solidFill>
                      </w14:textFill>
                    </w:rPr>
                    <w:t>中水储库</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布置在在建污水厂东侧，设计容积70万m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，储库平面上呈“口”型布置，储库单侧堤防长度454m，堤防总长度1.816km。</w:t>
                  </w:r>
                </w:p>
              </w:tc>
              <w:tc>
                <w:tcPr>
                  <w:tcW w:w="360" w:type="pct"/>
                  <w:tcBorders>
                    <w:tl2br w:val="nil"/>
                    <w:tr2bl w:val="nil"/>
                  </w:tcBorders>
                  <w:noWrap w:val="0"/>
                  <w:vAlign w:val="center"/>
                </w:tcPr>
                <w:p w14:paraId="7AFBB8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永久占地</w:t>
                  </w:r>
                </w:p>
              </w:tc>
              <w:tc>
                <w:tcPr>
                  <w:tcW w:w="564" w:type="pct"/>
                  <w:vMerge w:val="restart"/>
                  <w:tcBorders>
                    <w:tl2br w:val="nil"/>
                    <w:tr2bl w:val="nil"/>
                  </w:tcBorders>
                  <w:noWrap w:val="0"/>
                  <w:vAlign w:val="center"/>
                </w:tcPr>
                <w:p w14:paraId="493EED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723262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continue"/>
                  <w:tcBorders>
                    <w:tl2br w:val="nil"/>
                    <w:tr2bl w:val="nil"/>
                  </w:tcBorders>
                  <w:noWrap w:val="0"/>
                  <w:vAlign w:val="center"/>
                </w:tcPr>
                <w:p w14:paraId="18A688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37FA3C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提水泵站</w:t>
                  </w:r>
                </w:p>
              </w:tc>
              <w:tc>
                <w:tcPr>
                  <w:tcW w:w="2688" w:type="pct"/>
                  <w:tcBorders>
                    <w:tl2br w:val="nil"/>
                    <w:tr2bl w:val="nil"/>
                  </w:tcBorders>
                  <w:noWrap w:val="0"/>
                  <w:vAlign w:val="center"/>
                </w:tcPr>
                <w:p w14:paraId="15EF1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提水泵站位于储库北侧，泵站顺提水方向依次是前</w:t>
                  </w:r>
                  <w:r>
                    <w:rPr>
                      <w:rFonts w:hint="eastAsia" w:cs="Times New Roman"/>
                      <w:b w:val="0"/>
                      <w:bCs w:val="0"/>
                      <w:color w:val="000000" w:themeColor="text1"/>
                      <w:sz w:val="21"/>
                      <w:szCs w:val="21"/>
                      <w:vertAlign w:val="baseline"/>
                      <w:lang w:val="en-US" w:eastAsia="zh-CN"/>
                      <w14:textFill>
                        <w14:solidFill>
                          <w14:schemeClr w14:val="tx1"/>
                        </w14:solidFill>
                      </w14:textFill>
                    </w:rPr>
                    <w:t>库</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、泵房、出水管道等。泵房内布置3台机组，3四台机组并排布置，每台水泵控制一个灌溉片区，水泵采用离心泵，其中1区提水泵站设计流量720m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/h，型号为300KQW720-50-132/4，扬程50m。2区提水泵站设计流量690m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/h，水泵型号为300KQW670-70-200/4，扬程70m。3区提水泵站设计流量370m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/h，水泵型号为200KQL346-60-90/4，扬程60m。</w:t>
                  </w:r>
                </w:p>
              </w:tc>
              <w:tc>
                <w:tcPr>
                  <w:tcW w:w="360" w:type="pct"/>
                  <w:tcBorders>
                    <w:tl2br w:val="nil"/>
                    <w:tr2bl w:val="nil"/>
                  </w:tcBorders>
                  <w:noWrap w:val="0"/>
                  <w:vAlign w:val="center"/>
                </w:tcPr>
                <w:p w14:paraId="366DF7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永久占地</w:t>
                  </w:r>
                </w:p>
              </w:tc>
              <w:tc>
                <w:tcPr>
                  <w:tcW w:w="564" w:type="pct"/>
                  <w:vMerge w:val="continue"/>
                  <w:tcBorders>
                    <w:tl2br w:val="nil"/>
                    <w:tr2bl w:val="nil"/>
                  </w:tcBorders>
                  <w:noWrap w:val="0"/>
                  <w:vAlign w:val="center"/>
                </w:tcPr>
                <w:p w14:paraId="0AC3EA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71EB92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continue"/>
                  <w:tcBorders>
                    <w:tl2br w:val="nil"/>
                    <w:tr2bl w:val="nil"/>
                  </w:tcBorders>
                  <w:noWrap w:val="0"/>
                  <w:vAlign w:val="center"/>
                </w:tcPr>
                <w:p w14:paraId="609F7D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7D361D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库前引水管</w:t>
                  </w:r>
                </w:p>
              </w:tc>
              <w:tc>
                <w:tcPr>
                  <w:tcW w:w="2688" w:type="pct"/>
                  <w:tcBorders>
                    <w:tl2br w:val="nil"/>
                    <w:tr2bl w:val="nil"/>
                  </w:tcBorders>
                  <w:noWrap w:val="0"/>
                  <w:vAlign w:val="center"/>
                </w:tcPr>
                <w:p w14:paraId="49F87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库前引水管起点接污水处理厂的消毒池后的闸阀井，终点汇入</w:t>
                  </w:r>
                  <w:r>
                    <w:rPr>
                      <w:rFonts w:hint="eastAsia" w:cs="Times New Roman"/>
                      <w:b w:val="0"/>
                      <w:bCs w:val="0"/>
                      <w:color w:val="000000" w:themeColor="text1"/>
                      <w:sz w:val="21"/>
                      <w:szCs w:val="21"/>
                      <w:vertAlign w:val="baseline"/>
                      <w:lang w:val="en-US" w:eastAsia="zh-CN"/>
                      <w14:textFill>
                        <w14:solidFill>
                          <w14:schemeClr w14:val="tx1"/>
                        </w14:solidFill>
                      </w14:textFill>
                    </w:rPr>
                    <w:t>中水储库</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，输水方式为重力流输水，管道长度450m，管道输水流量800m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/h，采用 DN800 的钢管。</w:t>
                  </w:r>
                </w:p>
              </w:tc>
              <w:tc>
                <w:tcPr>
                  <w:tcW w:w="360" w:type="pct"/>
                  <w:tcBorders>
                    <w:tl2br w:val="nil"/>
                    <w:tr2bl w:val="nil"/>
                  </w:tcBorders>
                  <w:noWrap w:val="0"/>
                  <w:vAlign w:val="center"/>
                </w:tcPr>
                <w:p w14:paraId="61193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0BD16E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p>
              </w:tc>
            </w:tr>
            <w:tr w14:paraId="7B17A6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continue"/>
                  <w:tcBorders>
                    <w:tl2br w:val="nil"/>
                    <w:tr2bl w:val="nil"/>
                  </w:tcBorders>
                  <w:noWrap w:val="0"/>
                  <w:vAlign w:val="center"/>
                </w:tcPr>
                <w:p w14:paraId="387BC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619D4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输水管网</w:t>
                  </w:r>
                </w:p>
              </w:tc>
              <w:tc>
                <w:tcPr>
                  <w:tcW w:w="2688" w:type="pct"/>
                  <w:tcBorders>
                    <w:tl2br w:val="nil"/>
                    <w:tr2bl w:val="nil"/>
                  </w:tcBorders>
                  <w:noWrap w:val="0"/>
                  <w:vAlign w:val="center"/>
                </w:tcPr>
                <w:p w14:paraId="3E3D2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本次输水管网总长度21.514km，输送方式均为压力流态，管道分为三个区，每个片区为独立管道。</w:t>
                  </w:r>
                </w:p>
                <w:p w14:paraId="0BD2D3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 区主要控制范围为皮山农场场部绿化区域，灌溉面积2200亩。提水泵站设计流量720m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 xml:space="preserve">/h，型号为300KQW720-50-132/4，扬程50m，电机功率 114kw。管道总长度5.499km，采用管径DN450管道长度1951m，DN400管道长度3548m。 </w:t>
                  </w:r>
                </w:p>
                <w:p w14:paraId="07DD5A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 区主要控制范围为阿火公路和二连道路防护林区域，灌溉面积3100亩。提水泵站设计流量690m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/h，水泵型号为300KQW670-70-200/4，扬程70m，电机功率160kw。管道总长度8.779km，采用管径DN450 管道4015m，DN400管道4764m。</w:t>
                  </w:r>
                </w:p>
                <w:p w14:paraId="1F4EE9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 区主要控制范围为工业园区防护林区域，灌溉面积1700亩。提水泵站设计流量370m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/h，水泵型号为200KQL346-60-90/4，扬程60m，电机功率90kw。管道总长度7.236km，管径DN300。</w:t>
                  </w:r>
                </w:p>
              </w:tc>
              <w:tc>
                <w:tcPr>
                  <w:tcW w:w="360" w:type="pct"/>
                  <w:tcBorders>
                    <w:tl2br w:val="nil"/>
                    <w:tr2bl w:val="nil"/>
                  </w:tcBorders>
                  <w:noWrap w:val="0"/>
                  <w:vAlign w:val="center"/>
                </w:tcPr>
                <w:p w14:paraId="24AB0E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5BA67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p>
              </w:tc>
            </w:tr>
            <w:tr w14:paraId="3C636C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restart"/>
                  <w:tcBorders>
                    <w:tl2br w:val="nil"/>
                    <w:tr2bl w:val="nil"/>
                  </w:tcBorders>
                  <w:noWrap w:val="0"/>
                  <w:vAlign w:val="center"/>
                </w:tcPr>
                <w:p w14:paraId="2358AD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辅助工程</w:t>
                  </w:r>
                </w:p>
              </w:tc>
              <w:tc>
                <w:tcPr>
                  <w:tcW w:w="788" w:type="pct"/>
                  <w:tcBorders>
                    <w:tl2br w:val="nil"/>
                    <w:tr2bl w:val="nil"/>
                  </w:tcBorders>
                  <w:noWrap w:val="0"/>
                  <w:vAlign w:val="center"/>
                </w:tcPr>
                <w:p w14:paraId="6790F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施工营地</w:t>
                  </w:r>
                </w:p>
              </w:tc>
              <w:tc>
                <w:tcPr>
                  <w:tcW w:w="2688" w:type="pct"/>
                  <w:tcBorders>
                    <w:tl2br w:val="nil"/>
                    <w:tr2bl w:val="nil"/>
                  </w:tcBorders>
                  <w:noWrap w:val="0"/>
                  <w:vAlign w:val="center"/>
                </w:tcPr>
                <w:p w14:paraId="56F84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位于</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项目区</w:t>
                  </w:r>
                  <w:r>
                    <w:rPr>
                      <w:rFonts w:hint="eastAsia" w:cs="Times New Roman"/>
                      <w:b w:val="0"/>
                      <w:bCs w:val="0"/>
                      <w:color w:val="000000" w:themeColor="text1"/>
                      <w:sz w:val="21"/>
                      <w:szCs w:val="21"/>
                      <w:vertAlign w:val="baseline"/>
                      <w:lang w:val="en-US" w:eastAsia="zh-CN"/>
                      <w14:textFill>
                        <w14:solidFill>
                          <w14:schemeClr w14:val="tx1"/>
                        </w14:solidFill>
                      </w14:textFill>
                    </w:rPr>
                    <w:t>西</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侧</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00m处，</w:t>
                  </w:r>
                  <w:r>
                    <w:rPr>
                      <w:rFonts w:hint="eastAsia" w:cs="Times New Roman"/>
                      <w:b w:val="0"/>
                      <w:bCs w:val="0"/>
                      <w:color w:val="000000" w:themeColor="text1"/>
                      <w:sz w:val="21"/>
                      <w:szCs w:val="21"/>
                      <w:vertAlign w:val="baseline"/>
                      <w:lang w:val="en-US" w:eastAsia="zh-CN"/>
                      <w14:textFill>
                        <w14:solidFill>
                          <w14:schemeClr w14:val="tx1"/>
                        </w14:solidFill>
                      </w14:textFill>
                    </w:rPr>
                    <w:t>建筑</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面积</w:t>
                  </w:r>
                  <w:r>
                    <w:rPr>
                      <w:rFonts w:hint="eastAsia" w:cs="Times New Roman"/>
                      <w:b w:val="0"/>
                      <w:bCs w:val="0"/>
                      <w:color w:val="000000" w:themeColor="text1"/>
                      <w:sz w:val="21"/>
                      <w:szCs w:val="21"/>
                      <w:vertAlign w:val="baseline"/>
                      <w:lang w:val="en-US" w:eastAsia="zh-CN"/>
                      <w14:textFill>
                        <w14:solidFill>
                          <w14:schemeClr w14:val="tx1"/>
                        </w14:solidFill>
                      </w14:textFill>
                    </w:rPr>
                    <w:t>234</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，其中，混凝土拌合站建筑面积</w:t>
                  </w:r>
                  <w:r>
                    <w:rPr>
                      <w:rFonts w:hint="eastAsia" w:cs="Times New Roman"/>
                      <w:b w:val="0"/>
                      <w:bCs w:val="0"/>
                      <w:color w:val="000000" w:themeColor="text1"/>
                      <w:sz w:val="21"/>
                      <w:szCs w:val="21"/>
                      <w:vertAlign w:val="baseline"/>
                      <w:lang w:val="en-US" w:eastAsia="zh-CN"/>
                      <w14:textFill>
                        <w14:solidFill>
                          <w14:schemeClr w14:val="tx1"/>
                        </w14:solidFill>
                      </w14:textFill>
                    </w:rPr>
                    <w:t>66</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，金属结构及机电设备组装厂1</w:t>
                  </w:r>
                  <w:r>
                    <w:rPr>
                      <w:rFonts w:hint="eastAsia" w:cs="Times New Roman"/>
                      <w:b w:val="0"/>
                      <w:bCs w:val="0"/>
                      <w:color w:val="000000" w:themeColor="text1"/>
                      <w:sz w:val="21"/>
                      <w:szCs w:val="21"/>
                      <w:vertAlign w:val="baseline"/>
                      <w:lang w:val="en-US" w:eastAsia="zh-CN"/>
                      <w14:textFill>
                        <w14:solidFill>
                          <w14:schemeClr w14:val="tx1"/>
                        </w14:solidFill>
                      </w14:textFill>
                    </w:rPr>
                    <w:t>8</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，钢筋加工厂100m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，木材加工厂100m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，施工供水系统100m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，施工供电系统100m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，临时</w:t>
                  </w:r>
                  <w:r>
                    <w:rPr>
                      <w:rFonts w:hint="eastAsia" w:ascii="Times New Roman" w:hAnsi="Times New Roman" w:cs="Times New Roman"/>
                      <w:b w:val="0"/>
                      <w:bCs w:val="0"/>
                      <w:color w:val="000000" w:themeColor="text1"/>
                      <w:sz w:val="21"/>
                      <w:szCs w:val="21"/>
                      <w:vertAlign w:val="baseline"/>
                      <w:lang w:val="en-US" w:eastAsia="zh-CN"/>
                      <w14:textFill>
                        <w14:solidFill>
                          <w14:schemeClr w14:val="tx1"/>
                        </w14:solidFill>
                      </w14:textFill>
                    </w:rPr>
                    <w:t>办公</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区</w:t>
                  </w:r>
                  <w:r>
                    <w:rPr>
                      <w:rFonts w:hint="eastAsia" w:cs="Times New Roman"/>
                      <w:b w:val="0"/>
                      <w:bCs w:val="0"/>
                      <w:color w:val="000000" w:themeColor="text1"/>
                      <w:sz w:val="21"/>
                      <w:szCs w:val="21"/>
                      <w:vertAlign w:val="baseline"/>
                      <w:lang w:val="en-US" w:eastAsia="zh-CN"/>
                      <w14:textFill>
                        <w14:solidFill>
                          <w14:schemeClr w14:val="tx1"/>
                        </w14:solidFill>
                      </w14:textFill>
                    </w:rPr>
                    <w:t>80</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p>
              </w:tc>
              <w:tc>
                <w:tcPr>
                  <w:tcW w:w="360" w:type="pct"/>
                  <w:vMerge w:val="restart"/>
                  <w:tcBorders>
                    <w:tl2br w:val="nil"/>
                    <w:tr2bl w:val="nil"/>
                  </w:tcBorders>
                  <w:noWrap w:val="0"/>
                  <w:vAlign w:val="center"/>
                </w:tcPr>
                <w:p w14:paraId="32A2C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临时占地</w:t>
                  </w:r>
                </w:p>
              </w:tc>
              <w:tc>
                <w:tcPr>
                  <w:tcW w:w="564" w:type="pct"/>
                  <w:vMerge w:val="restart"/>
                  <w:tcBorders>
                    <w:tl2br w:val="nil"/>
                    <w:tr2bl w:val="nil"/>
                  </w:tcBorders>
                  <w:noWrap w:val="0"/>
                  <w:vAlign w:val="center"/>
                </w:tcPr>
                <w:p w14:paraId="3A60B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5689B3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6F56D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51C311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施工便道</w:t>
                  </w:r>
                </w:p>
              </w:tc>
              <w:tc>
                <w:tcPr>
                  <w:tcW w:w="2688" w:type="pct"/>
                  <w:tcBorders>
                    <w:tl2br w:val="nil"/>
                    <w:tr2bl w:val="nil"/>
                  </w:tcBorders>
                  <w:noWrap w:val="0"/>
                  <w:vAlign w:val="center"/>
                </w:tcPr>
                <w:p w14:paraId="4F233893">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场内设置500m的施工便道，连接</w:t>
                  </w:r>
                </w:p>
                <w:p w14:paraId="2A1CB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施工营地，为砂砾石路面</w:t>
                  </w:r>
                </w:p>
              </w:tc>
              <w:tc>
                <w:tcPr>
                  <w:tcW w:w="360" w:type="pct"/>
                  <w:vMerge w:val="continue"/>
                  <w:tcBorders>
                    <w:tl2br w:val="nil"/>
                    <w:tr2bl w:val="nil"/>
                  </w:tcBorders>
                  <w:noWrap w:val="0"/>
                  <w:vAlign w:val="center"/>
                </w:tcPr>
                <w:p w14:paraId="0FF1F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564" w:type="pct"/>
                  <w:vMerge w:val="continue"/>
                  <w:tcBorders>
                    <w:tl2br w:val="nil"/>
                    <w:tr2bl w:val="nil"/>
                  </w:tcBorders>
                  <w:noWrap w:val="0"/>
                  <w:vAlign w:val="center"/>
                </w:tcPr>
                <w:p w14:paraId="041950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005FB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033183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255A3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t>临时材料</w:t>
                  </w:r>
                </w:p>
                <w:p w14:paraId="7BCE9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t>堆放区</w:t>
                  </w:r>
                </w:p>
              </w:tc>
              <w:tc>
                <w:tcPr>
                  <w:tcW w:w="2688" w:type="pct"/>
                  <w:tcBorders>
                    <w:tl2br w:val="nil"/>
                    <w:tr2bl w:val="nil"/>
                  </w:tcBorders>
                  <w:noWrap w:val="0"/>
                  <w:vAlign w:val="center"/>
                </w:tcPr>
                <w:p w14:paraId="19EE4F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t>施工所需材料放置于项目区内</w:t>
                  </w:r>
                </w:p>
              </w:tc>
              <w:tc>
                <w:tcPr>
                  <w:tcW w:w="360" w:type="pct"/>
                  <w:vMerge w:val="continue"/>
                  <w:tcBorders>
                    <w:tl2br w:val="nil"/>
                    <w:tr2bl w:val="nil"/>
                  </w:tcBorders>
                  <w:noWrap w:val="0"/>
                  <w:vAlign w:val="center"/>
                </w:tcPr>
                <w:p w14:paraId="615924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564" w:type="pct"/>
                  <w:vMerge w:val="continue"/>
                  <w:tcBorders>
                    <w:tl2br w:val="nil"/>
                    <w:tr2bl w:val="nil"/>
                  </w:tcBorders>
                  <w:noWrap w:val="0"/>
                  <w:vAlign w:val="center"/>
                </w:tcPr>
                <w:p w14:paraId="1A277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18B7C2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628DA4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5975E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b w:val="0"/>
                      <w:bCs w:val="0"/>
                      <w:color w:val="000000" w:themeColor="text1"/>
                      <w:kern w:val="2"/>
                      <w:sz w:val="21"/>
                      <w:szCs w:val="21"/>
                      <w:vertAlign w:val="baseline"/>
                      <w:lang w:val="en-US" w:eastAsia="zh-CN" w:bidi="ar-SA"/>
                      <w14:textFill>
                        <w14:solidFill>
                          <w14:schemeClr w14:val="tx1"/>
                        </w14:solidFill>
                      </w14:textFill>
                    </w:rPr>
                    <w:t>弃土场</w:t>
                  </w:r>
                </w:p>
              </w:tc>
              <w:tc>
                <w:tcPr>
                  <w:tcW w:w="2688" w:type="pct"/>
                  <w:tcBorders>
                    <w:tl2br w:val="nil"/>
                    <w:tr2bl w:val="nil"/>
                  </w:tcBorders>
                  <w:noWrap w:val="0"/>
                  <w:vAlign w:val="center"/>
                </w:tcPr>
                <w:p w14:paraId="29F9E8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位于</w:t>
                  </w:r>
                  <w:r>
                    <w:rPr>
                      <w:rFonts w:hint="eastAsia" w:cs="Times New Roman"/>
                      <w:b w:val="0"/>
                      <w:bCs w:val="0"/>
                      <w:color w:val="000000" w:themeColor="text1"/>
                      <w:sz w:val="21"/>
                      <w:szCs w:val="21"/>
                      <w:vertAlign w:val="baseline"/>
                      <w:lang w:val="en-US" w:eastAsia="zh-CN"/>
                      <w14:textFill>
                        <w14:solidFill>
                          <w14:schemeClr w14:val="tx1"/>
                        </w14:solidFill>
                      </w14:textFill>
                    </w:rPr>
                    <w:t>中水储库西北</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侧</w:t>
                  </w:r>
                  <w:r>
                    <w:rPr>
                      <w:rFonts w:hint="eastAsia" w:cs="Times New Roman"/>
                      <w:b w:val="0"/>
                      <w:bCs w:val="0"/>
                      <w:color w:val="000000" w:themeColor="text1"/>
                      <w:sz w:val="21"/>
                      <w:szCs w:val="21"/>
                      <w:vertAlign w:val="baseline"/>
                      <w:lang w:val="en-US" w:eastAsia="zh-CN"/>
                      <w14:textFill>
                        <w14:solidFill>
                          <w14:schemeClr w14:val="tx1"/>
                        </w14:solidFill>
                      </w14:textFill>
                    </w:rPr>
                    <w:t>0</w:t>
                  </w:r>
                  <w:r>
                    <w:rPr>
                      <w:rFonts w:hint="eastAsia" w:ascii="Times New Roman" w:hAnsi="Times New Roman" w:cs="Times New Roman"/>
                      <w:b w:val="0"/>
                      <w:bCs w:val="0"/>
                      <w:color w:val="000000" w:themeColor="text1"/>
                      <w:sz w:val="21"/>
                      <w:szCs w:val="21"/>
                      <w:vertAlign w:val="baseline"/>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km处，</w:t>
                  </w:r>
                </w:p>
                <w:p w14:paraId="6222F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占地面积</w:t>
                  </w:r>
                  <w:r>
                    <w:rPr>
                      <w:rFonts w:hint="eastAsia" w:cs="Times New Roman"/>
                      <w:b w:val="0"/>
                      <w:bCs w:val="0"/>
                      <w:color w:val="000000" w:themeColor="text1"/>
                      <w:sz w:val="21"/>
                      <w:szCs w:val="21"/>
                      <w:vertAlign w:val="baseline"/>
                      <w:lang w:val="en-US" w:eastAsia="zh-CN"/>
                      <w14:textFill>
                        <w14:solidFill>
                          <w14:schemeClr w14:val="tx1"/>
                        </w14:solidFill>
                      </w14:textFill>
                    </w:rPr>
                    <w:t>107亩（71334</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r>
                    <w:rPr>
                      <w:rFonts w:hint="eastAsia" w:cs="Times New Roman"/>
                      <w:b w:val="0"/>
                      <w:bCs w:val="0"/>
                      <w:color w:val="000000" w:themeColor="text1"/>
                      <w:sz w:val="21"/>
                      <w:szCs w:val="21"/>
                      <w:vertAlign w:val="baseline"/>
                      <w:lang w:val="en-US" w:eastAsia="zh-CN"/>
                      <w14:textFill>
                        <w14:solidFill>
                          <w14:schemeClr w14:val="tx1"/>
                        </w14:solidFill>
                      </w14:textFill>
                    </w:rPr>
                    <w:t>）</w:t>
                  </w:r>
                </w:p>
              </w:tc>
              <w:tc>
                <w:tcPr>
                  <w:tcW w:w="360" w:type="pct"/>
                  <w:vMerge w:val="continue"/>
                  <w:tcBorders>
                    <w:tl2br w:val="nil"/>
                    <w:tr2bl w:val="nil"/>
                  </w:tcBorders>
                  <w:noWrap w:val="0"/>
                  <w:vAlign w:val="center"/>
                </w:tcPr>
                <w:p w14:paraId="39785A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564" w:type="pct"/>
                  <w:vMerge w:val="continue"/>
                  <w:tcBorders>
                    <w:tl2br w:val="nil"/>
                    <w:tr2bl w:val="nil"/>
                  </w:tcBorders>
                  <w:noWrap w:val="0"/>
                  <w:vAlign w:val="center"/>
                </w:tcPr>
                <w:p w14:paraId="7094E7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6D0EEE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restart"/>
                  <w:tcBorders>
                    <w:tl2br w:val="nil"/>
                    <w:tr2bl w:val="nil"/>
                  </w:tcBorders>
                  <w:noWrap w:val="0"/>
                  <w:vAlign w:val="center"/>
                </w:tcPr>
                <w:p w14:paraId="107983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公用工程</w:t>
                  </w:r>
                </w:p>
              </w:tc>
              <w:tc>
                <w:tcPr>
                  <w:tcW w:w="788" w:type="pct"/>
                  <w:tcBorders>
                    <w:tl2br w:val="nil"/>
                    <w:tr2bl w:val="nil"/>
                  </w:tcBorders>
                  <w:noWrap w:val="0"/>
                  <w:vAlign w:val="center"/>
                </w:tcPr>
                <w:p w14:paraId="48984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供电设施</w:t>
                  </w:r>
                </w:p>
              </w:tc>
              <w:tc>
                <w:tcPr>
                  <w:tcW w:w="2688" w:type="pct"/>
                  <w:tcBorders>
                    <w:tl2br w:val="nil"/>
                    <w:tr2bl w:val="nil"/>
                  </w:tcBorders>
                  <w:noWrap w:val="0"/>
                  <w:vAlign w:val="center"/>
                </w:tcPr>
                <w:p w14:paraId="658FC7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当地供电电网</w:t>
                  </w:r>
                </w:p>
              </w:tc>
              <w:tc>
                <w:tcPr>
                  <w:tcW w:w="360" w:type="pct"/>
                  <w:tcBorders>
                    <w:tl2br w:val="nil"/>
                    <w:tr2bl w:val="nil"/>
                  </w:tcBorders>
                  <w:noWrap w:val="0"/>
                  <w:vAlign w:val="center"/>
                </w:tcPr>
                <w:p w14:paraId="332C60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restart"/>
                  <w:tcBorders>
                    <w:tl2br w:val="nil"/>
                    <w:tr2bl w:val="nil"/>
                  </w:tcBorders>
                  <w:noWrap w:val="0"/>
                  <w:vAlign w:val="center"/>
                </w:tcPr>
                <w:p w14:paraId="5239B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778463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53DAF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6EB5D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供水设施</w:t>
                  </w:r>
                </w:p>
              </w:tc>
              <w:tc>
                <w:tcPr>
                  <w:tcW w:w="2688" w:type="pct"/>
                  <w:tcBorders>
                    <w:tl2br w:val="nil"/>
                    <w:tr2bl w:val="nil"/>
                  </w:tcBorders>
                  <w:noWrap w:val="0"/>
                  <w:vAlign w:val="center"/>
                </w:tcPr>
                <w:p w14:paraId="685AD7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施工用水接入当地供水管网</w:t>
                  </w:r>
                </w:p>
              </w:tc>
              <w:tc>
                <w:tcPr>
                  <w:tcW w:w="360" w:type="pct"/>
                  <w:tcBorders>
                    <w:tl2br w:val="nil"/>
                    <w:tr2bl w:val="nil"/>
                  </w:tcBorders>
                  <w:noWrap w:val="0"/>
                  <w:vAlign w:val="center"/>
                </w:tcPr>
                <w:p w14:paraId="7BBF18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2DA5E4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157E20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73ACCD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D1F75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排水设施</w:t>
                  </w:r>
                </w:p>
              </w:tc>
              <w:tc>
                <w:tcPr>
                  <w:tcW w:w="2688" w:type="pct"/>
                  <w:tcBorders>
                    <w:tl2br w:val="nil"/>
                    <w:tr2bl w:val="nil"/>
                  </w:tcBorders>
                  <w:noWrap w:val="0"/>
                  <w:vAlign w:val="center"/>
                </w:tcPr>
                <w:p w14:paraId="64E36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施工废水经沉淀池沉淀处理后回用于施工场地，施工期租赁房屋居住，生活废水依托所租住房屋排水设施</w:t>
                  </w:r>
                </w:p>
              </w:tc>
              <w:tc>
                <w:tcPr>
                  <w:tcW w:w="360" w:type="pct"/>
                  <w:tcBorders>
                    <w:tl2br w:val="nil"/>
                    <w:tr2bl w:val="nil"/>
                  </w:tcBorders>
                  <w:noWrap w:val="0"/>
                  <w:vAlign w:val="center"/>
                </w:tcPr>
                <w:p w14:paraId="76075A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330908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5127A8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restart"/>
                  <w:tcBorders>
                    <w:tl2br w:val="nil"/>
                    <w:tr2bl w:val="nil"/>
                  </w:tcBorders>
                  <w:noWrap w:val="0"/>
                  <w:vAlign w:val="center"/>
                </w:tcPr>
                <w:p w14:paraId="04EE1E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环保工程</w:t>
                  </w:r>
                </w:p>
              </w:tc>
              <w:tc>
                <w:tcPr>
                  <w:tcW w:w="788" w:type="pct"/>
                  <w:tcBorders>
                    <w:tl2br w:val="nil"/>
                    <w:tr2bl w:val="nil"/>
                  </w:tcBorders>
                  <w:noWrap w:val="0"/>
                  <w:vAlign w:val="center"/>
                </w:tcPr>
                <w:p w14:paraId="71644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生态保护</w:t>
                  </w:r>
                </w:p>
              </w:tc>
              <w:tc>
                <w:tcPr>
                  <w:tcW w:w="2688" w:type="pct"/>
                  <w:tcBorders>
                    <w:tl2br w:val="nil"/>
                    <w:tr2bl w:val="nil"/>
                  </w:tcBorders>
                  <w:noWrap w:val="0"/>
                  <w:vAlign w:val="center"/>
                </w:tcPr>
                <w:p w14:paraId="1C25F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施工结束后清理施工迹地，</w:t>
                  </w:r>
                </w:p>
                <w:p w14:paraId="2AB65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施工场地回填、平整，设置环保宣传牌</w:t>
                  </w:r>
                </w:p>
              </w:tc>
              <w:tc>
                <w:tcPr>
                  <w:tcW w:w="360" w:type="pct"/>
                  <w:tcBorders>
                    <w:tl2br w:val="nil"/>
                    <w:tr2bl w:val="nil"/>
                  </w:tcBorders>
                  <w:noWrap w:val="0"/>
                  <w:vAlign w:val="center"/>
                </w:tcPr>
                <w:p w14:paraId="42F9B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0BF96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396985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538145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F6A26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大气</w:t>
                  </w:r>
                </w:p>
                <w:p w14:paraId="31B31F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环境保护</w:t>
                  </w:r>
                </w:p>
              </w:tc>
              <w:tc>
                <w:tcPr>
                  <w:tcW w:w="2688" w:type="pct"/>
                  <w:tcBorders>
                    <w:tl2br w:val="nil"/>
                    <w:tr2bl w:val="nil"/>
                  </w:tcBorders>
                  <w:noWrap w:val="0"/>
                  <w:vAlign w:val="center"/>
                </w:tcPr>
                <w:p w14:paraId="1E4D79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合理设计材料运输路线，运输道路、施工现场定时洒水；运送散装含尘物料的车辆，要用蓬布苫盖，以防物料飞扬；施工作业时应严格遵守《大气污染防治条例》</w:t>
                  </w:r>
                </w:p>
              </w:tc>
              <w:tc>
                <w:tcPr>
                  <w:tcW w:w="360" w:type="pct"/>
                  <w:tcBorders>
                    <w:tl2br w:val="nil"/>
                    <w:tr2bl w:val="nil"/>
                  </w:tcBorders>
                  <w:noWrap w:val="0"/>
                  <w:vAlign w:val="center"/>
                </w:tcPr>
                <w:p w14:paraId="03C02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11B8DC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3784E5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73310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042A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水环境保护</w:t>
                  </w:r>
                </w:p>
              </w:tc>
              <w:tc>
                <w:tcPr>
                  <w:tcW w:w="2688" w:type="pct"/>
                  <w:tcBorders>
                    <w:tl2br w:val="nil"/>
                    <w:tr2bl w:val="nil"/>
                  </w:tcBorders>
                  <w:noWrap w:val="0"/>
                  <w:vAlign w:val="center"/>
                </w:tcPr>
                <w:p w14:paraId="0570CB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施工场地设置沉淀池处理施工废水；施工期租赁房屋居住，生活废水依托所租住房屋排水设施</w:t>
                  </w:r>
                </w:p>
              </w:tc>
              <w:tc>
                <w:tcPr>
                  <w:tcW w:w="360" w:type="pct"/>
                  <w:tcBorders>
                    <w:tl2br w:val="nil"/>
                    <w:tr2bl w:val="nil"/>
                  </w:tcBorders>
                  <w:noWrap w:val="0"/>
                  <w:vAlign w:val="center"/>
                </w:tcPr>
                <w:p w14:paraId="523108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10F3D7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5047AB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0C2D3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6E19A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声环境保护</w:t>
                  </w:r>
                </w:p>
              </w:tc>
              <w:tc>
                <w:tcPr>
                  <w:tcW w:w="2688" w:type="pct"/>
                  <w:tcBorders>
                    <w:tl2br w:val="nil"/>
                    <w:tr2bl w:val="nil"/>
                  </w:tcBorders>
                  <w:noWrap w:val="0"/>
                  <w:vAlign w:val="center"/>
                </w:tcPr>
                <w:p w14:paraId="1B7BD6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设置隔声、减震设施，合理安排工期</w:t>
                  </w:r>
                </w:p>
              </w:tc>
              <w:tc>
                <w:tcPr>
                  <w:tcW w:w="360" w:type="pct"/>
                  <w:tcBorders>
                    <w:tl2br w:val="nil"/>
                    <w:tr2bl w:val="nil"/>
                  </w:tcBorders>
                  <w:noWrap w:val="0"/>
                  <w:vAlign w:val="center"/>
                </w:tcPr>
                <w:p w14:paraId="2CE6E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2E447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5CF789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5846F1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554A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固废处置</w:t>
                  </w:r>
                </w:p>
              </w:tc>
              <w:tc>
                <w:tcPr>
                  <w:tcW w:w="2688" w:type="pct"/>
                  <w:tcBorders>
                    <w:tl2br w:val="nil"/>
                    <w:tr2bl w:val="nil"/>
                  </w:tcBorders>
                  <w:noWrap w:val="0"/>
                  <w:vAlign w:val="center"/>
                </w:tcPr>
                <w:p w14:paraId="05187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设置垃圾收集点</w:t>
                  </w:r>
                </w:p>
              </w:tc>
              <w:tc>
                <w:tcPr>
                  <w:tcW w:w="360" w:type="pct"/>
                  <w:tcBorders>
                    <w:tl2br w:val="nil"/>
                    <w:tr2bl w:val="nil"/>
                  </w:tcBorders>
                  <w:noWrap w:val="0"/>
                  <w:vAlign w:val="center"/>
                </w:tcPr>
                <w:p w14:paraId="1AD33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2C343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bl>
          <w:p w14:paraId="19199C8D">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.2</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工作制度及劳动定员</w:t>
            </w:r>
          </w:p>
          <w:p w14:paraId="4B695C9F">
            <w:pPr>
              <w:kinsoku/>
              <w:autoSpaceDE/>
              <w:autoSpaceDN/>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本工程施工期劳动定员人数为</w:t>
            </w:r>
            <w:r>
              <w:rPr>
                <w:rFonts w:hint="eastAsia" w:ascii="Times New Roman" w:hAnsi="Times New Roman" w:eastAsia="宋体" w:cs="Times New Roman"/>
                <w:snapToGrid/>
                <w:color w:val="auto"/>
                <w:kern w:val="2"/>
                <w:sz w:val="24"/>
                <w:szCs w:val="24"/>
                <w:lang w:val="en-US" w:eastAsia="zh-CN" w:bidi="ar"/>
              </w:rPr>
              <w:t>18</w:t>
            </w:r>
            <w:r>
              <w:rPr>
                <w:rFonts w:hint="default" w:ascii="Times New Roman" w:hAnsi="Times New Roman" w:eastAsia="宋体" w:cs="Times New Roman"/>
                <w:snapToGrid/>
                <w:color w:val="auto"/>
                <w:kern w:val="2"/>
                <w:sz w:val="24"/>
                <w:szCs w:val="24"/>
                <w:lang w:val="en-US" w:eastAsia="zh-CN" w:bidi="ar"/>
              </w:rPr>
              <w:t>0人，营运期采用无人值守，工程总施工期为</w:t>
            </w:r>
            <w:r>
              <w:rPr>
                <w:rFonts w:hint="eastAsia" w:ascii="Times New Roman" w:hAnsi="Times New Roman" w:eastAsia="宋体" w:cs="Times New Roman"/>
                <w:snapToGrid/>
                <w:color w:val="auto"/>
                <w:kern w:val="2"/>
                <w:sz w:val="24"/>
                <w:szCs w:val="24"/>
                <w:lang w:val="en-US" w:eastAsia="zh-CN" w:bidi="ar"/>
              </w:rPr>
              <w:t>6</w:t>
            </w:r>
            <w:r>
              <w:rPr>
                <w:rFonts w:hint="default" w:ascii="Times New Roman" w:hAnsi="Times New Roman" w:eastAsia="宋体" w:cs="Times New Roman"/>
                <w:snapToGrid/>
                <w:color w:val="auto"/>
                <w:kern w:val="2"/>
                <w:sz w:val="24"/>
                <w:szCs w:val="24"/>
                <w:lang w:val="en-US" w:eastAsia="zh-CN" w:bidi="ar"/>
              </w:rPr>
              <w:t>个月。</w:t>
            </w:r>
          </w:p>
          <w:p w14:paraId="187EAFC4">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.3</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公用工程</w:t>
            </w:r>
          </w:p>
          <w:p w14:paraId="5216A45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（1）供电</w:t>
            </w:r>
          </w:p>
          <w:p w14:paraId="4DEFCB1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本工程施工用电量较小，初拟施工用电采用网电为主，施工时直接由就近输电线路接取。</w:t>
            </w:r>
          </w:p>
          <w:p w14:paraId="0F09E5D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（2）供水</w:t>
            </w:r>
          </w:p>
          <w:p w14:paraId="00B02FF5">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施工用水和生活用水均从附近居民点拉运，现场劳动定员180人</w:t>
            </w:r>
            <w:r>
              <w:rPr>
                <w:rFonts w:hint="default" w:ascii="Times New Roman" w:hAnsi="Times New Roman" w:cs="Times New Roman"/>
                <w:b w:val="0"/>
                <w:bCs w:val="0"/>
                <w:color w:val="auto"/>
                <w:sz w:val="24"/>
              </w:rPr>
              <w:t>，最高峰施工人数</w:t>
            </w:r>
            <w:r>
              <w:rPr>
                <w:rFonts w:hint="default" w:ascii="Times New Roman" w:hAnsi="Times New Roman" w:cs="Times New Roman"/>
                <w:b w:val="0"/>
                <w:bCs w:val="0"/>
                <w:color w:val="auto"/>
                <w:sz w:val="24"/>
                <w:lang w:val="en-US" w:eastAsia="zh-CN"/>
              </w:rPr>
              <w:t>20</w:t>
            </w:r>
            <w:r>
              <w:rPr>
                <w:rFonts w:hint="default" w:ascii="Times New Roman" w:hAnsi="Times New Roman" w:cs="Times New Roman"/>
                <w:b w:val="0"/>
                <w:bCs w:val="0"/>
                <w:color w:val="auto"/>
                <w:sz w:val="24"/>
              </w:rPr>
              <w:t>0人</w:t>
            </w:r>
            <w:r>
              <w:rPr>
                <w:rFonts w:hint="eastAsia" w:ascii="Times New Roman" w:hAnsi="Times New Roman" w:eastAsia="宋体" w:cs="Times New Roman"/>
                <w:b w:val="0"/>
                <w:bCs w:val="0"/>
                <w:color w:val="auto"/>
                <w:sz w:val="24"/>
                <w:lang w:eastAsia="zh-CN"/>
              </w:rPr>
              <w:t>。</w:t>
            </w:r>
            <w:r>
              <w:rPr>
                <w:rFonts w:hint="default" w:ascii="Times New Roman" w:hAnsi="Times New Roman" w:eastAsia="宋体" w:cs="Times New Roman"/>
                <w:snapToGrid w:val="0"/>
                <w:color w:val="000000"/>
                <w:kern w:val="0"/>
                <w:sz w:val="24"/>
                <w:szCs w:val="24"/>
                <w:lang w:val="en-US" w:eastAsia="zh-CN" w:bidi="ar"/>
              </w:rPr>
              <w:t>本项目</w:t>
            </w:r>
            <w:r>
              <w:rPr>
                <w:rFonts w:hint="eastAsia" w:ascii="Times New Roman" w:hAnsi="Times New Roman" w:eastAsia="宋体" w:cs="Times New Roman"/>
                <w:snapToGrid w:val="0"/>
                <w:color w:val="000000"/>
                <w:kern w:val="0"/>
                <w:sz w:val="24"/>
                <w:szCs w:val="24"/>
                <w:lang w:val="en-US" w:eastAsia="zh-CN" w:bidi="ar"/>
              </w:rPr>
              <w:t>自2022年3月办理各项开工手续，于2024年1月20日正式开工建设，2024年7月20日建设完成，实际有效</w:t>
            </w:r>
            <w:r>
              <w:rPr>
                <w:rFonts w:hint="default" w:ascii="Times New Roman" w:hAnsi="Times New Roman" w:eastAsia="宋体" w:cs="Times New Roman"/>
                <w:snapToGrid w:val="0"/>
                <w:color w:val="000000"/>
                <w:kern w:val="0"/>
                <w:sz w:val="24"/>
                <w:szCs w:val="24"/>
                <w:lang w:val="en-US" w:eastAsia="zh-CN" w:bidi="ar"/>
              </w:rPr>
              <w:t>工期6个月，每人每天用水量按</w:t>
            </w:r>
            <w:r>
              <w:rPr>
                <w:rFonts w:hint="eastAsia" w:ascii="Times New Roman" w:hAnsi="Times New Roman" w:eastAsia="宋体" w:cs="Times New Roman"/>
                <w:snapToGrid w:val="0"/>
                <w:color w:val="000000"/>
                <w:kern w:val="0"/>
                <w:sz w:val="24"/>
                <w:szCs w:val="24"/>
                <w:lang w:val="en-US" w:eastAsia="zh-CN" w:bidi="ar"/>
              </w:rPr>
              <w:t>6</w:t>
            </w:r>
            <w:r>
              <w:rPr>
                <w:rFonts w:hint="default" w:ascii="Times New Roman" w:hAnsi="Times New Roman" w:eastAsia="宋体" w:cs="Times New Roman"/>
                <w:snapToGrid w:val="0"/>
                <w:color w:val="000000"/>
                <w:kern w:val="0"/>
                <w:sz w:val="24"/>
                <w:szCs w:val="24"/>
                <w:lang w:val="en-US" w:eastAsia="zh-CN" w:bidi="ar"/>
              </w:rPr>
              <w:t>0L计，生活用水量为</w:t>
            </w:r>
            <w:r>
              <w:rPr>
                <w:rFonts w:hint="eastAsia" w:ascii="Times New Roman" w:hAnsi="Times New Roman" w:eastAsia="宋体" w:cs="Times New Roman"/>
                <w:snapToGrid w:val="0"/>
                <w:color w:val="000000"/>
                <w:kern w:val="0"/>
                <w:sz w:val="24"/>
                <w:szCs w:val="24"/>
                <w:lang w:val="en-US" w:eastAsia="zh-CN" w:bidi="ar"/>
              </w:rPr>
              <w:t>12</w:t>
            </w:r>
            <w:r>
              <w:rPr>
                <w:rFonts w:hint="default" w:ascii="Times New Roman" w:hAnsi="Times New Roman" w:eastAsia="宋体" w:cs="Times New Roman"/>
                <w:snapToGrid w:val="0"/>
                <w:color w:val="000000"/>
                <w:kern w:val="0"/>
                <w:sz w:val="24"/>
                <w:szCs w:val="24"/>
                <w:lang w:val="en-US" w:eastAsia="zh-CN" w:bidi="ar"/>
              </w:rPr>
              <w:t>m³/d，施工期生活用水为</w:t>
            </w:r>
            <w:r>
              <w:rPr>
                <w:rFonts w:hint="eastAsia" w:ascii="Times New Roman" w:hAnsi="Times New Roman" w:eastAsia="宋体" w:cs="Times New Roman"/>
                <w:snapToGrid w:val="0"/>
                <w:color w:val="000000"/>
                <w:kern w:val="0"/>
                <w:sz w:val="24"/>
                <w:szCs w:val="24"/>
                <w:lang w:val="en-US" w:eastAsia="zh-CN" w:bidi="ar"/>
              </w:rPr>
              <w:t>2160</w:t>
            </w:r>
            <w:r>
              <w:rPr>
                <w:rFonts w:hint="default" w:ascii="Times New Roman" w:hAnsi="Times New Roman" w:eastAsia="宋体" w:cs="Times New Roman"/>
                <w:snapToGrid w:val="0"/>
                <w:color w:val="000000"/>
                <w:kern w:val="0"/>
                <w:sz w:val="24"/>
                <w:szCs w:val="24"/>
                <w:lang w:val="en-US" w:eastAsia="zh-CN" w:bidi="ar"/>
              </w:rPr>
              <w:t>m³。</w:t>
            </w:r>
          </w:p>
          <w:p w14:paraId="52EC089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sz w:val="24"/>
                <w:szCs w:val="24"/>
              </w:rPr>
            </w:pPr>
            <w:r>
              <w:rPr>
                <w:rFonts w:hint="default" w:ascii="Times New Roman" w:hAnsi="Times New Roman" w:eastAsia="宋体" w:cs="Times New Roman"/>
                <w:b w:val="0"/>
                <w:bCs w:val="0"/>
                <w:snapToGrid w:val="0"/>
                <w:color w:val="000000"/>
                <w:kern w:val="0"/>
                <w:sz w:val="24"/>
                <w:szCs w:val="24"/>
                <w:lang w:val="en-US" w:eastAsia="zh-CN" w:bidi="ar"/>
              </w:rPr>
              <w:t>（3）排水</w:t>
            </w:r>
          </w:p>
          <w:p w14:paraId="431C1569">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（1）施工废水</w:t>
            </w:r>
          </w:p>
          <w:p w14:paraId="3DB2C293">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14:textFill>
                  <w14:solidFill>
                    <w14:schemeClr w14:val="tx1"/>
                  </w14:solidFill>
                </w14:textFill>
              </w:rPr>
            </w:pPr>
            <w:r>
              <w:rPr>
                <w:rFonts w:hint="default" w:ascii="Times New Roman" w:hAnsi="Times New Roman" w:eastAsia="宋体" w:cs="Times New Roman"/>
                <w:b w:val="0"/>
                <w:bCs w:val="0"/>
                <w:color w:val="000000" w:themeColor="text1"/>
                <w:sz w:val="24"/>
                <w:lang w:eastAsia="zh-CN"/>
                <w14:textFill>
                  <w14:solidFill>
                    <w14:schemeClr w14:val="tx1"/>
                  </w14:solidFill>
                </w14:textFill>
              </w:rPr>
              <w:t>本项目施工废水主要是混凝土拌合废水，</w:t>
            </w:r>
            <w:r>
              <w:rPr>
                <w:rFonts w:hint="default" w:ascii="Times New Roman" w:hAnsi="Times New Roman" w:eastAsia="宋体" w:cs="Times New Roman"/>
                <w:b w:val="0"/>
                <w:bCs w:val="0"/>
                <w:color w:val="000000" w:themeColor="text1"/>
                <w:sz w:val="24"/>
                <w14:textFill>
                  <w14:solidFill>
                    <w14:schemeClr w14:val="tx1"/>
                  </w14:solidFill>
                </w14:textFill>
              </w:rPr>
              <w:t>根据混凝土拌和系统冲洗废水产生量少，间断且短时间排放的特点，每台班末的混凝土拌和系统冲洗废水，排放进入沉淀池，静置沉淀到下一台班末，沉淀时间在6h以上，处理后的废水自流入</w:t>
            </w:r>
            <w:r>
              <w:rPr>
                <w:rFonts w:hint="default" w:ascii="Times New Roman" w:hAnsi="Times New Roman" w:cs="Times New Roman"/>
                <w:b w:val="0"/>
                <w:bCs w:val="0"/>
                <w:color w:val="000000" w:themeColor="text1"/>
                <w:sz w:val="24"/>
                <w:lang w:eastAsia="zh-CN"/>
                <w14:textFill>
                  <w14:solidFill>
                    <w14:schemeClr w14:val="tx1"/>
                  </w14:solidFill>
                </w14:textFill>
              </w:rPr>
              <w:t>储库</w:t>
            </w:r>
            <w:r>
              <w:rPr>
                <w:rFonts w:hint="default" w:ascii="Times New Roman" w:hAnsi="Times New Roman" w:eastAsia="宋体" w:cs="Times New Roman"/>
                <w:b w:val="0"/>
                <w:bCs w:val="0"/>
                <w:color w:val="000000" w:themeColor="text1"/>
                <w:sz w:val="24"/>
                <w14:textFill>
                  <w14:solidFill>
                    <w14:schemeClr w14:val="tx1"/>
                  </w14:solidFill>
                </w14:textFill>
              </w:rPr>
              <w:t>，循环利用于混凝土拌和，不外排。</w:t>
            </w:r>
          </w:p>
          <w:p w14:paraId="6BFF352B">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（2）管道试压废水</w:t>
            </w:r>
          </w:p>
          <w:p w14:paraId="09CFFEB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14:textFill>
                  <w14:solidFill>
                    <w14:schemeClr w14:val="tx1"/>
                  </w14:solidFill>
                </w14:textFill>
              </w:rPr>
            </w:pPr>
            <w:r>
              <w:rPr>
                <w:rFonts w:hint="default" w:ascii="Times New Roman" w:hAnsi="Times New Roman" w:eastAsia="宋体" w:cs="Times New Roman"/>
                <w:b w:val="0"/>
                <w:bCs w:val="0"/>
                <w:color w:val="000000" w:themeColor="text1"/>
                <w:sz w:val="24"/>
                <w14:textFill>
                  <w14:solidFill>
                    <w14:schemeClr w14:val="tx1"/>
                  </w14:solidFill>
                </w14:textFill>
              </w:rPr>
              <w:t>管道敷设施工完成后需要进行水压试漏，试漏完成后会产生灌水试验废水，灌水试验废水含少量泥沙，基本无有毒有害物质，根据管网总长度计算灌水试验废水量约为2500m</w:t>
            </w:r>
            <w:r>
              <w:rPr>
                <w:rFonts w:hint="default" w:ascii="Times New Roman" w:hAnsi="Times New Roman" w:eastAsia="宋体" w:cs="Times New Roman"/>
                <w:b w:val="0"/>
                <w:bCs w:val="0"/>
                <w:color w:val="000000" w:themeColor="text1"/>
                <w:sz w:val="24"/>
                <w:vertAlign w:val="superscript"/>
                <w14:textFill>
                  <w14:solidFill>
                    <w14:schemeClr w14:val="tx1"/>
                  </w14:solidFill>
                </w14:textFill>
              </w:rPr>
              <w:t>3</w:t>
            </w:r>
            <w:r>
              <w:rPr>
                <w:rFonts w:hint="default" w:ascii="Times New Roman" w:hAnsi="Times New Roman" w:eastAsia="宋体" w:cs="Times New Roman"/>
                <w:b w:val="0"/>
                <w:bCs w:val="0"/>
                <w:color w:val="000000" w:themeColor="text1"/>
                <w:sz w:val="24"/>
                <w14:textFill>
                  <w14:solidFill>
                    <w14:schemeClr w14:val="tx1"/>
                  </w14:solidFill>
                </w14:textFill>
              </w:rPr>
              <w:t>，可就近排入绿地区，对环境影响不大。</w:t>
            </w:r>
          </w:p>
          <w:p w14:paraId="65A4CC3B">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（3）生活污水</w:t>
            </w:r>
          </w:p>
          <w:p w14:paraId="3837D38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sz w:val="24"/>
                <w:szCs w:val="24"/>
              </w:rPr>
            </w:pPr>
            <w:r>
              <w:rPr>
                <w:rFonts w:hint="default" w:ascii="Times New Roman" w:hAnsi="Times New Roman" w:cs="Times New Roman"/>
                <w:b w:val="0"/>
                <w:bCs w:val="0"/>
                <w:color w:val="auto"/>
                <w:sz w:val="24"/>
              </w:rPr>
              <w:t>本工程施工期1</w:t>
            </w:r>
            <w:r>
              <w:rPr>
                <w:rFonts w:hint="default" w:ascii="Times New Roman" w:hAnsi="Times New Roman" w:cs="Times New Roman"/>
                <w:b w:val="0"/>
                <w:bCs w:val="0"/>
                <w:color w:val="auto"/>
                <w:sz w:val="24"/>
                <w:lang w:val="en-US" w:eastAsia="zh-CN"/>
              </w:rPr>
              <w:t>80</w:t>
            </w:r>
            <w:r>
              <w:rPr>
                <w:rFonts w:hint="default" w:ascii="Times New Roman" w:hAnsi="Times New Roman" w:cs="Times New Roman"/>
                <w:b w:val="0"/>
                <w:bCs w:val="0"/>
                <w:color w:val="auto"/>
                <w:sz w:val="24"/>
              </w:rPr>
              <w:t>天，最高峰施工人数</w:t>
            </w:r>
            <w:r>
              <w:rPr>
                <w:rFonts w:hint="default" w:ascii="Times New Roman" w:hAnsi="Times New Roman" w:cs="Times New Roman"/>
                <w:b w:val="0"/>
                <w:bCs w:val="0"/>
                <w:color w:val="auto"/>
                <w:sz w:val="24"/>
                <w:lang w:val="en-US" w:eastAsia="zh-CN"/>
              </w:rPr>
              <w:t>20</w:t>
            </w:r>
            <w:r>
              <w:rPr>
                <w:rFonts w:hint="default" w:ascii="Times New Roman" w:hAnsi="Times New Roman" w:cs="Times New Roman"/>
                <w:b w:val="0"/>
                <w:bCs w:val="0"/>
                <w:color w:val="auto"/>
                <w:sz w:val="24"/>
              </w:rPr>
              <w:t>0人。生活用水量为60L/人·d，排水系数取0.8，则废水排放量为48L/人·d，则每天生活污水用水量约</w:t>
            </w:r>
            <w:r>
              <w:rPr>
                <w:rFonts w:hint="default" w:ascii="Times New Roman" w:hAnsi="Times New Roman" w:cs="Times New Roman"/>
                <w:b w:val="0"/>
                <w:bCs w:val="0"/>
                <w:color w:val="auto"/>
                <w:sz w:val="24"/>
                <w:lang w:val="en-US" w:eastAsia="zh-CN"/>
              </w:rPr>
              <w:t>12</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/d，生活污水总用水量约为</w:t>
            </w:r>
            <w:r>
              <w:rPr>
                <w:rFonts w:hint="default" w:ascii="Times New Roman" w:hAnsi="Times New Roman" w:cs="Times New Roman"/>
                <w:b w:val="0"/>
                <w:bCs w:val="0"/>
                <w:color w:val="auto"/>
                <w:sz w:val="24"/>
                <w:lang w:val="en-US" w:eastAsia="zh-CN"/>
              </w:rPr>
              <w:t>2160</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（整个施工期）；则每天生活污水排放量约</w:t>
            </w:r>
            <w:r>
              <w:rPr>
                <w:rFonts w:hint="default" w:ascii="Times New Roman" w:hAnsi="Times New Roman" w:cs="Times New Roman"/>
                <w:b w:val="0"/>
                <w:bCs w:val="0"/>
                <w:color w:val="auto"/>
                <w:sz w:val="24"/>
                <w:lang w:val="en-US" w:eastAsia="zh-CN"/>
              </w:rPr>
              <w:t>9.6</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/d，生活污水总排放量约为</w:t>
            </w:r>
            <w:r>
              <w:rPr>
                <w:rFonts w:hint="default" w:ascii="Times New Roman" w:hAnsi="Times New Roman" w:cs="Times New Roman"/>
                <w:b w:val="0"/>
                <w:bCs w:val="0"/>
                <w:color w:val="auto"/>
                <w:sz w:val="24"/>
                <w:lang w:val="en-US" w:eastAsia="zh-CN"/>
              </w:rPr>
              <w:t>1728</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（整个施工期），主要污染物是COD、SS、粪大肠菌群等。类比同类型污水水质，废水中COD</w:t>
            </w:r>
            <w:r>
              <w:rPr>
                <w:rFonts w:hint="default" w:ascii="Times New Roman" w:hAnsi="Times New Roman" w:cs="Times New Roman"/>
                <w:b w:val="0"/>
                <w:bCs w:val="0"/>
                <w:color w:val="auto"/>
                <w:sz w:val="24"/>
                <w:vertAlign w:val="subscript"/>
              </w:rPr>
              <w:t>cr</w:t>
            </w:r>
            <w:r>
              <w:rPr>
                <w:rFonts w:hint="default" w:ascii="Times New Roman" w:hAnsi="Times New Roman" w:cs="Times New Roman"/>
                <w:b w:val="0"/>
                <w:bCs w:val="0"/>
                <w:color w:val="auto"/>
                <w:sz w:val="24"/>
              </w:rPr>
              <w:t>浓度500mg/L、SS浓度300mg/L、粪大肠菌群3000MPN/L。</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本施工方租用</w:t>
            </w:r>
            <w:r>
              <w:rPr>
                <w:rFonts w:hint="default" w:ascii="Times New Roman" w:hAnsi="Times New Roman" w:cs="Times New Roman"/>
                <w:b w:val="0"/>
                <w:bCs w:val="0"/>
                <w:color w:val="000000" w:themeColor="text1"/>
                <w:kern w:val="2"/>
                <w:sz w:val="24"/>
                <w:szCs w:val="24"/>
                <w:lang w:val="en-US" w:eastAsia="zh-CN" w:bidi="ar"/>
                <w14:textFill>
                  <w14:solidFill>
                    <w14:schemeClr w14:val="tx1"/>
                  </w14:solidFill>
                </w14:textFill>
              </w:rPr>
              <w:t>皮山农场场部</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的房屋日常生活，生活废水</w:t>
            </w:r>
            <w:r>
              <w:rPr>
                <w:rFonts w:hint="default" w:ascii="Times New Roman" w:hAnsi="Times New Roman" w:cs="Times New Roman"/>
                <w:b w:val="0"/>
                <w:bCs w:val="0"/>
                <w:color w:val="000000" w:themeColor="text1"/>
                <w:kern w:val="2"/>
                <w:sz w:val="24"/>
                <w:szCs w:val="24"/>
                <w:lang w:val="en-US" w:eastAsia="zh-CN" w:bidi="ar"/>
                <w14:textFill>
                  <w14:solidFill>
                    <w14:schemeClr w14:val="tx1"/>
                  </w14:solidFill>
                </w14:textFill>
              </w:rPr>
              <w:t>最终排入皮山农场污水处理厂处理</w:t>
            </w:r>
            <w:r>
              <w:rPr>
                <w:rFonts w:hint="default" w:ascii="Times New Roman" w:hAnsi="Times New Roman" w:eastAsia="宋体" w:cs="Times New Roman"/>
                <w:b w:val="0"/>
                <w:bCs w:val="0"/>
                <w:color w:val="000000" w:themeColor="text1"/>
                <w:kern w:val="0"/>
                <w:sz w:val="24"/>
                <w:szCs w:val="24"/>
                <w:lang w:val="en-US" w:eastAsia="zh-CN" w:bidi="ar"/>
                <w14:textFill>
                  <w14:solidFill>
                    <w14:schemeClr w14:val="tx1"/>
                  </w14:solidFill>
                </w14:textFill>
              </w:rPr>
              <w:t>。</w:t>
            </w:r>
          </w:p>
          <w:p w14:paraId="16B37505">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.4</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实际工程量及工程建设变化情况，说明工程变化原因</w:t>
            </w:r>
          </w:p>
          <w:p w14:paraId="243744AF">
            <w:pPr>
              <w:kinsoku/>
              <w:autoSpaceDE/>
              <w:autoSpaceDN/>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根据《关于印发环评管理中部分行业建设项目重大变动清单的通知》（环发[2015]52号），并对照本项目的环评报告表，将本工程实际建设内容与环评阶段内容进行逐一对比分析，根据前文对项目建设规模、地点、生产工艺的描述，建设内容较环评阶段均未发生较大变化</w:t>
            </w:r>
            <w:r>
              <w:rPr>
                <w:rFonts w:hint="eastAsia" w:ascii="Times New Roman" w:hAnsi="Times New Roman" w:eastAsia="宋体" w:cs="Times New Roman"/>
                <w:snapToGrid/>
                <w:color w:val="auto"/>
                <w:kern w:val="2"/>
                <w:sz w:val="24"/>
                <w:szCs w:val="24"/>
                <w:lang w:val="en-US" w:eastAsia="zh-CN" w:bidi="ar"/>
              </w:rPr>
              <w:t>；施工期实施的环保措施与环评报告基本无差异，</w:t>
            </w:r>
            <w:r>
              <w:rPr>
                <w:rFonts w:hint="default" w:ascii="Times New Roman" w:hAnsi="Times New Roman" w:eastAsia="宋体" w:cs="Times New Roman"/>
                <w:snapToGrid/>
                <w:color w:val="auto"/>
                <w:kern w:val="2"/>
                <w:sz w:val="24"/>
                <w:szCs w:val="24"/>
                <w:lang w:val="en-US" w:eastAsia="zh-CN" w:bidi="ar"/>
              </w:rPr>
              <w:t>。根据环评、环评批复及现场调查核实，无重大变更内容。</w:t>
            </w:r>
          </w:p>
          <w:p w14:paraId="6515A1B0">
            <w:pPr>
              <w:keepNext w:val="0"/>
              <w:keepLines w:val="0"/>
              <w:pageBreakBefore w:val="0"/>
              <w:widowControl/>
              <w:kinsoku w:val="0"/>
              <w:wordWrap/>
              <w:overflowPunct/>
              <w:topLinePunct w:val="0"/>
              <w:autoSpaceDE w:val="0"/>
              <w:autoSpaceDN w:val="0"/>
              <w:bidi w:val="0"/>
              <w:adjustRightInd/>
              <w:snapToGrid/>
              <w:spacing w:line="360" w:lineRule="auto"/>
              <w:ind w:lef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详见表5-2。</w:t>
            </w:r>
          </w:p>
          <w:p w14:paraId="78A8F277">
            <w:pPr>
              <w:keepNext w:val="0"/>
              <w:keepLines w:val="0"/>
              <w:pageBreakBefore w:val="0"/>
              <w:widowControl/>
              <w:kinsoku w:val="0"/>
              <w:wordWrap/>
              <w:overflowPunct/>
              <w:topLinePunct w:val="0"/>
              <w:autoSpaceDE w:val="0"/>
              <w:autoSpaceDN w:val="0"/>
              <w:bidi w:val="0"/>
              <w:adjustRightInd/>
              <w:snapToGrid/>
              <w:spacing w:line="240" w:lineRule="auto"/>
              <w:ind w:left="0" w:firstLine="444" w:firstLineChars="20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6"/>
                <w:sz w:val="21"/>
                <w:szCs w:val="21"/>
                <w:lang w:val="en-US" w:eastAsia="zh-CN"/>
              </w:rPr>
              <w:t>5</w:t>
            </w:r>
            <w:r>
              <w:rPr>
                <w:rFonts w:hint="default" w:ascii="Times New Roman" w:hAnsi="Times New Roman" w:eastAsia="Times New Roman" w:cs="Times New Roman"/>
                <w:b/>
                <w:bCs/>
                <w:spacing w:val="6"/>
                <w:sz w:val="21"/>
                <w:szCs w:val="21"/>
              </w:rPr>
              <w:t>-</w:t>
            </w:r>
            <w:r>
              <w:rPr>
                <w:rFonts w:hint="default" w:ascii="Times New Roman" w:hAnsi="Times New Roman" w:eastAsia="宋体" w:cs="Times New Roman"/>
                <w:b/>
                <w:bCs/>
                <w:spacing w:val="6"/>
                <w:sz w:val="21"/>
                <w:szCs w:val="21"/>
                <w:lang w:val="en-US" w:eastAsia="zh-CN"/>
              </w:rPr>
              <w:t>2</w:t>
            </w:r>
            <w:r>
              <w:rPr>
                <w:rFonts w:hint="default" w:ascii="Times New Roman" w:hAnsi="Times New Roman" w:eastAsia="Times New Roman" w:cs="Times New Roman"/>
                <w:spacing w:val="3"/>
                <w:sz w:val="21"/>
                <w:szCs w:val="21"/>
              </w:rPr>
              <w:t xml:space="preserve">  </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本项目变动与重大变动清单对照表</w:t>
            </w:r>
          </w:p>
          <w:p w14:paraId="5E9AD15D">
            <w:pPr>
              <w:keepNext w:val="0"/>
              <w:keepLines w:val="0"/>
              <w:pageBreakBefore w:val="0"/>
              <w:widowControl/>
              <w:kinsoku w:val="0"/>
              <w:wordWrap/>
              <w:overflowPunct/>
              <w:topLinePunct w:val="0"/>
              <w:autoSpaceDE w:val="0"/>
              <w:autoSpaceDN w:val="0"/>
              <w:bidi w:val="0"/>
              <w:adjustRightInd/>
              <w:snapToGrid/>
              <w:spacing w:line="240" w:lineRule="auto"/>
              <w:textAlignment w:val="baseline"/>
              <w:rPr>
                <w:rFonts w:hint="default" w:ascii="Times New Roman" w:hAnsi="Times New Roman" w:cs="Times New Roman"/>
                <w:sz w:val="2"/>
              </w:rPr>
            </w:pPr>
          </w:p>
          <w:tbl>
            <w:tblPr>
              <w:tblStyle w:val="28"/>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9"/>
              <w:gridCol w:w="6718"/>
              <w:gridCol w:w="1548"/>
            </w:tblGrid>
            <w:tr w14:paraId="42F2F0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jc w:val="center"/>
              </w:trPr>
              <w:tc>
                <w:tcPr>
                  <w:tcW w:w="5000" w:type="pct"/>
                  <w:gridSpan w:val="3"/>
                  <w:tcBorders>
                    <w:left w:val="single" w:color="000000" w:sz="6" w:space="0"/>
                    <w:right w:val="single" w:color="000000" w:sz="6" w:space="0"/>
                  </w:tcBorders>
                  <w:vAlign w:val="center"/>
                </w:tcPr>
                <w:p w14:paraId="5D532AE3">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属于重大变动内</w:t>
                  </w:r>
                  <w:r>
                    <w:rPr>
                      <w:rFonts w:hint="default" w:ascii="Times New Roman" w:hAnsi="Times New Roman" w:eastAsia="宋体" w:cs="Times New Roman"/>
                      <w:sz w:val="21"/>
                      <w:szCs w:val="21"/>
                    </w:rPr>
                    <w:t>容</w:t>
                  </w:r>
                </w:p>
              </w:tc>
            </w:tr>
            <w:tr w14:paraId="5F2F0D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456" w:type="pct"/>
                  <w:tcBorders>
                    <w:left w:val="single" w:color="000000" w:sz="6" w:space="0"/>
                  </w:tcBorders>
                  <w:vAlign w:val="center"/>
                </w:tcPr>
                <w:p w14:paraId="16C4E7B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性</w:t>
                  </w:r>
                  <w:r>
                    <w:rPr>
                      <w:rFonts w:hint="default" w:ascii="Times New Roman" w:hAnsi="Times New Roman" w:eastAsia="宋体" w:cs="Times New Roman"/>
                      <w:spacing w:val="-1"/>
                      <w:sz w:val="21"/>
                      <w:szCs w:val="21"/>
                    </w:rPr>
                    <w:t>质</w:t>
                  </w:r>
                </w:p>
              </w:tc>
              <w:tc>
                <w:tcPr>
                  <w:tcW w:w="3693" w:type="pct"/>
                  <w:vAlign w:val="center"/>
                </w:tcPr>
                <w:p w14:paraId="46488E5B">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主要产品品种发生变化(变少的除外</w:t>
                  </w:r>
                  <w:r>
                    <w:rPr>
                      <w:rFonts w:hint="default" w:ascii="Times New Roman" w:hAnsi="Times New Roman" w:eastAsia="宋体" w:cs="Times New Roman"/>
                      <w:spacing w:val="4"/>
                      <w:sz w:val="21"/>
                      <w:szCs w:val="21"/>
                    </w:rPr>
                    <w:t>)</w:t>
                  </w:r>
                </w:p>
              </w:tc>
              <w:tc>
                <w:tcPr>
                  <w:tcW w:w="850" w:type="pct"/>
                  <w:tcBorders>
                    <w:right w:val="single" w:color="000000" w:sz="6" w:space="0"/>
                  </w:tcBorders>
                  <w:vAlign w:val="center"/>
                </w:tcPr>
                <w:p w14:paraId="763EE059">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是否属</w:t>
                  </w:r>
                  <w:r>
                    <w:rPr>
                      <w:rFonts w:hint="default" w:ascii="Times New Roman" w:hAnsi="Times New Roman" w:eastAsia="宋体" w:cs="Times New Roman"/>
                      <w:spacing w:val="-1"/>
                      <w:sz w:val="21"/>
                      <w:szCs w:val="21"/>
                    </w:rPr>
                    <w:t>于重</w:t>
                  </w:r>
                  <w:r>
                    <w:rPr>
                      <w:rFonts w:hint="default" w:ascii="Times New Roman" w:hAnsi="Times New Roman" w:eastAsia="宋体" w:cs="Times New Roman"/>
                      <w:spacing w:val="-2"/>
                      <w:sz w:val="21"/>
                      <w:szCs w:val="21"/>
                    </w:rPr>
                    <w:t>大变</w:t>
                  </w:r>
                  <w:r>
                    <w:rPr>
                      <w:rFonts w:hint="default" w:ascii="Times New Roman" w:hAnsi="Times New Roman" w:eastAsia="宋体" w:cs="Times New Roman"/>
                      <w:spacing w:val="-1"/>
                      <w:sz w:val="21"/>
                      <w:szCs w:val="21"/>
                    </w:rPr>
                    <w:t>动</w:t>
                  </w:r>
                </w:p>
              </w:tc>
            </w:tr>
            <w:tr w14:paraId="222654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jc w:val="center"/>
              </w:trPr>
              <w:tc>
                <w:tcPr>
                  <w:tcW w:w="456" w:type="pct"/>
                  <w:vMerge w:val="restart"/>
                  <w:tcBorders>
                    <w:left w:val="single" w:color="000000" w:sz="6" w:space="0"/>
                  </w:tcBorders>
                  <w:vAlign w:val="center"/>
                </w:tcPr>
                <w:p w14:paraId="66FC9D2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规模</w:t>
                  </w:r>
                </w:p>
              </w:tc>
              <w:tc>
                <w:tcPr>
                  <w:tcW w:w="3693" w:type="pct"/>
                  <w:vAlign w:val="center"/>
                </w:tcPr>
                <w:p w14:paraId="6D96FD4A">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生产能力增加</w:t>
                  </w:r>
                  <w:r>
                    <w:rPr>
                      <w:rFonts w:hint="default" w:ascii="Times New Roman" w:hAnsi="Times New Roman" w:eastAsia="Times New Roman" w:cs="Times New Roman"/>
                      <w:spacing w:val="-1"/>
                      <w:sz w:val="21"/>
                      <w:szCs w:val="21"/>
                    </w:rPr>
                    <w:t>30</w:t>
                  </w:r>
                  <w:r>
                    <w:rPr>
                      <w:rFonts w:hint="default" w:ascii="Times New Roman" w:hAnsi="Times New Roman" w:eastAsia="Times New Roman" w:cs="Times New Roman"/>
                      <w:sz w:val="21"/>
                      <w:szCs w:val="21"/>
                    </w:rPr>
                    <w:t>%</w:t>
                  </w:r>
                  <w:r>
                    <w:rPr>
                      <w:rFonts w:hint="default" w:ascii="Times New Roman" w:hAnsi="Times New Roman" w:eastAsia="宋体" w:cs="Times New Roman"/>
                      <w:sz w:val="21"/>
                      <w:szCs w:val="21"/>
                    </w:rPr>
                    <w:t>及以上</w:t>
                  </w:r>
                </w:p>
              </w:tc>
              <w:tc>
                <w:tcPr>
                  <w:tcW w:w="850" w:type="pct"/>
                  <w:tcBorders>
                    <w:right w:val="single" w:color="000000" w:sz="6" w:space="0"/>
                  </w:tcBorders>
                  <w:vAlign w:val="center"/>
                </w:tcPr>
                <w:p w14:paraId="2CD0A53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545E52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6" w:type="pct"/>
                  <w:vMerge w:val="continue"/>
                  <w:tcBorders>
                    <w:left w:val="single" w:color="000000" w:sz="6" w:space="0"/>
                  </w:tcBorders>
                  <w:vAlign w:val="center"/>
                </w:tcPr>
                <w:p w14:paraId="128D85D0">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662D6BF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配套的仓储</w:t>
                  </w:r>
                  <w:r>
                    <w:rPr>
                      <w:rFonts w:hint="default" w:ascii="Times New Roman" w:hAnsi="Times New Roman" w:eastAsia="宋体" w:cs="Times New Roman"/>
                      <w:spacing w:val="3"/>
                      <w:sz w:val="21"/>
                      <w:szCs w:val="21"/>
                    </w:rPr>
                    <w:t>设施(储存危险化学品或其他环境风险大的物品)总</w:t>
                  </w:r>
                  <w:r>
                    <w:rPr>
                      <w:rFonts w:hint="default" w:ascii="Times New Roman" w:hAnsi="Times New Roman" w:eastAsia="宋体" w:cs="Times New Roman"/>
                      <w:spacing w:val="-1"/>
                      <w:sz w:val="21"/>
                      <w:szCs w:val="21"/>
                    </w:rPr>
                    <w:t>储存容量增</w:t>
                  </w:r>
                  <w:r>
                    <w:rPr>
                      <w:rFonts w:hint="default" w:ascii="Times New Roman" w:hAnsi="Times New Roman" w:eastAsia="宋体" w:cs="Times New Roman"/>
                      <w:sz w:val="21"/>
                      <w:szCs w:val="21"/>
                    </w:rPr>
                    <w:t>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w:t>
                  </w:r>
                </w:p>
              </w:tc>
              <w:tc>
                <w:tcPr>
                  <w:tcW w:w="850" w:type="pct"/>
                  <w:tcBorders>
                    <w:right w:val="single" w:color="000000" w:sz="6" w:space="0"/>
                  </w:tcBorders>
                  <w:vAlign w:val="center"/>
                </w:tcPr>
                <w:p w14:paraId="5782C1A7">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446117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456" w:type="pct"/>
                  <w:vMerge w:val="continue"/>
                  <w:tcBorders>
                    <w:left w:val="single" w:color="000000" w:sz="6" w:space="0"/>
                  </w:tcBorders>
                  <w:vAlign w:val="center"/>
                </w:tcPr>
                <w:p w14:paraId="61A9BA91">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2136939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新</w:t>
                  </w:r>
                  <w:r>
                    <w:rPr>
                      <w:rFonts w:hint="default" w:ascii="Times New Roman" w:hAnsi="Times New Roman" w:eastAsia="宋体" w:cs="Times New Roman"/>
                      <w:spacing w:val="-7"/>
                      <w:sz w:val="21"/>
                      <w:szCs w:val="21"/>
                    </w:rPr>
                    <w:t>增生产装置，导致新增污染因子或污染物排放量增加；原有生</w:t>
                  </w:r>
                  <w:r>
                    <w:rPr>
                      <w:rFonts w:hint="default" w:ascii="Times New Roman" w:hAnsi="Times New Roman" w:eastAsia="宋体" w:cs="Times New Roman"/>
                      <w:spacing w:val="-1"/>
                      <w:sz w:val="21"/>
                      <w:szCs w:val="21"/>
                    </w:rPr>
                    <w:t>产装置</w:t>
                  </w:r>
                  <w:r>
                    <w:rPr>
                      <w:rFonts w:hint="default" w:ascii="Times New Roman" w:hAnsi="Times New Roman" w:eastAsia="宋体" w:cs="Times New Roman"/>
                      <w:sz w:val="21"/>
                      <w:szCs w:val="21"/>
                    </w:rPr>
                    <w:t>规模增加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及以上，导致新增污染因子或污染物排放量</w:t>
                  </w:r>
                  <w:r>
                    <w:rPr>
                      <w:rFonts w:hint="default" w:ascii="Times New Roman" w:hAnsi="Times New Roman" w:eastAsia="宋体" w:cs="Times New Roman"/>
                      <w:spacing w:val="-2"/>
                      <w:sz w:val="21"/>
                      <w:szCs w:val="21"/>
                    </w:rPr>
                    <w:t>增加</w:t>
                  </w:r>
                </w:p>
              </w:tc>
              <w:tc>
                <w:tcPr>
                  <w:tcW w:w="850" w:type="pct"/>
                  <w:tcBorders>
                    <w:right w:val="single" w:color="000000" w:sz="6" w:space="0"/>
                  </w:tcBorders>
                  <w:vAlign w:val="center"/>
                </w:tcPr>
                <w:p w14:paraId="37B64D8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36163B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456" w:type="pct"/>
                  <w:vMerge w:val="restart"/>
                  <w:tcBorders>
                    <w:left w:val="single" w:color="000000" w:sz="6" w:space="0"/>
                    <w:bottom w:val="nil"/>
                  </w:tcBorders>
                  <w:vAlign w:val="center"/>
                </w:tcPr>
                <w:p w14:paraId="394C6034">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地</w:t>
                  </w:r>
                  <w:r>
                    <w:rPr>
                      <w:rFonts w:hint="default" w:ascii="Times New Roman" w:hAnsi="Times New Roman" w:eastAsia="宋体" w:cs="Times New Roman"/>
                      <w:spacing w:val="-1"/>
                      <w:sz w:val="21"/>
                      <w:szCs w:val="21"/>
                    </w:rPr>
                    <w:t>点</w:t>
                  </w:r>
                </w:p>
              </w:tc>
              <w:tc>
                <w:tcPr>
                  <w:tcW w:w="3693" w:type="pct"/>
                  <w:vAlign w:val="center"/>
                </w:tcPr>
                <w:p w14:paraId="4651EAA5">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项目</w:t>
                  </w:r>
                  <w:r>
                    <w:rPr>
                      <w:rFonts w:hint="default" w:ascii="Times New Roman" w:hAnsi="Times New Roman" w:eastAsia="宋体" w:cs="Times New Roman"/>
                      <w:spacing w:val="-1"/>
                      <w:sz w:val="21"/>
                      <w:szCs w:val="21"/>
                    </w:rPr>
                    <w:t>重新选址</w:t>
                  </w:r>
                </w:p>
              </w:tc>
              <w:tc>
                <w:tcPr>
                  <w:tcW w:w="850" w:type="pct"/>
                  <w:tcBorders>
                    <w:right w:val="single" w:color="000000" w:sz="6" w:space="0"/>
                  </w:tcBorders>
                  <w:vAlign w:val="center"/>
                </w:tcPr>
                <w:p w14:paraId="6C0F6088">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0F2FE8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456" w:type="pct"/>
                  <w:vMerge w:val="continue"/>
                  <w:tcBorders>
                    <w:top w:val="nil"/>
                    <w:left w:val="single" w:color="000000" w:sz="6" w:space="0"/>
                    <w:bottom w:val="nil"/>
                  </w:tcBorders>
                  <w:vAlign w:val="center"/>
                </w:tcPr>
                <w:p w14:paraId="6CFB17F0">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40E629B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在原厂址内</w:t>
                  </w:r>
                  <w:r>
                    <w:rPr>
                      <w:rFonts w:hint="default" w:ascii="Times New Roman" w:hAnsi="Times New Roman" w:eastAsia="宋体" w:cs="Times New Roman"/>
                      <w:spacing w:val="4"/>
                      <w:sz w:val="21"/>
                      <w:szCs w:val="21"/>
                    </w:rPr>
                    <w:t>调</w:t>
                  </w:r>
                  <w:r>
                    <w:rPr>
                      <w:rFonts w:hint="default" w:ascii="Times New Roman" w:hAnsi="Times New Roman" w:eastAsia="宋体" w:cs="Times New Roman"/>
                      <w:spacing w:val="3"/>
                      <w:sz w:val="21"/>
                      <w:szCs w:val="21"/>
                    </w:rPr>
                    <w:t>整(包括总平面布置或生产装置发生变化)导致不</w:t>
                  </w:r>
                  <w:r>
                    <w:rPr>
                      <w:rFonts w:hint="default" w:ascii="Times New Roman" w:hAnsi="Times New Roman" w:eastAsia="宋体" w:cs="Times New Roman"/>
                      <w:spacing w:val="-1"/>
                      <w:sz w:val="21"/>
                      <w:szCs w:val="21"/>
                    </w:rPr>
                    <w:t>利环境影响显</w:t>
                  </w:r>
                  <w:r>
                    <w:rPr>
                      <w:rFonts w:hint="default" w:ascii="Times New Roman" w:hAnsi="Times New Roman" w:eastAsia="宋体" w:cs="Times New Roman"/>
                      <w:sz w:val="21"/>
                      <w:szCs w:val="21"/>
                    </w:rPr>
                    <w:t>著增加</w:t>
                  </w:r>
                </w:p>
              </w:tc>
              <w:tc>
                <w:tcPr>
                  <w:tcW w:w="850" w:type="pct"/>
                  <w:tcBorders>
                    <w:right w:val="single" w:color="000000" w:sz="6" w:space="0"/>
                  </w:tcBorders>
                  <w:vAlign w:val="center"/>
                </w:tcPr>
                <w:p w14:paraId="1433C6E4">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29161C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6" w:type="pct"/>
                  <w:vMerge w:val="continue"/>
                  <w:tcBorders>
                    <w:top w:val="nil"/>
                    <w:left w:val="single" w:color="000000" w:sz="6" w:space="0"/>
                  </w:tcBorders>
                  <w:vAlign w:val="center"/>
                </w:tcPr>
                <w:p w14:paraId="01B83B3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74E3C42F">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厂外管线路由调整</w:t>
                  </w:r>
                  <w:r>
                    <w:rPr>
                      <w:rFonts w:hint="default" w:ascii="Times New Roman" w:hAnsi="Times New Roman" w:eastAsia="宋体" w:cs="Times New Roman"/>
                      <w:spacing w:val="-1"/>
                      <w:sz w:val="21"/>
                      <w:szCs w:val="21"/>
                    </w:rPr>
                    <w:t>，穿越新的环境敏感区</w:t>
                  </w:r>
                  <w:r>
                    <w:rPr>
                      <w:rFonts w:hint="default" w:ascii="Times New Roman" w:hAnsi="Times New Roman" w:eastAsia="Times New Roman" w:cs="Times New Roman"/>
                      <w:spacing w:val="-1"/>
                      <w:sz w:val="21"/>
                      <w:szCs w:val="21"/>
                    </w:rPr>
                    <w:t>-</w:t>
                  </w:r>
                  <w:r>
                    <w:rPr>
                      <w:rFonts w:hint="default" w:ascii="Times New Roman" w:hAnsi="Times New Roman" w:eastAsia="宋体" w:cs="Times New Roman"/>
                      <w:spacing w:val="-1"/>
                      <w:sz w:val="21"/>
                      <w:szCs w:val="21"/>
                    </w:rPr>
                    <w:t>有在现有环境敏感区内路由发生变</w:t>
                  </w:r>
                  <w:r>
                    <w:rPr>
                      <w:rFonts w:hint="default" w:ascii="Times New Roman" w:hAnsi="Times New Roman" w:eastAsia="宋体" w:cs="Times New Roman"/>
                      <w:sz w:val="21"/>
                      <w:szCs w:val="21"/>
                    </w:rPr>
                    <w:t>动且环境影响或环境风险显著增大</w:t>
                  </w:r>
                </w:p>
              </w:tc>
              <w:tc>
                <w:tcPr>
                  <w:tcW w:w="850" w:type="pct"/>
                  <w:tcBorders>
                    <w:right w:val="single" w:color="000000" w:sz="6" w:space="0"/>
                  </w:tcBorders>
                  <w:vAlign w:val="center"/>
                </w:tcPr>
                <w:p w14:paraId="7AD0242D">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6D195B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6" w:type="pct"/>
                  <w:tcBorders>
                    <w:left w:val="single" w:color="000000" w:sz="6" w:space="0"/>
                  </w:tcBorders>
                  <w:vAlign w:val="center"/>
                </w:tcPr>
                <w:p w14:paraId="6C1EA26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2"/>
                      <w:position w:val="7"/>
                      <w:sz w:val="21"/>
                      <w:szCs w:val="21"/>
                    </w:rPr>
                  </w:pPr>
                  <w:r>
                    <w:rPr>
                      <w:rFonts w:hint="default" w:ascii="Times New Roman" w:hAnsi="Times New Roman" w:eastAsia="宋体" w:cs="Times New Roman"/>
                      <w:spacing w:val="-2"/>
                      <w:position w:val="7"/>
                      <w:sz w:val="21"/>
                      <w:szCs w:val="21"/>
                    </w:rPr>
                    <w:t>生产</w:t>
                  </w:r>
                </w:p>
                <w:p w14:paraId="6027138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工</w:t>
                  </w:r>
                  <w:r>
                    <w:rPr>
                      <w:rFonts w:hint="default" w:ascii="Times New Roman" w:hAnsi="Times New Roman" w:eastAsia="宋体" w:cs="Times New Roman"/>
                      <w:spacing w:val="-2"/>
                      <w:sz w:val="21"/>
                      <w:szCs w:val="21"/>
                    </w:rPr>
                    <w:t>艺</w:t>
                  </w:r>
                </w:p>
              </w:tc>
              <w:tc>
                <w:tcPr>
                  <w:tcW w:w="3693" w:type="pct"/>
                  <w:vAlign w:val="center"/>
                </w:tcPr>
                <w:p w14:paraId="6AC388E5">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主要生产装</w:t>
                  </w:r>
                  <w:r>
                    <w:rPr>
                      <w:rFonts w:hint="default" w:ascii="Times New Roman" w:hAnsi="Times New Roman" w:eastAsia="宋体" w:cs="Times New Roman"/>
                      <w:sz w:val="21"/>
                      <w:szCs w:val="21"/>
                    </w:rPr>
                    <w:t>置类型、主要原辅材料类型、主要燃料类型、以及其</w:t>
                  </w:r>
                  <w:r>
                    <w:rPr>
                      <w:rFonts w:hint="default" w:ascii="Times New Roman" w:hAnsi="Times New Roman" w:eastAsia="宋体" w:cs="Times New Roman"/>
                      <w:spacing w:val="-1"/>
                      <w:sz w:val="21"/>
                      <w:szCs w:val="21"/>
                    </w:rPr>
                    <w:t>他生产</w:t>
                  </w:r>
                  <w:r>
                    <w:rPr>
                      <w:rFonts w:hint="default" w:ascii="Times New Roman" w:hAnsi="Times New Roman" w:eastAsia="宋体" w:cs="Times New Roman"/>
                      <w:sz w:val="21"/>
                      <w:szCs w:val="21"/>
                    </w:rPr>
                    <w:t>工艺和技术调整且导致新增污染因子或污染物排放量增加</w:t>
                  </w:r>
                </w:p>
              </w:tc>
              <w:tc>
                <w:tcPr>
                  <w:tcW w:w="850" w:type="pct"/>
                  <w:tcBorders>
                    <w:right w:val="single" w:color="000000" w:sz="6" w:space="0"/>
                  </w:tcBorders>
                  <w:vAlign w:val="center"/>
                </w:tcPr>
                <w:p w14:paraId="5BBCFB1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7AFE63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456" w:type="pct"/>
                  <w:tcBorders>
                    <w:left w:val="single" w:color="000000" w:sz="6" w:space="0"/>
                  </w:tcBorders>
                  <w:vAlign w:val="center"/>
                </w:tcPr>
                <w:p w14:paraId="73DC69E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7"/>
                      <w:sz w:val="21"/>
                      <w:szCs w:val="21"/>
                    </w:rPr>
                    <w:t>环</w:t>
                  </w:r>
                  <w:r>
                    <w:rPr>
                      <w:rFonts w:hint="default" w:ascii="Times New Roman" w:hAnsi="Times New Roman" w:eastAsia="宋体" w:cs="Times New Roman"/>
                      <w:spacing w:val="-1"/>
                      <w:position w:val="7"/>
                      <w:sz w:val="21"/>
                      <w:szCs w:val="21"/>
                    </w:rPr>
                    <w:t>境</w:t>
                  </w:r>
                </w:p>
                <w:p w14:paraId="0EBE32CE">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保护</w:t>
                  </w:r>
                </w:p>
                <w:p w14:paraId="39F46C4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措</w:t>
                  </w:r>
                  <w:r>
                    <w:rPr>
                      <w:rFonts w:hint="default" w:ascii="Times New Roman" w:hAnsi="Times New Roman" w:eastAsia="宋体" w:cs="Times New Roman"/>
                      <w:spacing w:val="-1"/>
                      <w:sz w:val="21"/>
                      <w:szCs w:val="21"/>
                    </w:rPr>
                    <w:t>施</w:t>
                  </w:r>
                </w:p>
              </w:tc>
              <w:tc>
                <w:tcPr>
                  <w:tcW w:w="3693" w:type="pct"/>
                  <w:vAlign w:val="center"/>
                </w:tcPr>
                <w:p w14:paraId="04F4426A">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污染防治措</w:t>
                  </w:r>
                  <w:r>
                    <w:rPr>
                      <w:rFonts w:hint="default" w:ascii="Times New Roman" w:hAnsi="Times New Roman" w:eastAsia="宋体" w:cs="Times New Roman"/>
                      <w:sz w:val="21"/>
                      <w:szCs w:val="21"/>
                    </w:rPr>
                    <w:t>施的工艺、规模、处置去向、排放形式等调整，导致</w:t>
                  </w:r>
                  <w:r>
                    <w:rPr>
                      <w:rFonts w:hint="default" w:ascii="Times New Roman" w:hAnsi="Times New Roman" w:eastAsia="宋体" w:cs="Times New Roman"/>
                      <w:spacing w:val="-4"/>
                      <w:sz w:val="21"/>
                      <w:szCs w:val="21"/>
                    </w:rPr>
                    <w:t>新增污染因</w:t>
                  </w:r>
                  <w:r>
                    <w:rPr>
                      <w:rFonts w:hint="default" w:ascii="Times New Roman" w:hAnsi="Times New Roman" w:eastAsia="宋体" w:cs="Times New Roman"/>
                      <w:spacing w:val="-3"/>
                      <w:sz w:val="21"/>
                      <w:szCs w:val="21"/>
                    </w:rPr>
                    <w:t>子</w:t>
                  </w:r>
                  <w:r>
                    <w:rPr>
                      <w:rFonts w:hint="default" w:ascii="Times New Roman" w:hAnsi="Times New Roman" w:eastAsia="宋体" w:cs="Times New Roman"/>
                      <w:spacing w:val="-2"/>
                      <w:sz w:val="21"/>
                      <w:szCs w:val="21"/>
                    </w:rPr>
                    <w:t>或污染物排放量、范围或强度增加；其他可能导致</w:t>
                  </w:r>
                  <w:r>
                    <w:rPr>
                      <w:rFonts w:hint="default" w:ascii="Times New Roman" w:hAnsi="Times New Roman" w:eastAsia="宋体" w:cs="Times New Roman"/>
                      <w:spacing w:val="-1"/>
                      <w:sz w:val="21"/>
                      <w:szCs w:val="21"/>
                    </w:rPr>
                    <w:t>环境影</w:t>
                  </w:r>
                  <w:r>
                    <w:rPr>
                      <w:rFonts w:hint="default" w:ascii="Times New Roman" w:hAnsi="Times New Roman" w:eastAsia="宋体" w:cs="Times New Roman"/>
                      <w:sz w:val="21"/>
                      <w:szCs w:val="21"/>
                    </w:rPr>
                    <w:t>响或环境风险增大的环保措施变动</w:t>
                  </w:r>
                </w:p>
              </w:tc>
              <w:tc>
                <w:tcPr>
                  <w:tcW w:w="850" w:type="pct"/>
                  <w:tcBorders>
                    <w:right w:val="single" w:color="000000" w:sz="6" w:space="0"/>
                  </w:tcBorders>
                  <w:vAlign w:val="center"/>
                </w:tcPr>
                <w:p w14:paraId="2A00DB4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bl>
          <w:p w14:paraId="0BEE9CFF">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highlight w:val="none"/>
              </w:rPr>
            </w:pPr>
            <w:r>
              <w:rPr>
                <w:rFonts w:hint="default" w:ascii="Times New Roman" w:hAnsi="Times New Roman" w:eastAsia="宋体" w:cs="Times New Roman"/>
                <w:b/>
                <w:bCs/>
                <w:sz w:val="28"/>
                <w:szCs w:val="28"/>
                <w:highlight w:val="none"/>
                <w:lang w:val="en-US" w:eastAsia="zh-CN"/>
              </w:rPr>
              <w:t>5</w:t>
            </w:r>
            <w:r>
              <w:rPr>
                <w:rFonts w:hint="default" w:ascii="Times New Roman" w:hAnsi="Times New Roman" w:eastAsia="Times New Roman" w:cs="Times New Roman"/>
                <w:b/>
                <w:bCs/>
                <w:sz w:val="28"/>
                <w:szCs w:val="28"/>
                <w:highlight w:val="none"/>
              </w:rPr>
              <w:t>.5</w:t>
            </w:r>
            <w:r>
              <w:rPr>
                <w:rFonts w:hint="default" w:ascii="Times New Roman" w:hAnsi="Times New Roman" w:eastAsia="宋体" w:cs="Times New Roman"/>
                <w:b/>
                <w:bCs/>
                <w:sz w:val="28"/>
                <w:szCs w:val="28"/>
                <w:highlight w:val="none"/>
                <w:lang w:val="en-US" w:eastAsia="zh-CN"/>
              </w:rPr>
              <w:t xml:space="preserve"> </w:t>
            </w:r>
            <w:r>
              <w:rPr>
                <w:rFonts w:hint="default" w:ascii="Times New Roman" w:hAnsi="Times New Roman" w:eastAsia="Times New Roman" w:cs="Times New Roman"/>
                <w:b/>
                <w:bCs/>
                <w:sz w:val="28"/>
                <w:szCs w:val="28"/>
                <w:highlight w:val="none"/>
              </w:rPr>
              <w:t>生产工艺流程及产污环节</w:t>
            </w:r>
          </w:p>
          <w:p w14:paraId="4485C1DD">
            <w:pPr>
              <w:pStyle w:val="36"/>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hint="eastAsia" w:ascii="Times New Roman" w:hAnsi="Times New Roman" w:cs="Times New Roman"/>
                <w:b/>
                <w:color w:val="000000" w:themeColor="text1"/>
                <w:sz w:val="24"/>
                <w:szCs w:val="24"/>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（1）工艺流程</w:t>
            </w:r>
          </w:p>
          <w:p w14:paraId="251961E5">
            <w:pPr>
              <w:pStyle w:val="36"/>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w:t>
            </w:r>
            <w:r>
              <w:rPr>
                <w:rFonts w:hint="default" w:ascii="Times New Roman" w:hAnsi="Times New Roman" w:cs="Times New Roman"/>
                <w:b/>
                <w:color w:val="000000" w:themeColor="text1"/>
                <w:sz w:val="24"/>
                <w:szCs w:val="24"/>
                <w:lang w:val="en-US" w:eastAsia="zh-CN"/>
                <w14:textFill>
                  <w14:solidFill>
                    <w14:schemeClr w14:val="tx1"/>
                  </w14:solidFill>
                </w14:textFill>
              </w:rPr>
              <w:t>1</w:t>
            </w:r>
            <w:r>
              <w:rPr>
                <w:rFonts w:hint="eastAsia" w:ascii="Times New Roman" w:cs="Times New Roman"/>
                <w:b/>
                <w:color w:val="000000" w:themeColor="text1"/>
                <w:sz w:val="24"/>
                <w:szCs w:val="24"/>
                <w:lang w:val="en-US" w:eastAsia="zh-CN"/>
                <w14:textFill>
                  <w14:solidFill>
                    <w14:schemeClr w14:val="tx1"/>
                  </w14:solidFill>
                </w14:textFill>
              </w:rPr>
              <w:t>中水储库</w:t>
            </w:r>
            <w:r>
              <w:rPr>
                <w:rFonts w:hint="default" w:ascii="Times New Roman" w:hAnsi="Times New Roman" w:cs="Times New Roman"/>
                <w:b/>
                <w:color w:val="000000" w:themeColor="text1"/>
                <w:sz w:val="24"/>
                <w:szCs w:val="24"/>
                <w:lang w:val="en-US" w:eastAsia="zh-CN"/>
                <w14:textFill>
                  <w14:solidFill>
                    <w14:schemeClr w14:val="tx1"/>
                  </w14:solidFill>
                </w14:textFill>
              </w:rPr>
              <w:t>工艺流程及产污环节见图</w:t>
            </w:r>
            <w:r>
              <w:rPr>
                <w:rFonts w:hint="eastAsia" w:ascii="Times New Roman" w:hAnsi="Times New Roman" w:cs="Times New Roman"/>
                <w:b/>
                <w:color w:val="000000" w:themeColor="text1"/>
                <w:sz w:val="24"/>
                <w:szCs w:val="24"/>
                <w:lang w:val="en-US" w:eastAsia="zh-CN"/>
                <w14:textFill>
                  <w14:solidFill>
                    <w14:schemeClr w14:val="tx1"/>
                  </w14:solidFill>
                </w14:textFill>
              </w:rPr>
              <w:t>5-1。</w:t>
            </w:r>
          </w:p>
          <w:p w14:paraId="5FAA8D41">
            <w:pPr>
              <w:pStyle w:val="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color w:val="000000" w:themeColor="text1"/>
                <w:sz w:val="21"/>
                <w:szCs w:val="21"/>
                <w14:textFill>
                  <w14:solidFill>
                    <w14:schemeClr w14:val="tx1"/>
                  </w14:solidFill>
                </w14:textFill>
              </w:rPr>
            </w:pPr>
            <w:r>
              <w:rPr>
                <w:rFonts w:hint="eastAsia" w:ascii="宋体" w:hAnsi="宋体" w:eastAsia="宋体" w:cs="宋体"/>
                <w:color w:val="000000" w:themeColor="text1"/>
                <w:kern w:val="2"/>
                <w:sz w:val="21"/>
                <w:szCs w:val="21"/>
                <w:lang w:val="en-US" w:eastAsia="zh-CN" w:bidi="ar"/>
                <w14:textFill>
                  <w14:solidFill>
                    <w14:schemeClr w14:val="tx1"/>
                  </w14:solidFill>
                </w14:textFill>
              </w:rPr>
              <w:drawing>
                <wp:anchor distT="0" distB="0" distL="114300" distR="114300" simplePos="0" relativeHeight="251667456" behindDoc="0" locked="0" layoutInCell="1" allowOverlap="1">
                  <wp:simplePos x="0" y="0"/>
                  <wp:positionH relativeFrom="column">
                    <wp:posOffset>19050</wp:posOffset>
                  </wp:positionH>
                  <wp:positionV relativeFrom="paragraph">
                    <wp:posOffset>67310</wp:posOffset>
                  </wp:positionV>
                  <wp:extent cx="5189220" cy="1904365"/>
                  <wp:effectExtent l="0" t="0" r="11430" b="0"/>
                  <wp:wrapTopAndBottom/>
                  <wp:docPr id="80"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descr="IMG_256"/>
                          <pic:cNvPicPr>
                            <a:picLocks noChangeAspect="1"/>
                          </pic:cNvPicPr>
                        </pic:nvPicPr>
                        <pic:blipFill>
                          <a:blip r:embed="rId29"/>
                          <a:stretch>
                            <a:fillRect/>
                          </a:stretch>
                        </pic:blipFill>
                        <pic:spPr>
                          <a:xfrm>
                            <a:off x="0" y="0"/>
                            <a:ext cx="5189220" cy="1904365"/>
                          </a:xfrm>
                          <a:prstGeom prst="rect">
                            <a:avLst/>
                          </a:prstGeom>
                          <a:noFill/>
                          <a:ln w="9525">
                            <a:noFill/>
                          </a:ln>
                        </pic:spPr>
                      </pic:pic>
                    </a:graphicData>
                  </a:graphic>
                </wp:anchor>
              </w:drawing>
            </w: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5-1</w:t>
            </w:r>
            <w:r>
              <w:rPr>
                <w:rFonts w:hint="default" w:ascii="Times New Roman" w:hAnsi="Times New Roman" w:eastAsia="宋体" w:cs="Times New Roman"/>
                <w:b/>
                <w:bCs/>
                <w:color w:val="000000" w:themeColor="text1"/>
                <w:sz w:val="21"/>
                <w:szCs w:val="21"/>
                <w14:textFill>
                  <w14:solidFill>
                    <w14:schemeClr w14:val="tx1"/>
                  </w14:solidFill>
                </w14:textFill>
              </w:rPr>
              <w:t xml:space="preserve">  </w:t>
            </w:r>
            <w:r>
              <w:rPr>
                <w:rFonts w:hint="eastAsia" w:ascii="Times New Roman" w:hAnsi="Times New Roman" w:eastAsia="宋体" w:cs="Times New Roman"/>
                <w:b/>
                <w:bCs/>
                <w:color w:val="000000" w:themeColor="text1"/>
                <w:sz w:val="21"/>
                <w:szCs w:val="21"/>
                <w:lang w:eastAsia="zh-CN"/>
                <w14:textFill>
                  <w14:solidFill>
                    <w14:schemeClr w14:val="tx1"/>
                  </w14:solidFill>
                </w14:textFill>
              </w:rPr>
              <w:t>中水储库</w:t>
            </w:r>
            <w:r>
              <w:rPr>
                <w:rFonts w:hint="default" w:ascii="Times New Roman" w:hAnsi="Times New Roman" w:eastAsia="宋体" w:cs="Times New Roman"/>
                <w:b/>
                <w:bCs/>
                <w:color w:val="000000" w:themeColor="text1"/>
                <w:sz w:val="21"/>
                <w:szCs w:val="21"/>
                <w14:textFill>
                  <w14:solidFill>
                    <w14:schemeClr w14:val="tx1"/>
                  </w14:solidFill>
                </w14:textFill>
              </w:rPr>
              <w:t>工程工艺流程及产污环节</w:t>
            </w:r>
          </w:p>
          <w:p w14:paraId="3D31BAA5">
            <w:pPr>
              <w:pStyle w:val="36"/>
              <w:keepNext w:val="0"/>
              <w:keepLines w:val="0"/>
              <w:pageBreakBefore w:val="0"/>
              <w:widowControl/>
              <w:kinsoku/>
              <w:wordWrap/>
              <w:overflowPunct/>
              <w:topLinePunct w:val="0"/>
              <w:autoSpaceDE/>
              <w:autoSpaceDN/>
              <w:bidi w:val="0"/>
              <w:adjustRightInd/>
              <w:snapToGrid/>
              <w:ind w:left="0" w:leftChars="0" w:firstLine="0" w:firstLineChars="0"/>
              <w:textAlignment w:val="baseline"/>
              <w:rPr>
                <w:rFonts w:hint="eastAsia" w:ascii="Times New Roman" w:hAnsi="Times New Roman" w:cs="Times New Roman"/>
                <w:b/>
                <w:color w:val="000000" w:themeColor="text1"/>
                <w:sz w:val="24"/>
                <w:szCs w:val="24"/>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w:t>
            </w:r>
            <w:r>
              <w:rPr>
                <w:rFonts w:hint="default" w:ascii="Times New Roman" w:hAnsi="Times New Roman" w:cs="Times New Roman"/>
                <w:b/>
                <w:color w:val="000000" w:themeColor="text1"/>
                <w:sz w:val="24"/>
                <w:szCs w:val="24"/>
                <w:lang w:val="en-US" w:eastAsia="zh-CN"/>
                <w14:textFill>
                  <w14:solidFill>
                    <w14:schemeClr w14:val="tx1"/>
                  </w14:solidFill>
                </w14:textFill>
              </w:rPr>
              <w:t>.</w:t>
            </w:r>
            <w:r>
              <w:rPr>
                <w:rFonts w:hint="eastAsia" w:ascii="Times New Roman" w:cs="Times New Roman"/>
                <w:b/>
                <w:color w:val="000000" w:themeColor="text1"/>
                <w:sz w:val="24"/>
                <w:szCs w:val="24"/>
                <w:lang w:val="en-US" w:eastAsia="zh-CN"/>
                <w14:textFill>
                  <w14:solidFill>
                    <w14:schemeClr w14:val="tx1"/>
                  </w14:solidFill>
                </w14:textFill>
              </w:rPr>
              <w:t>2提水泵站</w:t>
            </w:r>
            <w:r>
              <w:rPr>
                <w:rFonts w:hint="default" w:ascii="Times New Roman" w:hAnsi="Times New Roman" w:cs="Times New Roman"/>
                <w:b/>
                <w:color w:val="000000" w:themeColor="text1"/>
                <w:sz w:val="24"/>
                <w:szCs w:val="24"/>
                <w:lang w:val="en-US" w:eastAsia="zh-CN"/>
                <w14:textFill>
                  <w14:solidFill>
                    <w14:schemeClr w14:val="tx1"/>
                  </w14:solidFill>
                </w14:textFill>
              </w:rPr>
              <w:t>工艺流程及产污环节见图</w:t>
            </w:r>
            <w:r>
              <w:rPr>
                <w:rFonts w:hint="eastAsia" w:ascii="Times New Roman" w:hAnsi="Times New Roman" w:cs="Times New Roman"/>
                <w:b/>
                <w:color w:val="000000" w:themeColor="text1"/>
                <w:sz w:val="24"/>
                <w:szCs w:val="24"/>
                <w:lang w:val="en-US" w:eastAsia="zh-CN"/>
                <w14:textFill>
                  <w14:solidFill>
                    <w14:schemeClr w14:val="tx1"/>
                  </w14:solidFill>
                </w14:textFill>
              </w:rPr>
              <w:t>5-2。</w:t>
            </w:r>
          </w:p>
          <w:p w14:paraId="2F033F3E">
            <w:pPr>
              <w:pStyle w:val="36"/>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eastAsia" w:ascii="Times New Roman" w:hAnsi="Times New Roman" w:cs="Times New Roman"/>
                <w:b/>
                <w:color w:val="000000" w:themeColor="text1"/>
                <w:sz w:val="21"/>
                <w:szCs w:val="21"/>
                <w:lang w:val="en-US" w:eastAsia="zh-CN"/>
                <w14:textFill>
                  <w14:solidFill>
                    <w14:schemeClr w14:val="tx1"/>
                  </w14:solidFill>
                </w14:textFill>
              </w:rPr>
            </w:pPr>
            <w:r>
              <w:rPr>
                <w:color w:val="000000" w:themeColor="text1"/>
                <w:sz w:val="21"/>
                <w:szCs w:val="21"/>
                <w14:textFill>
                  <w14:solidFill>
                    <w14:schemeClr w14:val="tx1"/>
                  </w14:solidFill>
                </w14:textFill>
              </w:rPr>
              <mc:AlternateContent>
                <mc:Choice Requires="wpc">
                  <w:drawing>
                    <wp:anchor distT="0" distB="0" distL="114300" distR="114300" simplePos="0" relativeHeight="251659264" behindDoc="0" locked="0" layoutInCell="1" allowOverlap="1">
                      <wp:simplePos x="0" y="0"/>
                      <wp:positionH relativeFrom="column">
                        <wp:posOffset>0</wp:posOffset>
                      </wp:positionH>
                      <wp:positionV relativeFrom="paragraph">
                        <wp:posOffset>-6228080</wp:posOffset>
                      </wp:positionV>
                      <wp:extent cx="4885690" cy="3191510"/>
                      <wp:effectExtent l="0" t="0" r="0" b="8890"/>
                      <wp:wrapTopAndBottom/>
                      <wp:docPr id="70" name="画布 70"/>
                      <wp:cNvGraphicFramePr/>
                      <a:graphic xmlns:a="http://schemas.openxmlformats.org/drawingml/2006/main">
                        <a:graphicData uri="http://schemas.microsoft.com/office/word/2010/wordprocessingCanvas">
                          <wpc:wpc>
                            <wpc:bg/>
                            <wpc:whole/>
                            <wps:wsp>
                              <wps:cNvPr id="74" name="文本框 74"/>
                              <wps:cNvSpPr txBox="1"/>
                              <wps:spPr>
                                <a:xfrm>
                                  <a:off x="2043430" y="106680"/>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065C3B2">
                                    <w:pPr>
                                      <w:ind w:left="0" w:leftChars="0" w:firstLine="0" w:firstLineChars="0"/>
                                      <w:rPr>
                                        <w:rFonts w:hint="eastAsia" w:eastAsia="宋体"/>
                                        <w:lang w:eastAsia="zh-CN"/>
                                      </w:rPr>
                                    </w:pPr>
                                    <w:r>
                                      <w:rPr>
                                        <w:rFonts w:hint="eastAsia"/>
                                        <w:lang w:eastAsia="zh-CN"/>
                                      </w:rPr>
                                      <w:t>施工准备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75"/>
                              <wps:cNvCnPr/>
                              <wps:spPr>
                                <a:xfrm flipH="1">
                                  <a:off x="2444115" y="398145"/>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6" name="文本框 76"/>
                              <wps:cNvSpPr txBox="1"/>
                              <wps:spPr>
                                <a:xfrm>
                                  <a:off x="2044065" y="648970"/>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827C523">
                                    <w:pPr>
                                      <w:ind w:left="0" w:leftChars="0" w:firstLine="0" w:firstLineChars="0"/>
                                      <w:rPr>
                                        <w:rFonts w:hint="eastAsia" w:eastAsia="宋体"/>
                                        <w:lang w:eastAsia="zh-CN"/>
                                      </w:rPr>
                                    </w:pPr>
                                    <w:r>
                                      <w:rPr>
                                        <w:rFonts w:hint="eastAsia"/>
                                        <w:lang w:eastAsia="zh-CN"/>
                                      </w:rPr>
                                      <w:t>土方开挖</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 name="直接箭头连接符 77"/>
                              <wps:cNvCnPr/>
                              <wps:spPr>
                                <a:xfrm flipH="1">
                                  <a:off x="2444750" y="940435"/>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8" name="文本框 78"/>
                              <wps:cNvSpPr txBox="1"/>
                              <wps:spPr>
                                <a:xfrm>
                                  <a:off x="1962785" y="1207135"/>
                                  <a:ext cx="990600"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9352292">
                                    <w:pPr>
                                      <w:ind w:left="0" w:leftChars="0" w:firstLine="0" w:firstLineChars="0"/>
                                      <w:rPr>
                                        <w:rFonts w:hint="eastAsia" w:eastAsia="宋体"/>
                                        <w:lang w:eastAsia="zh-CN"/>
                                      </w:rPr>
                                    </w:pPr>
                                    <w:r>
                                      <w:rPr>
                                        <w:rFonts w:hint="eastAsia"/>
                                        <w:lang w:eastAsia="zh-CN"/>
                                      </w:rPr>
                                      <w:t>建筑物工程</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 name="直接箭头连接符 79"/>
                              <wps:cNvCnPr/>
                              <wps:spPr>
                                <a:xfrm flipH="1">
                                  <a:off x="2465070" y="1498600"/>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1" name="文本框 81"/>
                              <wps:cNvSpPr txBox="1"/>
                              <wps:spPr>
                                <a:xfrm>
                                  <a:off x="2057400" y="1751330"/>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51FE24B">
                                    <w:pPr>
                                      <w:ind w:left="0" w:leftChars="0" w:firstLine="0" w:firstLineChars="0"/>
                                      <w:rPr>
                                        <w:rFonts w:hint="eastAsia" w:eastAsia="宋体"/>
                                        <w:lang w:eastAsia="zh-CN"/>
                                      </w:rPr>
                                    </w:pPr>
                                    <w:r>
                                      <w:rPr>
                                        <w:rFonts w:hint="eastAsia"/>
                                        <w:lang w:eastAsia="zh-CN"/>
                                      </w:rPr>
                                      <w:t>设备安装</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 name="直接箭头连接符 82"/>
                              <wps:cNvCnPr/>
                              <wps:spPr>
                                <a:xfrm flipH="1">
                                  <a:off x="2458085" y="2042795"/>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3" name="文本框 83"/>
                              <wps:cNvSpPr txBox="1"/>
                              <wps:spPr>
                                <a:xfrm>
                                  <a:off x="2071370" y="2295525"/>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98F7C64">
                                    <w:pPr>
                                      <w:ind w:left="0" w:leftChars="0" w:firstLine="0" w:firstLineChars="0"/>
                                      <w:rPr>
                                        <w:rFonts w:hint="eastAsia" w:eastAsia="宋体"/>
                                        <w:lang w:eastAsia="zh-CN"/>
                                      </w:rPr>
                                    </w:pPr>
                                    <w:r>
                                      <w:rPr>
                                        <w:rFonts w:hint="eastAsia"/>
                                        <w:lang w:eastAsia="zh-CN"/>
                                      </w:rPr>
                                      <w:t>土方回填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 name="直接箭头连接符 84"/>
                              <wps:cNvCnPr/>
                              <wps:spPr>
                                <a:xfrm flipH="1">
                                  <a:off x="2472055" y="2586990"/>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7" name="文本框 87"/>
                              <wps:cNvSpPr txBox="1"/>
                              <wps:spPr>
                                <a:xfrm>
                                  <a:off x="2084705" y="2846705"/>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F97DA16">
                                    <w:pPr>
                                      <w:ind w:left="0" w:leftChars="0" w:firstLine="210" w:firstLineChars="100"/>
                                      <w:rPr>
                                        <w:rFonts w:hint="eastAsia" w:eastAsia="宋体"/>
                                        <w:lang w:eastAsia="zh-CN"/>
                                      </w:rPr>
                                    </w:pPr>
                                    <w:r>
                                      <w:rPr>
                                        <w:rFonts w:hint="eastAsia"/>
                                        <w:lang w:eastAsia="zh-CN"/>
                                      </w:rPr>
                                      <w:t>完工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8" name="文本框 88"/>
                              <wps:cNvSpPr txBox="1"/>
                              <wps:spPr>
                                <a:xfrm>
                                  <a:off x="3274695" y="648335"/>
                                  <a:ext cx="1352550" cy="331470"/>
                                </a:xfrm>
                                <a:prstGeom prst="rect">
                                  <a:avLst/>
                                </a:prstGeom>
                                <a:noFill/>
                                <a:ln>
                                  <a:noFill/>
                                </a:ln>
                                <a:effectLst/>
                              </wps:spPr>
                              <wps:txbx>
                                <w:txbxContent>
                                  <w:p w14:paraId="4255B53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txbxContent>
                              </wps:txbx>
                              <wps:bodyPr upright="1"/>
                            </wps:wsp>
                            <wps:wsp>
                              <wps:cNvPr id="89" name="直接连接符 89"/>
                              <wps:cNvCnPr/>
                              <wps:spPr>
                                <a:xfrm>
                                  <a:off x="2870200" y="792480"/>
                                  <a:ext cx="419100" cy="2540"/>
                                </a:xfrm>
                                <a:prstGeom prst="line">
                                  <a:avLst/>
                                </a:prstGeom>
                                <a:ln w="9525" cap="flat" cmpd="sng">
                                  <a:solidFill>
                                    <a:srgbClr val="000000"/>
                                  </a:solidFill>
                                  <a:prstDash val="dashDot"/>
                                  <a:headEnd type="none" w="med" len="med"/>
                                  <a:tailEnd type="triangle" w="med" len="med"/>
                                </a:ln>
                                <a:effectLst/>
                              </wps:spPr>
                              <wps:bodyPr upright="1"/>
                            </wps:wsp>
                            <wps:wsp>
                              <wps:cNvPr id="90" name="文本框 90"/>
                              <wps:cNvSpPr txBox="1"/>
                              <wps:spPr>
                                <a:xfrm>
                                  <a:off x="3354070" y="1195705"/>
                                  <a:ext cx="1337310" cy="331470"/>
                                </a:xfrm>
                                <a:prstGeom prst="rect">
                                  <a:avLst/>
                                </a:prstGeom>
                                <a:noFill/>
                                <a:ln>
                                  <a:noFill/>
                                </a:ln>
                                <a:effectLst/>
                              </wps:spPr>
                              <wps:txbx>
                                <w:txbxContent>
                                  <w:p w14:paraId="2B164476">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65D902C3">
                                    <w:pPr>
                                      <w:rPr>
                                        <w:sz w:val="21"/>
                                        <w:szCs w:val="21"/>
                                      </w:rPr>
                                    </w:pPr>
                                  </w:p>
                                </w:txbxContent>
                              </wps:txbx>
                              <wps:bodyPr upright="1"/>
                            </wps:wsp>
                            <wps:wsp>
                              <wps:cNvPr id="91" name="直接连接符 91"/>
                              <wps:cNvCnPr/>
                              <wps:spPr>
                                <a:xfrm>
                                  <a:off x="2949575" y="1339850"/>
                                  <a:ext cx="419100" cy="2540"/>
                                </a:xfrm>
                                <a:prstGeom prst="line">
                                  <a:avLst/>
                                </a:prstGeom>
                                <a:ln w="9525" cap="flat" cmpd="sng">
                                  <a:solidFill>
                                    <a:srgbClr val="000000"/>
                                  </a:solidFill>
                                  <a:prstDash val="dashDot"/>
                                  <a:headEnd type="none" w="med" len="med"/>
                                  <a:tailEnd type="triangle" w="med" len="med"/>
                                </a:ln>
                                <a:effectLst/>
                              </wps:spPr>
                              <wps:bodyPr upright="1"/>
                            </wps:wsp>
                            <wps:wsp>
                              <wps:cNvPr id="92" name="文本框 92"/>
                              <wps:cNvSpPr txBox="1"/>
                              <wps:spPr>
                                <a:xfrm>
                                  <a:off x="3275330" y="1743710"/>
                                  <a:ext cx="1047750" cy="302895"/>
                                </a:xfrm>
                                <a:prstGeom prst="rect">
                                  <a:avLst/>
                                </a:prstGeom>
                                <a:noFill/>
                                <a:ln>
                                  <a:noFill/>
                                </a:ln>
                                <a:effectLst/>
                              </wps:spPr>
                              <wps:txbx>
                                <w:txbxContent>
                                  <w:p w14:paraId="11B2032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、噪声</w:t>
                                    </w:r>
                                  </w:p>
                                </w:txbxContent>
                              </wps:txbx>
                              <wps:bodyPr upright="1"/>
                            </wps:wsp>
                            <wps:wsp>
                              <wps:cNvPr id="93" name="直接连接符 93"/>
                              <wps:cNvCnPr/>
                              <wps:spPr>
                                <a:xfrm>
                                  <a:off x="2870835" y="1887855"/>
                                  <a:ext cx="419100" cy="2540"/>
                                </a:xfrm>
                                <a:prstGeom prst="line">
                                  <a:avLst/>
                                </a:prstGeom>
                                <a:ln w="9525" cap="flat" cmpd="sng">
                                  <a:solidFill>
                                    <a:srgbClr val="000000"/>
                                  </a:solidFill>
                                  <a:prstDash val="dashDot"/>
                                  <a:headEnd type="none" w="med" len="med"/>
                                  <a:tailEnd type="triangle" w="med" len="med"/>
                                </a:ln>
                                <a:effectLst/>
                              </wps:spPr>
                              <wps:bodyPr upright="1"/>
                            </wps:wsp>
                            <wps:wsp>
                              <wps:cNvPr id="94" name="文本框 94"/>
                              <wps:cNvSpPr txBox="1"/>
                              <wps:spPr>
                                <a:xfrm>
                                  <a:off x="3298825" y="2291080"/>
                                  <a:ext cx="1369060" cy="302895"/>
                                </a:xfrm>
                                <a:prstGeom prst="rect">
                                  <a:avLst/>
                                </a:prstGeom>
                                <a:noFill/>
                                <a:ln>
                                  <a:noFill/>
                                </a:ln>
                                <a:effectLst/>
                              </wps:spPr>
                              <wps:txbx>
                                <w:txbxContent>
                                  <w:p w14:paraId="5EF06841">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503E4DB9">
                                    <w:pPr>
                                      <w:rPr>
                                        <w:sz w:val="21"/>
                                        <w:szCs w:val="21"/>
                                      </w:rPr>
                                    </w:pPr>
                                  </w:p>
                                </w:txbxContent>
                              </wps:txbx>
                              <wps:bodyPr upright="1"/>
                            </wps:wsp>
                            <wps:wsp>
                              <wps:cNvPr id="95" name="直接连接符 95"/>
                              <wps:cNvCnPr/>
                              <wps:spPr>
                                <a:xfrm>
                                  <a:off x="2894330" y="2435225"/>
                                  <a:ext cx="419100" cy="2540"/>
                                </a:xfrm>
                                <a:prstGeom prst="line">
                                  <a:avLst/>
                                </a:prstGeom>
                                <a:ln w="9525" cap="flat" cmpd="sng">
                                  <a:solidFill>
                                    <a:srgbClr val="000000"/>
                                  </a:solidFill>
                                  <a:prstDash val="dashDot"/>
                                  <a:headEnd type="none" w="med" len="med"/>
                                  <a:tailEnd type="triangle" w="med" len="med"/>
                                </a:ln>
                                <a:effectLst/>
                              </wps:spPr>
                              <wps:bodyPr upright="1"/>
                            </wps:wsp>
                          </wpc:wpc>
                        </a:graphicData>
                      </a:graphic>
                    </wp:anchor>
                  </w:drawing>
                </mc:Choice>
                <mc:Fallback>
                  <w:pict>
                    <v:group id="_x0000_s1026" o:spid="_x0000_s1026" o:spt="203" style="position:absolute;left:0pt;margin-left:0pt;margin-top:-490.4pt;height:251.3pt;width:384.7pt;mso-wrap-distance-bottom:0pt;mso-wrap-distance-top:0pt;z-index:251659264;mso-width-relative:page;mso-height-relative:page;" coordsize="4885690,3191510" editas="canvas" o:gfxdata="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">
                      <o:lock v:ext="edit" aspectratio="f"/>
                      <v:shape id="_x0000_s1026" o:spid="_x0000_s1026" style="position:absolute;left:0;top:0;height:3191510;width:4885690;" filled="f" stroked="f" coordsize="21600,21600" o:gfxdata="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">
                        <v:fill on="f" focussize="0,0"/>
                        <v:stroke on="f"/>
                        <v:imagedata o:title=""/>
                        <o:lock v:ext="edit" aspectratio="f"/>
                      </v:shape>
                      <v:shape id="_x0000_s1026" o:spid="_x0000_s1026" o:spt="202" type="#_x0000_t202" style="position:absolute;left:2043430;top:106680;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6ymrw9cAAAAKAQAADwAAAAAAAAABACAAAAAiAAAAZHJzL2Rvd25yZXYueG1sUEsBAhQA&#10;FAAAAAgAh07iQGUIQ+xlAgAAwwQAAA4AAAAAAAAAAQAgAAAAJgEAAGRycy9lMm9Eb2MueG1sUEsF&#10;BgAAAAAGAAYAWQEAAP0FAAAAAA==&#10;">
                        <v:fill on="t" focussize="0,0"/>
                        <v:stroke weight="0.5pt" color="#000000 [3204]" joinstyle="round"/>
                        <v:imagedata o:title=""/>
                        <o:lock v:ext="edit" aspectratio="f"/>
                        <v:textbox>
                          <w:txbxContent>
                            <w:p w14:paraId="7065C3B2">
                              <w:pPr>
                                <w:ind w:left="0" w:leftChars="0" w:firstLine="0" w:firstLineChars="0"/>
                                <w:rPr>
                                  <w:rFonts w:hint="eastAsia" w:eastAsia="宋体"/>
                                  <w:lang w:eastAsia="zh-CN"/>
                                </w:rPr>
                              </w:pPr>
                              <w:r>
                                <w:rPr>
                                  <w:rFonts w:hint="eastAsia"/>
                                  <w:lang w:eastAsia="zh-CN"/>
                                </w:rPr>
                                <w:t>施工准备</w:t>
                              </w:r>
                            </w:p>
                          </w:txbxContent>
                        </v:textbox>
                      </v:shape>
                      <v:shape id="_x0000_s1026" o:spid="_x0000_s1026" o:spt="32" type="#_x0000_t32" style="position:absolute;left:2444115;top:398145;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gp6/q9oAAAAKAQAADwAAAAAAAAABACAAAAAiAAAAZHJzL2Rvd25yZXYueG1sUEsBAhQA&#10;FAAAAAgAh07iQMzdlUUpAgAAHwQAAA4AAAAAAAAAAQAgAAAAKQEAAGRycy9lMm9Eb2MueG1sUEsF&#10;BgAAAAAGAAYAWQEAAMQFAAAAAA==&#10;">
                        <v:fill on="f" focussize="0,0"/>
                        <v:stroke color="#000000 [3213]" joinstyle="round" endarrow="block"/>
                        <v:imagedata o:title=""/>
                        <o:lock v:ext="edit" aspectratio="f"/>
                      </v:shape>
                      <v:shape id="_x0000_s1026" o:spid="_x0000_s1026" o:spt="202" type="#_x0000_t202" style="position:absolute;left:2044065;top:648970;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6ymrw9cAAAAKAQAADwAAAAAAAAABACAAAAAiAAAAZHJzL2Rvd25yZXYueG1sUEsBAhQA&#10;FAAAAAgAh07iQEgHoRBlAgAAwwQAAA4AAAAAAAAAAQAgAAAAJgEAAGRycy9lMm9Eb2MueG1sUEsF&#10;BgAAAAAGAAYAWQEAAP0FAAAAAA==&#10;">
                        <v:fill on="t" focussize="0,0"/>
                        <v:stroke weight="0.5pt" color="#000000 [3204]" joinstyle="round"/>
                        <v:imagedata o:title=""/>
                        <o:lock v:ext="edit" aspectratio="f"/>
                        <v:textbox>
                          <w:txbxContent>
                            <w:p w14:paraId="5827C523">
                              <w:pPr>
                                <w:ind w:left="0" w:leftChars="0" w:firstLine="0" w:firstLineChars="0"/>
                                <w:rPr>
                                  <w:rFonts w:hint="eastAsia" w:eastAsia="宋体"/>
                                  <w:lang w:eastAsia="zh-CN"/>
                                </w:rPr>
                              </w:pPr>
                              <w:r>
                                <w:rPr>
                                  <w:rFonts w:hint="eastAsia"/>
                                  <w:lang w:eastAsia="zh-CN"/>
                                </w:rPr>
                                <w:t>土方开挖</w:t>
                              </w:r>
                            </w:p>
                          </w:txbxContent>
                        </v:textbox>
                      </v:shape>
                      <v:shape id="_x0000_s1026" o:spid="_x0000_s1026" o:spt="32" type="#_x0000_t32" style="position:absolute;left:2444750;top:940435;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rZxfQygCAAAf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1962785;top:1207135;height:294640;width:990600;"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spq8PXAAAACgEAAA8AAAAAAAAAAQAgAAAAIgAAAGRycy9kb3ducmV2LnhtbFBLAQIU&#10;ABQAAAAIAIdO4kC/WSVjZgIAAMQEAAAOAAAAAAAAAAEAIAAAACYBAABkcnMvZTJvRG9jLnhtbFBL&#10;BQYAAAAABgAGAFkBAAD+BQAAAAA=&#10;">
                        <v:fill on="t" focussize="0,0"/>
                        <v:stroke weight="0.5pt" color="#000000 [3204]" joinstyle="round"/>
                        <v:imagedata o:title=""/>
                        <o:lock v:ext="edit" aspectratio="f"/>
                        <v:textbox>
                          <w:txbxContent>
                            <w:p w14:paraId="49352292">
                              <w:pPr>
                                <w:ind w:left="0" w:leftChars="0" w:firstLine="0" w:firstLineChars="0"/>
                                <w:rPr>
                                  <w:rFonts w:hint="eastAsia" w:eastAsia="宋体"/>
                                  <w:lang w:eastAsia="zh-CN"/>
                                </w:rPr>
                              </w:pPr>
                              <w:r>
                                <w:rPr>
                                  <w:rFonts w:hint="eastAsia"/>
                                  <w:lang w:eastAsia="zh-CN"/>
                                </w:rPr>
                                <w:t>建筑物工程</w:t>
                              </w:r>
                            </w:p>
                          </w:txbxContent>
                        </v:textbox>
                      </v:shape>
                      <v:shape id="_x0000_s1026" o:spid="_x0000_s1026" o:spt="32" type="#_x0000_t32" style="position:absolute;left:2465070;top:1498600;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hat7ygCAAAg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2057400;top:1751330;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6ymrw9cAAAAKAQAADwAAAAAAAAABACAAAAAiAAAAZHJzL2Rvd25yZXYueG1sUEsBAhQA&#10;FAAAAAgAh07iQPquE0tlAgAAxAQAAA4AAAAAAAAAAQAgAAAAJgEAAGRycy9lMm9Eb2MueG1sUEsF&#10;BgAAAAAGAAYAWQEAAP0FAAAAAA==&#10;">
                        <v:fill on="t" focussize="0,0"/>
                        <v:stroke weight="0.5pt" color="#000000 [3204]" joinstyle="round"/>
                        <v:imagedata o:title=""/>
                        <o:lock v:ext="edit" aspectratio="f"/>
                        <v:textbox>
                          <w:txbxContent>
                            <w:p w14:paraId="351FE24B">
                              <w:pPr>
                                <w:ind w:left="0" w:leftChars="0" w:firstLine="0" w:firstLineChars="0"/>
                                <w:rPr>
                                  <w:rFonts w:hint="eastAsia" w:eastAsia="宋体"/>
                                  <w:lang w:eastAsia="zh-CN"/>
                                </w:rPr>
                              </w:pPr>
                              <w:r>
                                <w:rPr>
                                  <w:rFonts w:hint="eastAsia"/>
                                  <w:lang w:eastAsia="zh-CN"/>
                                </w:rPr>
                                <w:t>设备安装</w:t>
                              </w:r>
                            </w:p>
                          </w:txbxContent>
                        </v:textbox>
                      </v:shape>
                      <v:shape id="_x0000_s1026" o:spid="_x0000_s1026" o:spt="32" type="#_x0000_t32" style="position:absolute;left:2458085;top:2042795;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pbHSmSgCAAAg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2071370;top:2295525;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spq8PXAAAACgEAAA8AAAAAAAAAAQAgAAAAIgAAAGRycy9kb3ducmV2LnhtbFBLAQIU&#10;ABQAAAAIAIdO4kCPHEGeZgIAAMQEAAAOAAAAAAAAAAEAIAAAACYBAABkcnMvZTJvRG9jLnhtbFBL&#10;BQYAAAAABgAGAFkBAAD+BQAAAAA=&#10;">
                        <v:fill on="t" focussize="0,0"/>
                        <v:stroke weight="0.5pt" color="#000000 [3204]" joinstyle="round"/>
                        <v:imagedata o:title=""/>
                        <o:lock v:ext="edit" aspectratio="f"/>
                        <v:textbox>
                          <w:txbxContent>
                            <w:p w14:paraId="498F7C64">
                              <w:pPr>
                                <w:ind w:left="0" w:leftChars="0" w:firstLine="0" w:firstLineChars="0"/>
                                <w:rPr>
                                  <w:rFonts w:hint="eastAsia" w:eastAsia="宋体"/>
                                  <w:lang w:eastAsia="zh-CN"/>
                                </w:rPr>
                              </w:pPr>
                              <w:r>
                                <w:rPr>
                                  <w:rFonts w:hint="eastAsia"/>
                                  <w:lang w:eastAsia="zh-CN"/>
                                </w:rPr>
                                <w:t>土方回填</w:t>
                              </w:r>
                            </w:p>
                          </w:txbxContent>
                        </v:textbox>
                      </v:shape>
                      <v:shape id="_x0000_s1026" o:spid="_x0000_s1026" o:spt="32" type="#_x0000_t32" style="position:absolute;left:2472055;top:2586990;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ZtVufCgCAAAg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2084705;top:2846705;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6ymrw9cAAAAKAQAADwAAAAAAAAABACAAAAAiAAAAZHJzL2Rvd25yZXYueG1sUEsBAhQAFAAA&#10;AAgAh07iQCY0S7ViAgAAxAQAAA4AAAAAAAAAAQAgAAAAJgEAAGRycy9lMm9Eb2MueG1sUEsFBgAA&#10;AAAGAAYAWQEAAPoFAAAAAA==&#10;">
                        <v:fill on="t" focussize="0,0"/>
                        <v:stroke weight="0.5pt" color="#000000 [3204]" joinstyle="round"/>
                        <v:imagedata o:title=""/>
                        <o:lock v:ext="edit" aspectratio="f"/>
                        <v:textbox>
                          <w:txbxContent>
                            <w:p w14:paraId="6F97DA16">
                              <w:pPr>
                                <w:ind w:left="0" w:leftChars="0" w:firstLine="210" w:firstLineChars="100"/>
                                <w:rPr>
                                  <w:rFonts w:hint="eastAsia" w:eastAsia="宋体"/>
                                  <w:lang w:eastAsia="zh-CN"/>
                                </w:rPr>
                              </w:pPr>
                              <w:r>
                                <w:rPr>
                                  <w:rFonts w:hint="eastAsia"/>
                                  <w:lang w:eastAsia="zh-CN"/>
                                </w:rPr>
                                <w:t>完工</w:t>
                              </w:r>
                            </w:p>
                          </w:txbxContent>
                        </v:textbox>
                      </v:shape>
                      <v:shape id="_x0000_s1026" o:spid="_x0000_s1026" o:spt="202" type="#_x0000_t202" style="position:absolute;left:3274695;top:648335;height:331470;width:135255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BdMPrtcAAAAKAQAADwAAAAAAAAABACAAAAAiAAAAZHJzL2Rvd25yZXYueG1s&#10;UEsBAhQAFAAAAAgAh07iQAmoMIfAAQAAaQMAAA4AAAAAAAAAAQAgAAAAJgEAAGRycy9lMm9Eb2Mu&#10;eG1sUEsFBgAAAAAGAAYAWQEAAFgFAAAAAA==&#10;">
                        <v:fill on="f" focussize="0,0"/>
                        <v:stroke on="f"/>
                        <v:imagedata o:title=""/>
                        <o:lock v:ext="edit" aspectratio="f"/>
                        <v:textbox>
                          <w:txbxContent>
                            <w:p w14:paraId="4255B53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txbxContent>
                        </v:textbox>
                      </v:shape>
                      <v:line id="_x0000_s1026" o:spid="_x0000_s1026" o:spt="20" style="position:absolute;left:2870200;top:792480;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rGfNG2gAAAAoBAAAPAAAA&#10;AAAAAAEAIAAAACIAAABkcnMvZG93bnJldi54bWxQSwECFAAUAAAACACHTuJAR+8QJhMCAAAHBAAA&#10;DgAAAAAAAAABACAAAAApAQAAZHJzL2Uyb0RvYy54bWxQSwUGAAAAAAYABgBZAQAArgUAAAAA&#10;">
                        <v:fill on="f" focussize="0,0"/>
                        <v:stroke color="#000000" joinstyle="round" dashstyle="dashDot" endarrow="block"/>
                        <v:imagedata o:title=""/>
                        <o:lock v:ext="edit" aspectratio="f"/>
                      </v:line>
                      <v:shape id="_x0000_s1026" o:spid="_x0000_s1026" o:spt="202" type="#_x0000_t202" style="position:absolute;left:3354070;top:1195705;height:331470;width:133731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BdMPrtcAAAAKAQAADwAAAAAAAAABACAAAAAiAAAAZHJzL2Rvd25yZXYueG1sUEsB&#10;AhQAFAAAAAgAh07iQFpJbfO9AQAAagMAAA4AAAAAAAAAAQAgAAAAJgEAAGRycy9lMm9Eb2MueG1s&#10;UEsFBgAAAAAGAAYAWQEAAFUFAAAAAA==&#10;">
                        <v:fill on="f" focussize="0,0"/>
                        <v:stroke on="f"/>
                        <v:imagedata o:title=""/>
                        <o:lock v:ext="edit" aspectratio="f"/>
                        <v:textbox>
                          <w:txbxContent>
                            <w:p w14:paraId="2B164476">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65D902C3">
                              <w:pPr>
                                <w:rPr>
                                  <w:sz w:val="21"/>
                                  <w:szCs w:val="21"/>
                                </w:rPr>
                              </w:pPr>
                            </w:p>
                          </w:txbxContent>
                        </v:textbox>
                      </v:shape>
                      <v:line id="_x0000_s1026" o:spid="_x0000_s1026" o:spt="20" style="position:absolute;left:2949575;top:1339850;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sZ80baAAAACgEAAA8A&#10;AAAAAAAAAQAgAAAAIgAAAGRycy9kb3ducmV2LnhtbFBLAQIUABQAAAAIAIdO4kCP3XsjFQIAAAgE&#10;AAAOAAAAAAAAAAEAIAAAACkBAABkcnMvZTJvRG9jLnhtbFBLBQYAAAAABgAGAFkBAACwBQAAAAA=&#10;">
                        <v:fill on="f" focussize="0,0"/>
                        <v:stroke color="#000000" joinstyle="round" dashstyle="dashDot" endarrow="block"/>
                        <v:imagedata o:title=""/>
                        <o:lock v:ext="edit" aspectratio="f"/>
                      </v:line>
                      <v:shape id="_x0000_s1026" o:spid="_x0000_s1026" o:spt="202" type="#_x0000_t202" style="position:absolute;left:3275330;top:1743710;height:302895;width:104775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AXTD67XAAAACgEAAA8AAAAAAAAAAQAgAAAAIgAAAGRycy9kb3ducmV2LnhtbFBL&#10;AQIUABQAAAAIAIdO4kAWQc3nvgEAAGoDAAAOAAAAAAAAAAEAIAAAACYBAABkcnMvZTJvRG9jLnht&#10;bFBLBQYAAAAABgAGAFkBAABWBQAAAAA=&#10;">
                        <v:fill on="f" focussize="0,0"/>
                        <v:stroke on="f"/>
                        <v:imagedata o:title=""/>
                        <o:lock v:ext="edit" aspectratio="f"/>
                        <v:textbox>
                          <w:txbxContent>
                            <w:p w14:paraId="11B2032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、噪声</w:t>
                              </w:r>
                            </w:p>
                          </w:txbxContent>
                        </v:textbox>
                      </v:shape>
                      <v:line id="_x0000_s1026" o:spid="_x0000_s1026" o:spt="20" style="position:absolute;left:2870835;top:1887855;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GfNG2gAAAAoBAAAP&#10;AAAAAAAAAAEAIAAAACIAAABkcnMvZG93bnJldi54bWxQSwECFAAUAAAACACHTuJAHMOJsRYCAAAI&#10;BAAADgAAAAAAAAABACAAAAApAQAAZHJzL2Uyb0RvYy54bWxQSwUGAAAAAAYABgBZAQAAsQUAAAAA&#10;">
                        <v:fill on="f" focussize="0,0"/>
                        <v:stroke color="#000000" joinstyle="round" dashstyle="dashDot" endarrow="block"/>
                        <v:imagedata o:title=""/>
                        <o:lock v:ext="edit" aspectratio="f"/>
                      </v:line>
                      <v:shape id="_x0000_s1026" o:spid="_x0000_s1026" o:spt="202" type="#_x0000_t202" style="position:absolute;left:3298825;top:2291080;height:302895;width:136906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F0w+u1wAAAAoBAAAPAAAAAAAAAAEAIAAAACIAAABkcnMvZG93bnJldi54bWxQ&#10;SwECFAAUAAAACACHTuJArSY4fb8BAABqAwAADgAAAAAAAAABACAAAAAmAQAAZHJzL2Uyb0RvYy54&#10;bWxQSwUGAAAAAAYABgBZAQAAVwUAAAAA&#10;">
                        <v:fill on="f" focussize="0,0"/>
                        <v:stroke on="f"/>
                        <v:imagedata o:title=""/>
                        <o:lock v:ext="edit" aspectratio="f"/>
                        <v:textbox>
                          <w:txbxContent>
                            <w:p w14:paraId="5EF06841">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503E4DB9">
                              <w:pPr>
                                <w:rPr>
                                  <w:sz w:val="21"/>
                                  <w:szCs w:val="21"/>
                                </w:rPr>
                              </w:pPr>
                            </w:p>
                          </w:txbxContent>
                        </v:textbox>
                      </v:shape>
                      <v:line id="_x0000_s1026" o:spid="_x0000_s1026" o:spt="20" style="position:absolute;left:2894330;top:2435225;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sZ80baAAAACgEAAA8AAAAA&#10;AAAAAQAgAAAAIgAAAGRycy9kb3ducmV2LnhtbFBLAQIUABQAAAAIAIdO4kAihiIgEgIAAAgEAAAO&#10;AAAAAAAAAAEAIAAAACkBAABkcnMvZTJvRG9jLnhtbFBLBQYAAAAABgAGAFkBAACtBQAAAAA=&#10;">
                        <v:fill on="f" focussize="0,0"/>
                        <v:stroke color="#000000" joinstyle="round" dashstyle="dashDot" endarrow="block"/>
                        <v:imagedata o:title=""/>
                        <o:lock v:ext="edit" aspectratio="f"/>
                      </v:line>
                      <w10:wrap type="topAndBottom"/>
                    </v:group>
                  </w:pict>
                </mc:Fallback>
              </mc:AlternateContent>
            </w: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 xml:space="preserve">5-2 </w:t>
            </w:r>
            <w:r>
              <w:rPr>
                <w:rFonts w:hint="default" w:ascii="Times New Roman" w:hAnsi="Times New Roman" w:eastAsia="宋体" w:cs="Times New Roman"/>
                <w:b/>
                <w:bCs/>
                <w:color w:val="000000" w:themeColor="text1"/>
                <w:sz w:val="21"/>
                <w:szCs w:val="21"/>
                <w14:textFill>
                  <w14:solidFill>
                    <w14:schemeClr w14:val="tx1"/>
                  </w14:solidFill>
                </w14:textFill>
              </w:rPr>
              <w:t xml:space="preserve"> 提</w:t>
            </w:r>
            <w:r>
              <w:rPr>
                <w:rFonts w:hint="eastAsia" w:ascii="Times New Roman" w:hAnsi="Times New Roman" w:eastAsia="宋体" w:cs="Times New Roman"/>
                <w:b/>
                <w:bCs/>
                <w:color w:val="000000" w:themeColor="text1"/>
                <w:sz w:val="21"/>
                <w:szCs w:val="21"/>
                <w:lang w:eastAsia="zh-CN"/>
                <w14:textFill>
                  <w14:solidFill>
                    <w14:schemeClr w14:val="tx1"/>
                  </w14:solidFill>
                </w14:textFill>
              </w:rPr>
              <w:t>水</w:t>
            </w:r>
            <w:r>
              <w:rPr>
                <w:rFonts w:hint="default" w:ascii="Times New Roman" w:hAnsi="Times New Roman" w:eastAsia="宋体" w:cs="Times New Roman"/>
                <w:b/>
                <w:bCs/>
                <w:color w:val="000000" w:themeColor="text1"/>
                <w:sz w:val="21"/>
                <w:szCs w:val="21"/>
                <w14:textFill>
                  <w14:solidFill>
                    <w14:schemeClr w14:val="tx1"/>
                  </w14:solidFill>
                </w14:textFill>
              </w:rPr>
              <w:t>泵站工程工艺流程及产污环节</w:t>
            </w:r>
          </w:p>
          <w:p w14:paraId="1EF130C9">
            <w:pPr>
              <w:pStyle w:val="36"/>
              <w:ind w:left="0" w:leftChars="0" w:firstLine="0" w:firstLineChars="0"/>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w:t>
            </w:r>
            <w:r>
              <w:rPr>
                <w:rFonts w:hint="default" w:ascii="Times New Roman" w:hAnsi="Times New Roman" w:cs="Times New Roman"/>
                <w:b/>
                <w:color w:val="000000" w:themeColor="text1"/>
                <w:sz w:val="24"/>
                <w:szCs w:val="24"/>
                <w:lang w:val="en-US" w:eastAsia="zh-CN"/>
                <w14:textFill>
                  <w14:solidFill>
                    <w14:schemeClr w14:val="tx1"/>
                  </w14:solidFill>
                </w14:textFill>
              </w:rPr>
              <w:t>.</w:t>
            </w:r>
            <w:r>
              <w:rPr>
                <w:rFonts w:hint="eastAsia" w:ascii="Times New Roman" w:cs="Times New Roman"/>
                <w:b/>
                <w:color w:val="000000" w:themeColor="text1"/>
                <w:sz w:val="24"/>
                <w:szCs w:val="24"/>
                <w:lang w:val="en-US" w:eastAsia="zh-CN"/>
                <w14:textFill>
                  <w14:solidFill>
                    <w14:schemeClr w14:val="tx1"/>
                  </w14:solidFill>
                </w14:textFill>
              </w:rPr>
              <w:t>3</w:t>
            </w:r>
            <w:r>
              <w:rPr>
                <w:rFonts w:hint="default" w:ascii="Times New Roman" w:hAnsi="Times New Roman" w:cs="Times New Roman"/>
                <w:b/>
                <w:color w:val="000000" w:themeColor="text1"/>
                <w:sz w:val="24"/>
                <w:szCs w:val="24"/>
                <w:lang w:val="en-US" w:eastAsia="zh-CN"/>
                <w14:textFill>
                  <w14:solidFill>
                    <w14:schemeClr w14:val="tx1"/>
                  </w14:solidFill>
                </w14:textFill>
              </w:rPr>
              <w:t>管线施工工艺流程及产污环节见图</w:t>
            </w:r>
            <w:r>
              <w:rPr>
                <w:rFonts w:hint="eastAsia" w:ascii="Times New Roman" w:hAnsi="Times New Roman" w:cs="Times New Roman"/>
                <w:b/>
                <w:color w:val="000000" w:themeColor="text1"/>
                <w:sz w:val="24"/>
                <w:szCs w:val="24"/>
                <w:lang w:val="en-US" w:eastAsia="zh-CN"/>
                <w14:textFill>
                  <w14:solidFill>
                    <w14:schemeClr w14:val="tx1"/>
                  </w14:solidFill>
                </w14:textFill>
              </w:rPr>
              <w:t>5-3。</w:t>
            </w:r>
          </w:p>
          <w:p w14:paraId="379D8F18">
            <w:pPr>
              <w:snapToGrid w:val="0"/>
              <w:spacing w:line="480" w:lineRule="exact"/>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sz w:val="21"/>
                <w:szCs w:val="21"/>
              </w:rPr>
              <mc:AlternateContent>
                <mc:Choice Requires="wpg">
                  <w:drawing>
                    <wp:anchor distT="0" distB="0" distL="114300" distR="114300" simplePos="0" relativeHeight="251668480" behindDoc="0" locked="0" layoutInCell="1" allowOverlap="1">
                      <wp:simplePos x="0" y="0"/>
                      <wp:positionH relativeFrom="column">
                        <wp:posOffset>419735</wp:posOffset>
                      </wp:positionH>
                      <wp:positionV relativeFrom="paragraph">
                        <wp:posOffset>173990</wp:posOffset>
                      </wp:positionV>
                      <wp:extent cx="4595495" cy="4182745"/>
                      <wp:effectExtent l="0" t="0" r="0" b="8255"/>
                      <wp:wrapTopAndBottom/>
                      <wp:docPr id="16" name="组合 16"/>
                      <wp:cNvGraphicFramePr/>
                      <a:graphic xmlns:a="http://schemas.openxmlformats.org/drawingml/2006/main">
                        <a:graphicData uri="http://schemas.microsoft.com/office/word/2010/wordprocessingGroup">
                          <wpg:wgp>
                            <wpg:cNvGrpSpPr/>
                            <wpg:grpSpPr>
                              <a:xfrm>
                                <a:off x="0" y="0"/>
                                <a:ext cx="4595751" cy="4182825"/>
                                <a:chOff x="2800" y="344806"/>
                                <a:chExt cx="7874" cy="8360"/>
                              </a:xfrm>
                            </wpg:grpSpPr>
                            <wps:wsp>
                              <wps:cNvPr id="134" name="直接连接符 134"/>
                              <wps:cNvCnPr/>
                              <wps:spPr>
                                <a:xfrm>
                                  <a:off x="6061" y="345790"/>
                                  <a:ext cx="3600" cy="12"/>
                                </a:xfrm>
                                <a:prstGeom prst="line">
                                  <a:avLst/>
                                </a:prstGeom>
                                <a:ln w="9525" cap="flat" cmpd="sng">
                                  <a:solidFill>
                                    <a:srgbClr val="000000"/>
                                  </a:solidFill>
                                  <a:prstDash val="solid"/>
                                  <a:headEnd type="none" w="med" len="med"/>
                                  <a:tailEnd type="none" w="med" len="med"/>
                                </a:ln>
                                <a:effectLst/>
                              </wps:spPr>
                              <wps:bodyPr upright="1"/>
                            </wps:wsp>
                            <wpg:grpSp>
                              <wpg:cNvPr id="15" name="组合 15"/>
                              <wpg:cNvGrpSpPr/>
                              <wpg:grpSpPr>
                                <a:xfrm>
                                  <a:off x="2800" y="344806"/>
                                  <a:ext cx="7874" cy="8360"/>
                                  <a:chOff x="2800" y="344806"/>
                                  <a:chExt cx="7874" cy="8360"/>
                                </a:xfrm>
                              </wpg:grpSpPr>
                              <wpg:grpSp>
                                <wpg:cNvPr id="9" name="组合 9"/>
                                <wpg:cNvGrpSpPr/>
                                <wpg:grpSpPr>
                                  <a:xfrm>
                                    <a:off x="2800" y="344806"/>
                                    <a:ext cx="7874" cy="8360"/>
                                    <a:chOff x="2800" y="344806"/>
                                    <a:chExt cx="7874" cy="8360"/>
                                  </a:xfrm>
                                </wpg:grpSpPr>
                                <wps:wsp>
                                  <wps:cNvPr id="128" name="文本框 128"/>
                                  <wps:cNvSpPr txBox="1"/>
                                  <wps:spPr>
                                    <a:xfrm>
                                      <a:off x="9596" y="344806"/>
                                      <a:ext cx="1078" cy="584"/>
                                    </a:xfrm>
                                    <a:prstGeom prst="rect">
                                      <a:avLst/>
                                    </a:prstGeom>
                                    <a:noFill/>
                                    <a:ln>
                                      <a:noFill/>
                                    </a:ln>
                                    <a:effectLst/>
                                  </wps:spPr>
                                  <wps:txbx>
                                    <w:txbxContent>
                                      <w:p w14:paraId="212C08D7">
                                        <w:pPr>
                                          <w:ind w:left="0" w:leftChars="0" w:firstLine="0" w:firstLineChars="0"/>
                                          <w:rPr>
                                            <w:rFonts w:ascii="仿宋_GB2312"/>
                                            <w:sz w:val="24"/>
                                          </w:rPr>
                                        </w:pPr>
                                        <w:r>
                                          <w:rPr>
                                            <w:rFonts w:hint="eastAsia" w:ascii="仿宋_GB2312"/>
                                            <w:sz w:val="24"/>
                                          </w:rPr>
                                          <w:t>扬尘</w:t>
                                        </w:r>
                                      </w:p>
                                    </w:txbxContent>
                                  </wps:txbx>
                                  <wps:bodyPr upright="1"/>
                                </wps:wsp>
                                <wps:wsp>
                                  <wps:cNvPr id="129" name="直接连接符 129"/>
                                  <wps:cNvCnPr/>
                                  <wps:spPr>
                                    <a:xfrm>
                                      <a:off x="9301" y="345153"/>
                                      <a:ext cx="360" cy="0"/>
                                    </a:xfrm>
                                    <a:prstGeom prst="line">
                                      <a:avLst/>
                                    </a:prstGeom>
                                    <a:ln w="9525" cap="flat" cmpd="sng">
                                      <a:solidFill>
                                        <a:srgbClr val="000000"/>
                                      </a:solidFill>
                                      <a:prstDash val="dashDot"/>
                                      <a:headEnd type="none" w="med" len="med"/>
                                      <a:tailEnd type="triangle" w="med" len="med"/>
                                    </a:ln>
                                    <a:effectLst/>
                                  </wps:spPr>
                                  <wps:bodyPr upright="1"/>
                                </wps:wsp>
                                <wpg:grpSp>
                                  <wpg:cNvPr id="8" name="组合 8"/>
                                  <wpg:cNvGrpSpPr/>
                                  <wpg:grpSpPr>
                                    <a:xfrm>
                                      <a:off x="2800" y="344838"/>
                                      <a:ext cx="7348" cy="8328"/>
                                      <a:chOff x="2800" y="344838"/>
                                      <a:chExt cx="7348" cy="8328"/>
                                    </a:xfrm>
                                  </wpg:grpSpPr>
                                  <wps:wsp>
                                    <wps:cNvPr id="126" name="矩形 126"/>
                                    <wps:cNvSpPr/>
                                    <wps:spPr>
                                      <a:xfrm>
                                        <a:off x="6421" y="344838"/>
                                        <a:ext cx="2878" cy="62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338965">
                                          <w:pPr>
                                            <w:ind w:left="0" w:leftChars="0" w:firstLine="240" w:firstLineChars="100"/>
                                            <w:jc w:val="both"/>
                                            <w:rPr>
                                              <w:rFonts w:ascii="仿宋_GB2312"/>
                                              <w:sz w:val="24"/>
                                            </w:rPr>
                                          </w:pPr>
                                          <w:r>
                                            <w:rPr>
                                              <w:rFonts w:hint="eastAsia" w:ascii="仿宋_GB2312"/>
                                              <w:sz w:val="24"/>
                                            </w:rPr>
                                            <w:t>作业线路，场地清理</w:t>
                                          </w:r>
                                        </w:p>
                                      </w:txbxContent>
                                    </wps:txbx>
                                    <wps:bodyPr upright="1"/>
                                  </wps:wsp>
                                  <wps:wsp>
                                    <wps:cNvPr id="127" name="矩形 127"/>
                                    <wps:cNvSpPr/>
                                    <wps:spPr>
                                      <a:xfrm>
                                        <a:off x="3363" y="344853"/>
                                        <a:ext cx="1798" cy="61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749BFB">
                                          <w:pPr>
                                            <w:ind w:left="0" w:leftChars="0" w:firstLine="240" w:firstLineChars="100"/>
                                            <w:jc w:val="both"/>
                                            <w:rPr>
                                              <w:rFonts w:ascii="仿宋_GB2312"/>
                                              <w:sz w:val="24"/>
                                            </w:rPr>
                                          </w:pPr>
                                          <w:r>
                                            <w:rPr>
                                              <w:rFonts w:hint="eastAsia" w:ascii="仿宋_GB2312"/>
                                              <w:sz w:val="24"/>
                                            </w:rPr>
                                            <w:t>测量放线</w:t>
                                          </w:r>
                                        </w:p>
                                      </w:txbxContent>
                                    </wps:txbx>
                                    <wps:bodyPr upright="1"/>
                                  </wps:wsp>
                                  <wps:wsp>
                                    <wps:cNvPr id="130" name="直接连接符 130"/>
                                    <wps:cNvCnPr/>
                                    <wps:spPr>
                                      <a:xfrm>
                                        <a:off x="7861" y="345465"/>
                                        <a:ext cx="1" cy="312"/>
                                      </a:xfrm>
                                      <a:prstGeom prst="line">
                                        <a:avLst/>
                                      </a:prstGeom>
                                      <a:ln w="9525" cap="flat" cmpd="sng">
                                        <a:solidFill>
                                          <a:srgbClr val="000000"/>
                                        </a:solidFill>
                                        <a:prstDash val="solid"/>
                                        <a:headEnd type="none" w="med" len="med"/>
                                        <a:tailEnd type="none" w="med" len="med"/>
                                      </a:ln>
                                      <a:effectLst/>
                                    </wps:spPr>
                                    <wps:bodyPr upright="1"/>
                                  </wps:wsp>
                                  <wps:wsp>
                                    <wps:cNvPr id="131" name="直接连接符 131"/>
                                    <wps:cNvCnPr/>
                                    <wps:spPr>
                                      <a:xfrm>
                                        <a:off x="5163" y="345165"/>
                                        <a:ext cx="1260" cy="0"/>
                                      </a:xfrm>
                                      <a:prstGeom prst="line">
                                        <a:avLst/>
                                      </a:prstGeom>
                                      <a:ln w="9525" cap="flat" cmpd="sng">
                                        <a:solidFill>
                                          <a:srgbClr val="000000"/>
                                        </a:solidFill>
                                        <a:prstDash val="solid"/>
                                        <a:headEnd type="none" w="med" len="med"/>
                                        <a:tailEnd type="triangle" w="med" len="med"/>
                                      </a:ln>
                                      <a:effectLst/>
                                    </wps:spPr>
                                    <wps:bodyPr upright="1"/>
                                  </wps:wsp>
                                  <wps:wsp>
                                    <wps:cNvPr id="132" name="直接连接符 132"/>
                                    <wps:cNvCnPr/>
                                    <wps:spPr>
                                      <a:xfrm flipH="1">
                                        <a:off x="9661" y="345789"/>
                                        <a:ext cx="4" cy="1392"/>
                                      </a:xfrm>
                                      <a:prstGeom prst="line">
                                        <a:avLst/>
                                      </a:prstGeom>
                                      <a:ln w="9525" cap="flat" cmpd="sng">
                                        <a:solidFill>
                                          <a:srgbClr val="000000"/>
                                        </a:solidFill>
                                        <a:prstDash val="solid"/>
                                        <a:headEnd type="none" w="med" len="med"/>
                                        <a:tailEnd type="triangle" w="med" len="med"/>
                                      </a:ln>
                                      <a:effectLst/>
                                    </wps:spPr>
                                    <wps:bodyPr upright="1"/>
                                  </wps:wsp>
                                  <wps:wsp>
                                    <wps:cNvPr id="133" name="直接连接符 133"/>
                                    <wps:cNvCnPr/>
                                    <wps:spPr>
                                      <a:xfrm flipH="1">
                                        <a:off x="6063" y="345789"/>
                                        <a:ext cx="2" cy="456"/>
                                      </a:xfrm>
                                      <a:prstGeom prst="line">
                                        <a:avLst/>
                                      </a:prstGeom>
                                      <a:ln w="9525" cap="flat" cmpd="sng">
                                        <a:solidFill>
                                          <a:srgbClr val="000000"/>
                                        </a:solidFill>
                                        <a:prstDash val="solid"/>
                                        <a:headEnd type="none" w="med" len="med"/>
                                        <a:tailEnd type="triangle" w="med" len="med"/>
                                      </a:ln>
                                      <a:effectLst/>
                                    </wps:spPr>
                                    <wps:bodyPr upright="1"/>
                                  </wps:wsp>
                                  <wps:wsp>
                                    <wps:cNvPr id="135" name="文本框 135"/>
                                    <wps:cNvSpPr txBox="1"/>
                                    <wps:spPr>
                                      <a:xfrm>
                                        <a:off x="3130" y="346209"/>
                                        <a:ext cx="1491" cy="588"/>
                                      </a:xfrm>
                                      <a:prstGeom prst="rect">
                                        <a:avLst/>
                                      </a:prstGeom>
                                      <a:noFill/>
                                      <a:ln>
                                        <a:noFill/>
                                      </a:ln>
                                      <a:effectLst/>
                                    </wps:spPr>
                                    <wps:txbx>
                                      <w:txbxContent>
                                        <w:p w14:paraId="01104AF8">
                                          <w:pPr>
                                            <w:ind w:left="0" w:leftChars="0" w:firstLine="0" w:firstLineChars="0"/>
                                            <w:rPr>
                                              <w:rFonts w:ascii="仿宋_GB2312"/>
                                              <w:sz w:val="21"/>
                                              <w:szCs w:val="21"/>
                                            </w:rPr>
                                          </w:pPr>
                                          <w:r>
                                            <w:rPr>
                                              <w:rFonts w:hint="eastAsia" w:ascii="仿宋_GB2312"/>
                                              <w:sz w:val="21"/>
                                              <w:szCs w:val="21"/>
                                            </w:rPr>
                                            <w:t>扬尘、噪声</w:t>
                                          </w:r>
                                        </w:p>
                                      </w:txbxContent>
                                    </wps:txbx>
                                    <wps:bodyPr upright="1"/>
                                  </wps:wsp>
                                  <wps:wsp>
                                    <wps:cNvPr id="136" name="直接连接符 136"/>
                                    <wps:cNvCnPr/>
                                    <wps:spPr>
                                      <a:xfrm rot="10800000">
                                        <a:off x="4623" y="346413"/>
                                        <a:ext cx="540" cy="0"/>
                                      </a:xfrm>
                                      <a:prstGeom prst="line">
                                        <a:avLst/>
                                      </a:prstGeom>
                                      <a:ln w="9525" cap="flat" cmpd="sng">
                                        <a:solidFill>
                                          <a:srgbClr val="000000"/>
                                        </a:solidFill>
                                        <a:prstDash val="dashDot"/>
                                        <a:headEnd type="none" w="med" len="med"/>
                                        <a:tailEnd type="triangle" w="med" len="med"/>
                                      </a:ln>
                                      <a:effectLst/>
                                    </wps:spPr>
                                    <wps:bodyPr upright="1"/>
                                  </wps:wsp>
                                  <wps:wsp>
                                    <wps:cNvPr id="50" name="矩形 50"/>
                                    <wps:cNvSpPr/>
                                    <wps:spPr>
                                      <a:xfrm>
                                        <a:off x="5163" y="346163"/>
                                        <a:ext cx="1804" cy="56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D6F02E">
                                          <w:pPr>
                                            <w:ind w:left="0" w:leftChars="0" w:firstLine="210" w:firstLineChars="100"/>
                                            <w:jc w:val="both"/>
                                            <w:rPr>
                                              <w:rFonts w:ascii="仿宋_GB2312"/>
                                              <w:sz w:val="21"/>
                                              <w:szCs w:val="21"/>
                                            </w:rPr>
                                          </w:pPr>
                                          <w:r>
                                            <w:rPr>
                                              <w:rFonts w:hint="eastAsia" w:ascii="仿宋_GB2312"/>
                                              <w:sz w:val="21"/>
                                              <w:szCs w:val="21"/>
                                            </w:rPr>
                                            <w:t>管沟开挖</w:t>
                                          </w:r>
                                        </w:p>
                                      </w:txbxContent>
                                    </wps:txbx>
                                    <wps:bodyPr upright="1"/>
                                  </wps:wsp>
                                  <wps:wsp>
                                    <wps:cNvPr id="137" name="直接连接符 137"/>
                                    <wps:cNvCnPr/>
                                    <wps:spPr>
                                      <a:xfrm>
                                        <a:off x="6061" y="346713"/>
                                        <a:ext cx="1" cy="312"/>
                                      </a:xfrm>
                                      <a:prstGeom prst="line">
                                        <a:avLst/>
                                      </a:prstGeom>
                                      <a:ln w="9525" cap="flat" cmpd="sng">
                                        <a:solidFill>
                                          <a:srgbClr val="000000"/>
                                        </a:solidFill>
                                        <a:prstDash val="solid"/>
                                        <a:headEnd type="none" w="med" len="med"/>
                                        <a:tailEnd type="triangle" w="med" len="med"/>
                                      </a:ln>
                                      <a:effectLst/>
                                    </wps:spPr>
                                    <wps:bodyPr upright="1"/>
                                  </wps:wsp>
                                  <wps:wsp>
                                    <wps:cNvPr id="59" name="文本框 59"/>
                                    <wps:cNvSpPr txBox="1"/>
                                    <wps:spPr>
                                      <a:xfrm>
                                        <a:off x="2816" y="347012"/>
                                        <a:ext cx="1733" cy="527"/>
                                      </a:xfrm>
                                      <a:prstGeom prst="rect">
                                        <a:avLst/>
                                      </a:prstGeom>
                                      <a:noFill/>
                                      <a:ln>
                                        <a:noFill/>
                                      </a:ln>
                                      <a:effectLst/>
                                    </wps:spPr>
                                    <wps:txbx>
                                      <w:txbxContent>
                                        <w:p w14:paraId="2881D6D6">
                                          <w:pPr>
                                            <w:ind w:left="0" w:leftChars="0" w:firstLine="210" w:firstLineChars="100"/>
                                            <w:rPr>
                                              <w:rFonts w:ascii="仿宋_GB2312"/>
                                              <w:sz w:val="21"/>
                                              <w:szCs w:val="21"/>
                                            </w:rPr>
                                          </w:pPr>
                                          <w:r>
                                            <w:rPr>
                                              <w:rFonts w:hint="eastAsia" w:ascii="仿宋_GB2312"/>
                                              <w:sz w:val="21"/>
                                              <w:szCs w:val="21"/>
                                            </w:rPr>
                                            <w:t>扬尘、噪声</w:t>
                                          </w:r>
                                        </w:p>
                                      </w:txbxContent>
                                    </wps:txbx>
                                    <wps:bodyPr upright="1"/>
                                  </wps:wsp>
                                  <wps:wsp>
                                    <wps:cNvPr id="138" name="直接连接符 138"/>
                                    <wps:cNvCnPr/>
                                    <wps:spPr>
                                      <a:xfrm rot="10800000">
                                        <a:off x="4587" y="347298"/>
                                        <a:ext cx="540" cy="0"/>
                                      </a:xfrm>
                                      <a:prstGeom prst="line">
                                        <a:avLst/>
                                      </a:prstGeom>
                                      <a:ln w="9525" cap="flat" cmpd="sng">
                                        <a:solidFill>
                                          <a:srgbClr val="000000"/>
                                        </a:solidFill>
                                        <a:prstDash val="dashDot"/>
                                        <a:headEnd type="none" w="med" len="med"/>
                                        <a:tailEnd type="triangle" w="med" len="med"/>
                                      </a:ln>
                                      <a:effectLst/>
                                    </wps:spPr>
                                    <wps:bodyPr upright="1"/>
                                  </wps:wsp>
                                  <wps:wsp>
                                    <wps:cNvPr id="139" name="矩形 139"/>
                                    <wps:cNvSpPr/>
                                    <wps:spPr>
                                      <a:xfrm>
                                        <a:off x="5157" y="347029"/>
                                        <a:ext cx="1799" cy="543"/>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446012">
                                          <w:pPr>
                                            <w:ind w:left="0" w:leftChars="0" w:firstLine="210" w:firstLineChars="100"/>
                                            <w:jc w:val="both"/>
                                            <w:rPr>
                                              <w:rFonts w:ascii="仿宋_GB2312"/>
                                              <w:sz w:val="21"/>
                                              <w:szCs w:val="21"/>
                                            </w:rPr>
                                          </w:pPr>
                                          <w:r>
                                            <w:rPr>
                                              <w:rFonts w:hint="eastAsia" w:ascii="仿宋_GB2312"/>
                                              <w:sz w:val="21"/>
                                              <w:szCs w:val="21"/>
                                            </w:rPr>
                                            <w:t>下管入沟</w:t>
                                          </w:r>
                                        </w:p>
                                      </w:txbxContent>
                                    </wps:txbx>
                                    <wps:bodyPr upright="1"/>
                                  </wps:wsp>
                                  <wps:wsp>
                                    <wps:cNvPr id="54" name="矩形 54"/>
                                    <wps:cNvSpPr/>
                                    <wps:spPr>
                                      <a:xfrm>
                                        <a:off x="8401" y="347181"/>
                                        <a:ext cx="1747" cy="61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E48933">
                                          <w:pPr>
                                            <w:ind w:left="0" w:leftChars="0" w:firstLine="240" w:firstLineChars="100"/>
                                            <w:jc w:val="both"/>
                                            <w:rPr>
                                              <w:rFonts w:ascii="仿宋_GB2312"/>
                                              <w:sz w:val="24"/>
                                            </w:rPr>
                                          </w:pPr>
                                          <w:r>
                                            <w:rPr>
                                              <w:rFonts w:hint="eastAsia" w:ascii="仿宋_GB2312"/>
                                              <w:sz w:val="24"/>
                                            </w:rPr>
                                            <w:t>建设检查井</w:t>
                                          </w:r>
                                        </w:p>
                                      </w:txbxContent>
                                    </wps:txbx>
                                    <wps:bodyPr upright="1"/>
                                  </wps:wsp>
                                  <wps:wsp>
                                    <wps:cNvPr id="140" name="直接连接符 140"/>
                                    <wps:cNvCnPr/>
                                    <wps:spPr>
                                      <a:xfrm>
                                        <a:off x="6046" y="347632"/>
                                        <a:ext cx="3" cy="471"/>
                                      </a:xfrm>
                                      <a:prstGeom prst="line">
                                        <a:avLst/>
                                      </a:prstGeom>
                                      <a:ln w="9525" cap="flat" cmpd="sng">
                                        <a:solidFill>
                                          <a:srgbClr val="000000"/>
                                        </a:solidFill>
                                        <a:prstDash val="solid"/>
                                        <a:headEnd type="none" w="med" len="med"/>
                                        <a:tailEnd type="triangle" w="med" len="med"/>
                                      </a:ln>
                                      <a:effectLst/>
                                    </wps:spPr>
                                    <wps:bodyPr upright="1"/>
                                  </wps:wsp>
                                  <wps:wsp>
                                    <wps:cNvPr id="56" name="直接连接符 56"/>
                                    <wps:cNvCnPr/>
                                    <wps:spPr>
                                      <a:xfrm rot="5400000">
                                        <a:off x="8484" y="348074"/>
                                        <a:ext cx="540" cy="1"/>
                                      </a:xfrm>
                                      <a:prstGeom prst="line">
                                        <a:avLst/>
                                      </a:prstGeom>
                                      <a:ln w="9525" cap="flat" cmpd="sng">
                                        <a:solidFill>
                                          <a:srgbClr val="000000"/>
                                        </a:solidFill>
                                        <a:prstDash val="dashDot"/>
                                        <a:headEnd type="none" w="med" len="med"/>
                                        <a:tailEnd type="triangle" w="med" len="med"/>
                                      </a:ln>
                                      <a:effectLst/>
                                    </wps:spPr>
                                    <wps:bodyPr upright="1"/>
                                  </wps:wsp>
                                  <wps:wsp>
                                    <wps:cNvPr id="141" name="文本框 141"/>
                                    <wps:cNvSpPr txBox="1"/>
                                    <wps:spPr>
                                      <a:xfrm>
                                        <a:off x="2846" y="348154"/>
                                        <a:ext cx="1370" cy="930"/>
                                      </a:xfrm>
                                      <a:prstGeom prst="rect">
                                        <a:avLst/>
                                      </a:prstGeom>
                                      <a:noFill/>
                                      <a:ln>
                                        <a:noFill/>
                                      </a:ln>
                                      <a:effectLst/>
                                    </wps:spPr>
                                    <wps:txbx>
                                      <w:txbxContent>
                                        <w:p w14:paraId="2835C7D1">
                                          <w:pPr>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ascii="仿宋_GB2312"/>
                                              <w:sz w:val="21"/>
                                              <w:szCs w:val="21"/>
                                            </w:rPr>
                                          </w:pPr>
                                          <w:r>
                                            <w:rPr>
                                              <w:rFonts w:hint="eastAsia" w:ascii="仿宋_GB2312"/>
                                              <w:sz w:val="21"/>
                                              <w:szCs w:val="21"/>
                                            </w:rPr>
                                            <w:t>扬尘</w:t>
                                          </w:r>
                                          <w:r>
                                            <w:rPr>
                                              <w:rFonts w:hint="eastAsia" w:ascii="仿宋_GB2312"/>
                                              <w:sz w:val="21"/>
                                              <w:szCs w:val="21"/>
                                              <w:highlight w:val="none"/>
                                            </w:rPr>
                                            <w:t>、</w:t>
                                          </w:r>
                                          <w:r>
                                            <w:rPr>
                                              <w:rFonts w:hint="eastAsia" w:ascii="仿宋_GB2312"/>
                                              <w:sz w:val="21"/>
                                              <w:szCs w:val="21"/>
                                            </w:rPr>
                                            <w:t>噪声、固废</w:t>
                                          </w:r>
                                        </w:p>
                                      </w:txbxContent>
                                    </wps:txbx>
                                    <wps:bodyPr upright="1"/>
                                  </wps:wsp>
                                  <wps:wsp>
                                    <wps:cNvPr id="142" name="矩形 142"/>
                                    <wps:cNvSpPr/>
                                    <wps:spPr>
                                      <a:xfrm>
                                        <a:off x="4745" y="348088"/>
                                        <a:ext cx="2556" cy="9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582E39B">
                                          <w:pPr>
                                            <w:keepNext w:val="0"/>
                                            <w:keepLines w:val="0"/>
                                            <w:pageBreakBefore w:val="0"/>
                                            <w:widowControl/>
                                            <w:kinsoku w:val="0"/>
                                            <w:wordWrap/>
                                            <w:overflowPunct/>
                                            <w:topLinePunct w:val="0"/>
                                            <w:bidi w:val="0"/>
                                            <w:adjustRightInd w:val="0"/>
                                            <w:snapToGrid w:val="0"/>
                                            <w:ind w:left="0" w:leftChars="0" w:firstLine="0" w:firstLineChars="0"/>
                                            <w:jc w:val="both"/>
                                            <w:textAlignment w:val="baseline"/>
                                            <w:rPr>
                                              <w:sz w:val="21"/>
                                              <w:szCs w:val="21"/>
                                            </w:rPr>
                                          </w:pPr>
                                          <w:r>
                                            <w:rPr>
                                              <w:rFonts w:hint="eastAsia" w:ascii="仿宋_GB2312"/>
                                              <w:sz w:val="21"/>
                                              <w:szCs w:val="21"/>
                                            </w:rPr>
                                            <w:t>管道安装</w:t>
                                          </w:r>
                                          <w:r>
                                            <w:rPr>
                                              <w:rFonts w:hint="eastAsia" w:ascii="仿宋_GB2312" w:eastAsia="宋体"/>
                                              <w:sz w:val="21"/>
                                              <w:szCs w:val="21"/>
                                              <w:lang w:eastAsia="zh-CN"/>
                                            </w:rPr>
                                            <w:t>、</w:t>
                                          </w:r>
                                          <w:r>
                                            <w:rPr>
                                              <w:rFonts w:hint="eastAsia" w:ascii="仿宋_GB2312"/>
                                              <w:sz w:val="21"/>
                                              <w:szCs w:val="21"/>
                                            </w:rPr>
                                            <w:t>组接、补口、补伤</w:t>
                                          </w:r>
                                        </w:p>
                                      </w:txbxContent>
                                    </wps:txbx>
                                    <wps:bodyPr upright="1"/>
                                  </wps:wsp>
                                  <wps:wsp>
                                    <wps:cNvPr id="143" name="文本框 143"/>
                                    <wps:cNvSpPr txBox="1"/>
                                    <wps:spPr>
                                      <a:xfrm>
                                        <a:off x="7683" y="348240"/>
                                        <a:ext cx="1737" cy="1012"/>
                                      </a:xfrm>
                                      <a:prstGeom prst="rect">
                                        <a:avLst/>
                                      </a:prstGeom>
                                      <a:noFill/>
                                      <a:ln>
                                        <a:noFill/>
                                      </a:ln>
                                      <a:effectLst/>
                                    </wps:spPr>
                                    <wps:txbx>
                                      <w:txbxContent>
                                        <w:p w14:paraId="66C98853">
                                          <w:pPr>
                                            <w:ind w:left="0" w:leftChars="0" w:firstLine="0" w:firstLineChars="0"/>
                                            <w:rPr>
                                              <w:rFonts w:ascii="仿宋_GB2312"/>
                                              <w:sz w:val="21"/>
                                              <w:szCs w:val="21"/>
                                            </w:rPr>
                                          </w:pPr>
                                          <w:r>
                                            <w:rPr>
                                              <w:rFonts w:hint="eastAsia" w:ascii="仿宋_GB2312"/>
                                              <w:sz w:val="21"/>
                                              <w:szCs w:val="21"/>
                                            </w:rPr>
                                            <w:t>扬尘、固废、废水、噪声</w:t>
                                          </w:r>
                                        </w:p>
                                      </w:txbxContent>
                                    </wps:txbx>
                                    <wps:bodyPr upright="1"/>
                                  </wps:wsp>
                                  <wps:wsp>
                                    <wps:cNvPr id="144" name="直接连接符 144"/>
                                    <wps:cNvCnPr/>
                                    <wps:spPr>
                                      <a:xfrm rot="10800000">
                                        <a:off x="4196" y="348569"/>
                                        <a:ext cx="540" cy="0"/>
                                      </a:xfrm>
                                      <a:prstGeom prst="line">
                                        <a:avLst/>
                                      </a:prstGeom>
                                      <a:ln w="9525" cap="flat" cmpd="sng">
                                        <a:solidFill>
                                          <a:srgbClr val="000000"/>
                                        </a:solidFill>
                                        <a:prstDash val="dashDot"/>
                                        <a:headEnd type="none" w="med" len="med"/>
                                        <a:tailEnd type="triangle" w="med" len="med"/>
                                      </a:ln>
                                      <a:effectLst/>
                                    </wps:spPr>
                                    <wps:bodyPr upright="1"/>
                                  </wps:wsp>
                                  <wps:wsp>
                                    <wps:cNvPr id="145" name="文本框 145"/>
                                    <wps:cNvSpPr txBox="1"/>
                                    <wps:spPr>
                                      <a:xfrm>
                                        <a:off x="2800" y="350251"/>
                                        <a:ext cx="2903" cy="584"/>
                                      </a:xfrm>
                                      <a:prstGeom prst="rect">
                                        <a:avLst/>
                                      </a:prstGeom>
                                      <a:noFill/>
                                      <a:ln>
                                        <a:noFill/>
                                      </a:ln>
                                      <a:effectLst/>
                                    </wps:spPr>
                                    <wps:txbx>
                                      <w:txbxContent>
                                        <w:p w14:paraId="73BD2E0E">
                                          <w:pPr>
                                            <w:ind w:left="0" w:leftChars="0" w:firstLine="0" w:firstLineChars="0"/>
                                            <w:rPr>
                                              <w:rFonts w:ascii="仿宋_GB2312"/>
                                              <w:sz w:val="21"/>
                                              <w:szCs w:val="21"/>
                                            </w:rPr>
                                          </w:pPr>
                                          <w:r>
                                            <w:rPr>
                                              <w:rFonts w:hint="eastAsia" w:ascii="仿宋_GB2312"/>
                                              <w:sz w:val="21"/>
                                              <w:szCs w:val="21"/>
                                            </w:rPr>
                                            <w:t>扬尘、废水、噪声、固废</w:t>
                                          </w:r>
                                        </w:p>
                                      </w:txbxContent>
                                    </wps:txbx>
                                    <wps:bodyPr upright="1"/>
                                  </wps:wsp>
                                  <wps:wsp>
                                    <wps:cNvPr id="146" name="矩形 146"/>
                                    <wps:cNvSpPr/>
                                    <wps:spPr>
                                      <a:xfrm>
                                        <a:off x="6243" y="350191"/>
                                        <a:ext cx="3600" cy="581"/>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C2B0FA">
                                          <w:pPr>
                                            <w:jc w:val="both"/>
                                            <w:rPr>
                                              <w:rFonts w:ascii="仿宋_GB2312"/>
                                              <w:sz w:val="21"/>
                                              <w:szCs w:val="21"/>
                                            </w:rPr>
                                          </w:pPr>
                                          <w:r>
                                            <w:rPr>
                                              <w:rFonts w:hint="eastAsia" w:ascii="仿宋_GB2312"/>
                                              <w:sz w:val="21"/>
                                              <w:szCs w:val="21"/>
                                            </w:rPr>
                                            <w:t>灌水试验、管沟回填</w:t>
                                          </w:r>
                                        </w:p>
                                      </w:txbxContent>
                                    </wps:txbx>
                                    <wps:bodyPr upright="1"/>
                                  </wps:wsp>
                                  <wps:wsp>
                                    <wps:cNvPr id="65" name="直接连接符 65"/>
                                    <wps:cNvCnPr/>
                                    <wps:spPr>
                                      <a:xfrm rot="10800000">
                                        <a:off x="5703" y="350530"/>
                                        <a:ext cx="540" cy="0"/>
                                      </a:xfrm>
                                      <a:prstGeom prst="line">
                                        <a:avLst/>
                                      </a:prstGeom>
                                      <a:ln w="9525" cap="flat" cmpd="sng">
                                        <a:solidFill>
                                          <a:srgbClr val="000000"/>
                                        </a:solidFill>
                                        <a:prstDash val="dashDot"/>
                                        <a:headEnd type="none" w="med" len="med"/>
                                        <a:tailEnd type="triangle" w="med" len="med"/>
                                      </a:ln>
                                      <a:effectLst/>
                                    </wps:spPr>
                                    <wps:bodyPr upright="1"/>
                                  </wps:wsp>
                                  <wps:wsp>
                                    <wps:cNvPr id="147" name="直接连接符 147"/>
                                    <wps:cNvCnPr/>
                                    <wps:spPr>
                                      <a:xfrm>
                                        <a:off x="7863" y="350781"/>
                                        <a:ext cx="1" cy="312"/>
                                      </a:xfrm>
                                      <a:prstGeom prst="line">
                                        <a:avLst/>
                                      </a:prstGeom>
                                      <a:ln w="9525" cap="flat" cmpd="sng">
                                        <a:solidFill>
                                          <a:srgbClr val="000000"/>
                                        </a:solidFill>
                                        <a:prstDash val="solid"/>
                                        <a:headEnd type="none" w="med" len="med"/>
                                        <a:tailEnd type="triangle" w="med" len="med"/>
                                      </a:ln>
                                      <a:effectLst/>
                                    </wps:spPr>
                                    <wps:bodyPr upright="1"/>
                                  </wps:wsp>
                                  <wps:wsp>
                                    <wps:cNvPr id="67" name="矩形 67"/>
                                    <wps:cNvSpPr/>
                                    <wps:spPr>
                                      <a:xfrm>
                                        <a:off x="5963" y="351056"/>
                                        <a:ext cx="3879" cy="54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A976937">
                                          <w:pPr>
                                            <w:ind w:left="0" w:leftChars="0" w:firstLine="210" w:firstLineChars="100"/>
                                            <w:jc w:val="both"/>
                                            <w:rPr>
                                              <w:sz w:val="21"/>
                                              <w:szCs w:val="21"/>
                                            </w:rPr>
                                          </w:pPr>
                                          <w:r>
                                            <w:rPr>
                                              <w:rFonts w:hint="eastAsia" w:ascii="仿宋_GB2312"/>
                                              <w:sz w:val="21"/>
                                              <w:szCs w:val="21"/>
                                            </w:rPr>
                                            <w:t>清理现场、恢复地貌、恢复植被</w:t>
                                          </w:r>
                                        </w:p>
                                      </w:txbxContent>
                                    </wps:txbx>
                                    <wps:bodyPr upright="1"/>
                                  </wps:wsp>
                                  <wps:wsp>
                                    <wps:cNvPr id="68" name="直接连接符 68"/>
                                    <wps:cNvCnPr/>
                                    <wps:spPr>
                                      <a:xfrm>
                                        <a:off x="7861" y="351549"/>
                                        <a:ext cx="1" cy="312"/>
                                      </a:xfrm>
                                      <a:prstGeom prst="line">
                                        <a:avLst/>
                                      </a:prstGeom>
                                      <a:ln w="9525" cap="flat" cmpd="sng">
                                        <a:solidFill>
                                          <a:srgbClr val="000000"/>
                                        </a:solidFill>
                                        <a:prstDash val="solid"/>
                                        <a:headEnd type="none" w="med" len="med"/>
                                        <a:tailEnd type="triangle" w="med" len="med"/>
                                      </a:ln>
                                      <a:effectLst/>
                                    </wps:spPr>
                                    <wps:bodyPr upright="1"/>
                                  </wps:wsp>
                                  <wps:wsp>
                                    <wps:cNvPr id="69" name="矩形 69"/>
                                    <wps:cNvSpPr/>
                                    <wps:spPr>
                                      <a:xfrm>
                                        <a:off x="6143" y="351863"/>
                                        <a:ext cx="3421" cy="523"/>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6415A5">
                                          <w:pPr>
                                            <w:ind w:firstLine="840" w:firstLineChars="400"/>
                                            <w:jc w:val="both"/>
                                            <w:rPr>
                                              <w:rFonts w:ascii="仿宋_GB2312"/>
                                              <w:sz w:val="21"/>
                                              <w:szCs w:val="21"/>
                                            </w:rPr>
                                          </w:pPr>
                                          <w:r>
                                            <w:rPr>
                                              <w:rFonts w:hint="eastAsia" w:ascii="仿宋_GB2312"/>
                                              <w:sz w:val="21"/>
                                              <w:szCs w:val="21"/>
                                            </w:rPr>
                                            <w:t>试运行投用</w:t>
                                          </w:r>
                                        </w:p>
                                      </w:txbxContent>
                                    </wps:txbx>
                                    <wps:bodyPr upright="1"/>
                                  </wps:wsp>
                                  <wps:wsp>
                                    <wps:cNvPr id="148" name="矩形 148"/>
                                    <wps:cNvSpPr/>
                                    <wps:spPr>
                                      <a:xfrm>
                                        <a:off x="6241" y="352641"/>
                                        <a:ext cx="3420" cy="5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E272B0">
                                          <w:pPr>
                                            <w:ind w:firstLine="840" w:firstLineChars="400"/>
                                            <w:jc w:val="both"/>
                                            <w:rPr>
                                              <w:rFonts w:ascii="仿宋_GB2312"/>
                                              <w:sz w:val="21"/>
                                              <w:szCs w:val="21"/>
                                            </w:rPr>
                                          </w:pPr>
                                          <w:r>
                                            <w:rPr>
                                              <w:rFonts w:hint="eastAsia" w:ascii="仿宋_GB2312"/>
                                              <w:sz w:val="21"/>
                                              <w:szCs w:val="21"/>
                                            </w:rPr>
                                            <w:t>竣工验收</w:t>
                                          </w:r>
                                        </w:p>
                                      </w:txbxContent>
                                    </wps:txbx>
                                    <wps:bodyPr upright="1"/>
                                  </wps:wsp>
                                  <wps:wsp>
                                    <wps:cNvPr id="149" name="直接连接符 149"/>
                                    <wps:cNvCnPr/>
                                    <wps:spPr>
                                      <a:xfrm>
                                        <a:off x="7861" y="352329"/>
                                        <a:ext cx="1" cy="312"/>
                                      </a:xfrm>
                                      <a:prstGeom prst="line">
                                        <a:avLst/>
                                      </a:prstGeom>
                                      <a:ln w="9525" cap="flat" cmpd="sng">
                                        <a:solidFill>
                                          <a:srgbClr val="000000"/>
                                        </a:solidFill>
                                        <a:prstDash val="solid"/>
                                        <a:headEnd type="none" w="med" len="med"/>
                                        <a:tailEnd type="triangle" w="med" len="med"/>
                                      </a:ln>
                                      <a:effectLst/>
                                    </wps:spPr>
                                    <wps:bodyPr upright="1"/>
                                  </wps:wsp>
                                </wpg:grpSp>
                              </wpg:grpSp>
                              <wps:wsp>
                                <wps:cNvPr id="14" name="直接连接符 14"/>
                                <wps:cNvCnPr/>
                                <wps:spPr>
                                  <a:xfrm>
                                    <a:off x="9523" y="347801"/>
                                    <a:ext cx="32" cy="2422"/>
                                  </a:xfrm>
                                  <a:prstGeom prst="line">
                                    <a:avLst/>
                                  </a:prstGeom>
                                  <a:ln w="9525" cap="flat" cmpd="sng">
                                    <a:solidFill>
                                      <a:srgbClr val="000000"/>
                                    </a:solidFill>
                                    <a:prstDash val="solid"/>
                                    <a:headEnd type="none" w="med" len="med"/>
                                    <a:tailEnd type="none" w="med" len="med"/>
                                  </a:ln>
                                  <a:effectLst/>
                                </wps:spPr>
                                <wps:bodyPr upright="1"/>
                              </wps:wsp>
                            </wpg:grpSp>
                          </wpg:wgp>
                        </a:graphicData>
                      </a:graphic>
                    </wp:anchor>
                  </w:drawing>
                </mc:Choice>
                <mc:Fallback>
                  <w:pict>
                    <v:group id="_x0000_s1026" o:spid="_x0000_s1026" o:spt="203" style="position:absolute;left:0pt;margin-left:33.05pt;margin-top:13.7pt;height:329.35pt;width:361.85pt;mso-wrap-distance-bottom:0pt;mso-wrap-distance-top:0pt;z-index:251668480;mso-width-relative:page;mso-height-relative:page;" coordorigin="2800,344806" coordsize="7874,8360" o:gfxdata="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">
                      <o:lock v:ext="edit" aspectratio="f"/>
                      <v:line id="_x0000_s1026" o:spid="_x0000_s1026" o:spt="20" style="position:absolute;left:6061;top:345790;height:12;width:3600;" filled="f" stroked="t" coordsize="21600,21600" o:gfxdata="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qlW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id="_x0000_s1026" o:spid="_x0000_s1026" o:spt="203" style="position:absolute;left:2800;top:344806;height:8360;width:7874;" coordorigin="2800,344806" coordsize="7874,8360"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group id="_x0000_s1026" o:spid="_x0000_s1026" o:spt="203" style="position:absolute;left:2800;top:344806;height:8360;width:7874;" coordorigin="2800,344806" coordsize="7874,8360"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_x0000_s1026" o:spid="_x0000_s1026" o:spt="202" type="#_x0000_t202" style="position:absolute;left:9596;top:344806;height:584;width:1078;" filled="f" stroked="f" coordsize="21600,21600" o:gfxdata="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81IC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12C08D7">
                                  <w:pPr>
                                    <w:ind w:left="0" w:leftChars="0" w:firstLine="0" w:firstLineChars="0"/>
                                    <w:rPr>
                                      <w:rFonts w:ascii="仿宋_GB2312"/>
                                      <w:sz w:val="24"/>
                                    </w:rPr>
                                  </w:pPr>
                                  <w:r>
                                    <w:rPr>
                                      <w:rFonts w:hint="eastAsia" w:ascii="仿宋_GB2312"/>
                                      <w:sz w:val="24"/>
                                    </w:rPr>
                                    <w:t>扬尘</w:t>
                                  </w:r>
                                </w:p>
                              </w:txbxContent>
                            </v:textbox>
                          </v:shape>
                          <v:line id="_x0000_s1026" o:spid="_x0000_s1026" o:spt="20" style="position:absolute;left:9301;top:345153;height:0;width:360;" filled="f" stroked="t" coordsize="21600,21600" o:gfxdata="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7bm0K8AAAA&#10;3AAAAA8AAAAAAAAAAQAgAAAAIgAAAGRycy9kb3ducmV2LnhtbFBLAQIUABQAAAAIAIdO4kAzLwWe&#10;OwAAADkAAAAQAAAAAAAAAAEAIAAAAAsBAABkcnMvc2hhcGV4bWwueG1sUEsFBgAAAAAGAAYAWwEA&#10;ALUDAAAAAA==&#10;">
                            <v:fill on="f" focussize="0,0"/>
                            <v:stroke color="#000000" joinstyle="round" dashstyle="dashDot" endarrow="block"/>
                            <v:imagedata o:title=""/>
                            <o:lock v:ext="edit" aspectratio="f"/>
                          </v:line>
                          <v:group id="_x0000_s1026" o:spid="_x0000_s1026" o:spt="203" style="position:absolute;left:2800;top:344838;height:8328;width:7348;" coordorigin="2800,344838" coordsize="7348,8328"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rect id="_x0000_s1026" o:spid="_x0000_s1026" o:spt="1" style="position:absolute;left:6421;top:344838;height:624;width:2878;" fillcolor="#FFFFFF" filled="t" stroked="t" coordsize="21600,21600" o:gfxdata="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4RmQ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2E338965">
                                    <w:pPr>
                                      <w:ind w:left="0" w:leftChars="0" w:firstLine="240" w:firstLineChars="100"/>
                                      <w:jc w:val="both"/>
                                      <w:rPr>
                                        <w:rFonts w:ascii="仿宋_GB2312"/>
                                        <w:sz w:val="24"/>
                                      </w:rPr>
                                    </w:pPr>
                                    <w:r>
                                      <w:rPr>
                                        <w:rFonts w:hint="eastAsia" w:ascii="仿宋_GB2312"/>
                                        <w:sz w:val="24"/>
                                      </w:rPr>
                                      <w:t>作业线路，场地清理</w:t>
                                    </w:r>
                                  </w:p>
                                </w:txbxContent>
                              </v:textbox>
                            </v:rect>
                            <v:rect id="_x0000_s1026" o:spid="_x0000_s1026" o:spt="1" style="position:absolute;left:3363;top:344853;height:612;width:1798;" fillcolor="#FFFFFF" filled="t" stroked="t" coordsize="21600,21600" o:gfxdata="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StvAu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2D749BFB">
                                    <w:pPr>
                                      <w:ind w:left="0" w:leftChars="0" w:firstLine="240" w:firstLineChars="100"/>
                                      <w:jc w:val="both"/>
                                      <w:rPr>
                                        <w:rFonts w:ascii="仿宋_GB2312"/>
                                        <w:sz w:val="24"/>
                                      </w:rPr>
                                    </w:pPr>
                                    <w:r>
                                      <w:rPr>
                                        <w:rFonts w:hint="eastAsia" w:ascii="仿宋_GB2312"/>
                                        <w:sz w:val="24"/>
                                      </w:rPr>
                                      <w:t>测量放线</w:t>
                                    </w:r>
                                  </w:p>
                                </w:txbxContent>
                              </v:textbox>
                            </v:rect>
                            <v:line id="_x0000_s1026" o:spid="_x0000_s1026" o:spt="20" style="position:absolute;left:7861;top:345465;height:312;width:1;" filled="f" stroked="t" coordsize="21600,21600" o:gfxdata="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U5q/&#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5163;top:345165;height:0;width:1260;" filled="f" stroked="t" coordsize="21600,21600" o:gfxdata="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nZGQ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_x0000_s1026" o:spid="_x0000_s1026" o:spt="20" style="position:absolute;left:9661;top:345789;flip:x;height:1392;width:4;" filled="f" stroked="t" coordsize="21600,21600" o:gfxdata="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8QNX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_x0000_s1026" o:spid="_x0000_s1026" o:spt="20" style="position:absolute;left:6063;top:345789;flip:x;height:456;width:2;" filled="f" stroked="t" coordsize="21600,21600" o:gfxdata="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vabM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shape id="_x0000_s1026" o:spid="_x0000_s1026" o:spt="202" type="#_x0000_t202" style="position:absolute;left:3130;top:346209;height:588;width:1491;" filled="f" stroked="f" coordsize="21600,21600" o:gfxdata="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BVx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01104AF8">
                                    <w:pPr>
                                      <w:ind w:left="0" w:leftChars="0" w:firstLine="0" w:firstLineChars="0"/>
                                      <w:rPr>
                                        <w:rFonts w:ascii="仿宋_GB2312"/>
                                        <w:sz w:val="21"/>
                                        <w:szCs w:val="21"/>
                                      </w:rPr>
                                    </w:pPr>
                                    <w:r>
                                      <w:rPr>
                                        <w:rFonts w:hint="eastAsia" w:ascii="仿宋_GB2312"/>
                                        <w:sz w:val="21"/>
                                        <w:szCs w:val="21"/>
                                      </w:rPr>
                                      <w:t>扬尘、噪声</w:t>
                                    </w:r>
                                  </w:p>
                                </w:txbxContent>
                              </v:textbox>
                            </v:shape>
                            <v:line id="_x0000_s1026" o:spid="_x0000_s1026" o:spt="20" style="position:absolute;left:4623;top:346413;height:0;width:540;rotation:11796480f;" filled="f" stroked="t" coordsize="21600,21600" o:gfxdata="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2NfIvQAA&#10;ANw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line>
                            <v:rect id="_x0000_s1026" o:spid="_x0000_s1026" o:spt="1" style="position:absolute;left:5163;top:346163;height:562;width:1804;" fillcolor="#FFFFFF" filled="t" stroked="t" coordsize="21600,21600" o:gfxdata="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9qdR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28D6F02E">
                                    <w:pPr>
                                      <w:ind w:left="0" w:leftChars="0" w:firstLine="210" w:firstLineChars="100"/>
                                      <w:jc w:val="both"/>
                                      <w:rPr>
                                        <w:rFonts w:ascii="仿宋_GB2312"/>
                                        <w:sz w:val="21"/>
                                        <w:szCs w:val="21"/>
                                      </w:rPr>
                                    </w:pPr>
                                    <w:r>
                                      <w:rPr>
                                        <w:rFonts w:hint="eastAsia" w:ascii="仿宋_GB2312"/>
                                        <w:sz w:val="21"/>
                                        <w:szCs w:val="21"/>
                                      </w:rPr>
                                      <w:t>管沟开挖</w:t>
                                    </w:r>
                                  </w:p>
                                </w:txbxContent>
                              </v:textbox>
                            </v:rect>
                            <v:line id="_x0000_s1026" o:spid="_x0000_s1026" o:spt="20" style="position:absolute;left:6061;top:346713;height:312;width:1;" filled="f" stroked="t" coordsize="21600,21600" o:gfxdata="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OKx/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shape id="_x0000_s1026" o:spid="_x0000_s1026" o:spt="202" type="#_x0000_t202" style="position:absolute;left:2816;top:347012;height:527;width:1733;" filled="f" stroked="f" coordsize="21600,21600" o:gfxdata="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45ar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881D6D6">
                                    <w:pPr>
                                      <w:ind w:left="0" w:leftChars="0" w:firstLine="210" w:firstLineChars="100"/>
                                      <w:rPr>
                                        <w:rFonts w:ascii="仿宋_GB2312"/>
                                        <w:sz w:val="21"/>
                                        <w:szCs w:val="21"/>
                                      </w:rPr>
                                    </w:pPr>
                                    <w:r>
                                      <w:rPr>
                                        <w:rFonts w:hint="eastAsia" w:ascii="仿宋_GB2312"/>
                                        <w:sz w:val="21"/>
                                        <w:szCs w:val="21"/>
                                      </w:rPr>
                                      <w:t>扬尘、噪声</w:t>
                                    </w:r>
                                  </w:p>
                                </w:txbxContent>
                              </v:textbox>
                            </v:shape>
                            <v:line id="_x0000_s1026" o:spid="_x0000_s1026" o:spt="20" style="position:absolute;left:4587;top:347298;height:0;width:540;rotation:11796480f;" filled="f" stroked="t" coordsize="21600,21600" o:gfxdata="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0L5iG/&#10;AAAA3AAAAA8AAAAAAAAAAQAgAAAAIgAAAGRycy9kb3ducmV2LnhtbFBLAQIUABQAAAAIAIdO4kAz&#10;LwWeOwAAADkAAAAQAAAAAAAAAAEAIAAAAA4BAABkcnMvc2hhcGV4bWwueG1sUEsFBgAAAAAGAAYA&#10;WwEAALgDAAAAAA==&#10;">
                              <v:fill on="f" focussize="0,0"/>
                              <v:stroke color="#000000" joinstyle="round" dashstyle="dashDot" endarrow="block"/>
                              <v:imagedata o:title=""/>
                              <o:lock v:ext="edit" aspectratio="f"/>
                            </v:line>
                            <v:rect id="_x0000_s1026" o:spid="_x0000_s1026" o:spt="1" style="position:absolute;left:5157;top:347029;height:543;width:1799;" fillcolor="#FFFFFF" filled="t" stroked="t" coordsize="21600,21600" o:gfxdata="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6cbP7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B446012">
                                    <w:pPr>
                                      <w:ind w:left="0" w:leftChars="0" w:firstLine="210" w:firstLineChars="100"/>
                                      <w:jc w:val="both"/>
                                      <w:rPr>
                                        <w:rFonts w:ascii="仿宋_GB2312"/>
                                        <w:sz w:val="21"/>
                                        <w:szCs w:val="21"/>
                                      </w:rPr>
                                    </w:pPr>
                                    <w:r>
                                      <w:rPr>
                                        <w:rFonts w:hint="eastAsia" w:ascii="仿宋_GB2312"/>
                                        <w:sz w:val="21"/>
                                        <w:szCs w:val="21"/>
                                      </w:rPr>
                                      <w:t>下管入沟</w:t>
                                    </w:r>
                                  </w:p>
                                </w:txbxContent>
                              </v:textbox>
                            </v:rect>
                            <v:rect id="_x0000_s1026" o:spid="_x0000_s1026" o:spt="1" style="position:absolute;left:8401;top:347181;height:612;width:1747;" fillcolor="#FFFFFF" filled="t" stroked="t" coordsize="21600,21600" o:gfxdata="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aFS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7E48933">
                                    <w:pPr>
                                      <w:ind w:left="0" w:leftChars="0" w:firstLine="240" w:firstLineChars="100"/>
                                      <w:jc w:val="both"/>
                                      <w:rPr>
                                        <w:rFonts w:ascii="仿宋_GB2312"/>
                                        <w:sz w:val="24"/>
                                      </w:rPr>
                                    </w:pPr>
                                    <w:r>
                                      <w:rPr>
                                        <w:rFonts w:hint="eastAsia" w:ascii="仿宋_GB2312"/>
                                        <w:sz w:val="24"/>
                                      </w:rPr>
                                      <w:t>建设检查井</w:t>
                                    </w:r>
                                  </w:p>
                                </w:txbxContent>
                              </v:textbox>
                            </v:rect>
                            <v:line id="_x0000_s1026" o:spid="_x0000_s1026" o:spt="20" style="position:absolute;left:6046;top:347632;height:471;width:3;" filled="f" stroked="t" coordsize="21600,21600" o:gfxdata="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10d2&#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8484;top:348074;height:1;width:540;rotation:5898240f;" filled="f" stroked="t" coordsize="21600,21600" o:gfxdata="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s3ByrsAAADb&#10;AAAADwAAAAAAAAABACAAAAAiAAAAZHJzL2Rvd25yZXYueG1sUEsBAhQAFAAAAAgAh07iQDMvBZ47&#10;AAAAOQAAABAAAAAAAAAAAQAgAAAACgEAAGRycy9zaGFwZXhtbC54bWxQSwUGAAAAAAYABgBbAQAA&#10;tAMAAAAA&#10;">
                              <v:fill on="f" focussize="0,0"/>
                              <v:stroke color="#000000" joinstyle="round" dashstyle="dashDot" endarrow="block"/>
                              <v:imagedata o:title=""/>
                              <o:lock v:ext="edit" aspectratio="f"/>
                            </v:line>
                            <v:shape id="_x0000_s1026" o:spid="_x0000_s1026" o:spt="202" type="#_x0000_t202" style="position:absolute;left:2846;top:348154;height:930;width:1370;" filled="f" stroked="f" coordsize="21600,21600" o:gfxdata="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ygEN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835C7D1">
                                    <w:pPr>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ascii="仿宋_GB2312"/>
                                        <w:sz w:val="21"/>
                                        <w:szCs w:val="21"/>
                                      </w:rPr>
                                    </w:pPr>
                                    <w:r>
                                      <w:rPr>
                                        <w:rFonts w:hint="eastAsia" w:ascii="仿宋_GB2312"/>
                                        <w:sz w:val="21"/>
                                        <w:szCs w:val="21"/>
                                      </w:rPr>
                                      <w:t>扬尘</w:t>
                                    </w:r>
                                    <w:r>
                                      <w:rPr>
                                        <w:rFonts w:hint="eastAsia" w:ascii="仿宋_GB2312"/>
                                        <w:sz w:val="21"/>
                                        <w:szCs w:val="21"/>
                                        <w:highlight w:val="none"/>
                                      </w:rPr>
                                      <w:t>、</w:t>
                                    </w:r>
                                    <w:r>
                                      <w:rPr>
                                        <w:rFonts w:hint="eastAsia" w:ascii="仿宋_GB2312"/>
                                        <w:sz w:val="21"/>
                                        <w:szCs w:val="21"/>
                                      </w:rPr>
                                      <w:t>噪声、固废</w:t>
                                    </w:r>
                                  </w:p>
                                </w:txbxContent>
                              </v:textbox>
                            </v:shape>
                            <v:rect id="_x0000_s1026" o:spid="_x0000_s1026" o:spt="1" style="position:absolute;left:4745;top:348088;height:960;width:2556;" fillcolor="#FFFFFF" filled="t" stroked="t" coordsize="21600,21600" o:gfxdata="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kF+jO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2582E39B">
                                    <w:pPr>
                                      <w:keepNext w:val="0"/>
                                      <w:keepLines w:val="0"/>
                                      <w:pageBreakBefore w:val="0"/>
                                      <w:widowControl/>
                                      <w:kinsoku w:val="0"/>
                                      <w:wordWrap/>
                                      <w:overflowPunct/>
                                      <w:topLinePunct w:val="0"/>
                                      <w:bidi w:val="0"/>
                                      <w:adjustRightInd w:val="0"/>
                                      <w:snapToGrid w:val="0"/>
                                      <w:ind w:left="0" w:leftChars="0" w:firstLine="0" w:firstLineChars="0"/>
                                      <w:jc w:val="both"/>
                                      <w:textAlignment w:val="baseline"/>
                                      <w:rPr>
                                        <w:sz w:val="21"/>
                                        <w:szCs w:val="21"/>
                                      </w:rPr>
                                    </w:pPr>
                                    <w:r>
                                      <w:rPr>
                                        <w:rFonts w:hint="eastAsia" w:ascii="仿宋_GB2312"/>
                                        <w:sz w:val="21"/>
                                        <w:szCs w:val="21"/>
                                      </w:rPr>
                                      <w:t>管道安装</w:t>
                                    </w:r>
                                    <w:r>
                                      <w:rPr>
                                        <w:rFonts w:hint="eastAsia" w:ascii="仿宋_GB2312" w:eastAsia="宋体"/>
                                        <w:sz w:val="21"/>
                                        <w:szCs w:val="21"/>
                                        <w:lang w:eastAsia="zh-CN"/>
                                      </w:rPr>
                                      <w:t>、</w:t>
                                    </w:r>
                                    <w:r>
                                      <w:rPr>
                                        <w:rFonts w:hint="eastAsia" w:ascii="仿宋_GB2312"/>
                                        <w:sz w:val="21"/>
                                        <w:szCs w:val="21"/>
                                      </w:rPr>
                                      <w:t>组接、补口、补伤</w:t>
                                    </w:r>
                                  </w:p>
                                </w:txbxContent>
                              </v:textbox>
                            </v:rect>
                            <v:shape id="_x0000_s1026" o:spid="_x0000_s1026" o:spt="202" type="#_x0000_t202" style="position:absolute;left:7683;top:348240;height:1012;width:1737;" filled="f" stroked="f" coordsize="21600,21600" o:gfxdata="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2P9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6C98853">
                                    <w:pPr>
                                      <w:ind w:left="0" w:leftChars="0" w:firstLine="0" w:firstLineChars="0"/>
                                      <w:rPr>
                                        <w:rFonts w:ascii="仿宋_GB2312"/>
                                        <w:sz w:val="21"/>
                                        <w:szCs w:val="21"/>
                                      </w:rPr>
                                    </w:pPr>
                                    <w:r>
                                      <w:rPr>
                                        <w:rFonts w:hint="eastAsia" w:ascii="仿宋_GB2312"/>
                                        <w:sz w:val="21"/>
                                        <w:szCs w:val="21"/>
                                      </w:rPr>
                                      <w:t>扬尘、固废、废水、噪声</w:t>
                                    </w:r>
                                  </w:p>
                                </w:txbxContent>
                              </v:textbox>
                            </v:shape>
                            <v:line id="_x0000_s1026" o:spid="_x0000_s1026" o:spt="20" style="position:absolute;left:4196;top:348569;height:0;width:540;rotation:11796480f;" filled="f" stroked="t" coordsize="21600,21600" o:gfxdata="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QJ9ZvQAA&#10;ANw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line>
                            <v:shape id="_x0000_s1026" o:spid="_x0000_s1026" o:spt="202" type="#_x0000_t202" style="position:absolute;left:2800;top:350251;height:584;width:2903;" filled="f" stroked="f" coordsize="21600,21600" o:gfxdata="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TAjW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73BD2E0E">
                                    <w:pPr>
                                      <w:ind w:left="0" w:leftChars="0" w:firstLine="0" w:firstLineChars="0"/>
                                      <w:rPr>
                                        <w:rFonts w:ascii="仿宋_GB2312"/>
                                        <w:sz w:val="21"/>
                                        <w:szCs w:val="21"/>
                                      </w:rPr>
                                    </w:pPr>
                                    <w:r>
                                      <w:rPr>
                                        <w:rFonts w:hint="eastAsia" w:ascii="仿宋_GB2312"/>
                                        <w:sz w:val="21"/>
                                        <w:szCs w:val="21"/>
                                      </w:rPr>
                                      <w:t>扬尘、废水、噪声、固废</w:t>
                                    </w:r>
                                  </w:p>
                                </w:txbxContent>
                              </v:textbox>
                            </v:shape>
                            <v:rect id="_x0000_s1026" o:spid="_x0000_s1026" o:spt="1" style="position:absolute;left:6243;top:350191;height:581;width:3600;" fillcolor="#FFFFFF" filled="t" stroked="t" coordsize="21600,21600" o:gfxdata="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DC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3C2B0FA">
                                    <w:pPr>
                                      <w:jc w:val="both"/>
                                      <w:rPr>
                                        <w:rFonts w:ascii="仿宋_GB2312"/>
                                        <w:sz w:val="21"/>
                                        <w:szCs w:val="21"/>
                                      </w:rPr>
                                    </w:pPr>
                                    <w:r>
                                      <w:rPr>
                                        <w:rFonts w:hint="eastAsia" w:ascii="仿宋_GB2312"/>
                                        <w:sz w:val="21"/>
                                        <w:szCs w:val="21"/>
                                      </w:rPr>
                                      <w:t>灌水试验、管沟回填</w:t>
                                    </w:r>
                                  </w:p>
                                </w:txbxContent>
                              </v:textbox>
                            </v:rect>
                            <v:line id="_x0000_s1026" o:spid="_x0000_s1026" o:spt="20" style="position:absolute;left:5703;top:350530;height:0;width:540;rotation:11796480f;" filled="f" stroked="t" coordsize="21600,21600" o:gfxdata="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iB5JvQAA&#10;ANs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line>
                            <v:line id="_x0000_s1026" o:spid="_x0000_s1026" o:spt="20" style="position:absolute;left:7863;top:350781;height:312;width:1;" filled="f" stroked="t" coordsize="21600,21600" o:gfxdata="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t8C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_x0000_s1026" o:spid="_x0000_s1026" o:spt="1" style="position:absolute;left:5963;top:351056;height:542;width:3879;" fillcolor="#FFFFFF" filled="t" stroked="t" coordsize="21600,21600" o:gfxdata="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P1m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A976937">
                                    <w:pPr>
                                      <w:ind w:left="0" w:leftChars="0" w:firstLine="210" w:firstLineChars="100"/>
                                      <w:jc w:val="both"/>
                                      <w:rPr>
                                        <w:sz w:val="21"/>
                                        <w:szCs w:val="21"/>
                                      </w:rPr>
                                    </w:pPr>
                                    <w:r>
                                      <w:rPr>
                                        <w:rFonts w:hint="eastAsia" w:ascii="仿宋_GB2312"/>
                                        <w:sz w:val="21"/>
                                        <w:szCs w:val="21"/>
                                      </w:rPr>
                                      <w:t>清理现场、恢复地貌、恢复植被</w:t>
                                    </w:r>
                                  </w:p>
                                </w:txbxContent>
                              </v:textbox>
                            </v:rect>
                            <v:line id="_x0000_s1026" o:spid="_x0000_s1026" o:spt="20" style="position:absolute;left:7861;top:351549;height:312;width:1;" filled="f" stroked="t" coordsize="21600,21600" o:gfxdata="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9mD0L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rect id="_x0000_s1026" o:spid="_x0000_s1026" o:spt="1" style="position:absolute;left:6143;top:351863;height:523;width:3421;" fillcolor="#FFFFFF" filled="t" stroked="t" coordsize="21600,21600" o:gfxdata="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KDEcb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A6415A5">
                                    <w:pPr>
                                      <w:ind w:firstLine="840" w:firstLineChars="400"/>
                                      <w:jc w:val="both"/>
                                      <w:rPr>
                                        <w:rFonts w:ascii="仿宋_GB2312"/>
                                        <w:sz w:val="21"/>
                                        <w:szCs w:val="21"/>
                                      </w:rPr>
                                    </w:pPr>
                                    <w:r>
                                      <w:rPr>
                                        <w:rFonts w:hint="eastAsia" w:ascii="仿宋_GB2312"/>
                                        <w:sz w:val="21"/>
                                        <w:szCs w:val="21"/>
                                      </w:rPr>
                                      <w:t>试运行投用</w:t>
                                    </w:r>
                                  </w:p>
                                </w:txbxContent>
                              </v:textbox>
                            </v:rect>
                            <v:rect id="_x0000_s1026" o:spid="_x0000_s1026" o:spt="1" style="position:absolute;left:6241;top:352641;height:525;width:3420;" fillcolor="#FFFFFF" filled="t" stroked="t" coordsize="21600,21600" o:gfxdata="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3N2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EE272B0">
                                    <w:pPr>
                                      <w:ind w:firstLine="840" w:firstLineChars="400"/>
                                      <w:jc w:val="both"/>
                                      <w:rPr>
                                        <w:rFonts w:ascii="仿宋_GB2312"/>
                                        <w:sz w:val="21"/>
                                        <w:szCs w:val="21"/>
                                      </w:rPr>
                                    </w:pPr>
                                    <w:r>
                                      <w:rPr>
                                        <w:rFonts w:hint="eastAsia" w:ascii="仿宋_GB2312"/>
                                        <w:sz w:val="21"/>
                                        <w:szCs w:val="21"/>
                                      </w:rPr>
                                      <w:t>竣工验收</w:t>
                                    </w:r>
                                  </w:p>
                                </w:txbxContent>
                              </v:textbox>
                            </v:rect>
                            <v:line id="_x0000_s1026" o:spid="_x0000_s1026" o:spt="20" style="position:absolute;left:7861;top:352329;height:312;width:1;" filled="f" stroked="t" coordsize="21600,21600" o:gfxdata="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7e7r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v:group>
                        <v:line id="_x0000_s1026" o:spid="_x0000_s1026" o:spt="20" style="position:absolute;left:9523;top:347801;height:2422;width:32;" filled="f" stroked="t" coordsize="21600,21600" o:gfxdata="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H1qu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w10:wrap type="topAndBottom"/>
                    </v:group>
                  </w:pict>
                </mc:Fallback>
              </mc:AlternateContent>
            </w: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5-3</w:t>
            </w:r>
            <w:r>
              <w:rPr>
                <w:rFonts w:hint="default" w:ascii="Times New Roman" w:hAnsi="Times New Roman" w:eastAsia="宋体" w:cs="Times New Roman"/>
                <w:b/>
                <w:bCs/>
                <w:color w:val="000000" w:themeColor="text1"/>
                <w:sz w:val="21"/>
                <w:szCs w:val="21"/>
                <w14:textFill>
                  <w14:solidFill>
                    <w14:schemeClr w14:val="tx1"/>
                  </w14:solidFill>
                </w14:textFill>
              </w:rPr>
              <w:t xml:space="preserve">   管线工程施工流程及产污节点示意图</w:t>
            </w:r>
          </w:p>
          <w:p w14:paraId="64BD8AE8">
            <w:pPr>
              <w:pStyle w:val="35"/>
              <w:keepNext w:val="0"/>
              <w:keepLines w:val="0"/>
              <w:pageBreakBefore w:val="0"/>
              <w:widowControl w:val="0"/>
              <w:kinsoku/>
              <w:wordWrap/>
              <w:overflowPunct/>
              <w:topLinePunct w:val="0"/>
              <w:bidi w:val="0"/>
              <w:adjustRightInd/>
              <w:snapToGrid/>
              <w:spacing w:line="360" w:lineRule="auto"/>
              <w:jc w:val="both"/>
              <w:outlineLvl w:val="9"/>
              <w:rPr>
                <w:rFonts w:hint="default" w:ascii="Times New Roman" w:hAnsi="Times New Roman" w:eastAsia="宋体" w:cs="Times New Roman"/>
                <w:b/>
                <w:color w:val="000000" w:themeColor="text1"/>
                <w:szCs w:val="24"/>
                <w:highlight w:val="none"/>
                <w:lang w:val="en-US" w:eastAsia="zh-CN"/>
                <w14:textFill>
                  <w14:solidFill>
                    <w14:schemeClr w14:val="tx1"/>
                  </w14:solidFill>
                </w14:textFill>
              </w:rPr>
            </w:pPr>
            <w:r>
              <w:rPr>
                <w:rFonts w:hint="eastAsia" w:ascii="Times New Roman" w:cs="Times New Roman"/>
                <w:b/>
                <w:color w:val="000000" w:themeColor="text1"/>
                <w:szCs w:val="24"/>
                <w:highlight w:val="none"/>
                <w:lang w:val="en-US" w:eastAsia="zh-CN"/>
                <w14:textFill>
                  <w14:solidFill>
                    <w14:schemeClr w14:val="tx1"/>
                  </w14:solidFill>
                </w14:textFill>
              </w:rPr>
              <w:t>（2）</w:t>
            </w:r>
            <w:r>
              <w:rPr>
                <w:rFonts w:hint="default" w:ascii="Times New Roman" w:hAnsi="Times New Roman" w:eastAsia="宋体" w:cs="Times New Roman"/>
                <w:b/>
                <w:color w:val="000000" w:themeColor="text1"/>
                <w:szCs w:val="24"/>
                <w:highlight w:val="none"/>
                <w:lang w:val="en-US" w:eastAsia="zh-CN"/>
                <w14:textFill>
                  <w14:solidFill>
                    <w14:schemeClr w14:val="tx1"/>
                  </w14:solidFill>
                </w14:textFill>
              </w:rPr>
              <w:t>施工方案</w:t>
            </w:r>
          </w:p>
          <w:p w14:paraId="60AB4734">
            <w:pPr>
              <w:ind w:left="0" w:leftChars="0" w:firstLine="0" w:firstLineChars="0"/>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2.1</w:t>
            </w:r>
            <w:r>
              <w:rPr>
                <w:rFonts w:hint="eastAsia" w:cs="Times New Roman"/>
                <w:b/>
                <w:color w:val="000000" w:themeColor="text1"/>
                <w:sz w:val="24"/>
                <w:szCs w:val="24"/>
                <w:highlight w:val="none"/>
                <w:lang w:val="en-US" w:eastAsia="zh-CN"/>
                <w14:textFill>
                  <w14:solidFill>
                    <w14:schemeClr w14:val="tx1"/>
                  </w14:solidFill>
                </w14:textFill>
              </w:rPr>
              <w:t>中水储库</w:t>
            </w:r>
          </w:p>
          <w:p w14:paraId="1B4EA3D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坝体填筑程序：定位测量→坝基清基→基础处理→坝体分层填筑、碾压→削坡、整平→坡脚阻滑墙施工→砂砾石垫层、防渗铺膜及砼护坡施工→坝顶道路施工。</w:t>
            </w:r>
          </w:p>
          <w:p w14:paraId="7537DEE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主要施工机械：坝体填筑主要用挖掘机开挖，自卸汽车运输，推土机推平，振动碾压实。</w:t>
            </w:r>
          </w:p>
          <w:p w14:paraId="79496D6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1）坝基处理</w:t>
            </w:r>
          </w:p>
          <w:p w14:paraId="4FF894C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坝基清基捡拾树根和芦苇后，采用74kw推土机推土，清基料拉运至弃料场。坝基面洒水，采用振动碾碾压，压实后的坝基面干容重应达到设计要求。</w:t>
            </w:r>
          </w:p>
          <w:p w14:paraId="5EDD16F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2）坝体填筑</w:t>
            </w:r>
          </w:p>
          <w:p w14:paraId="63759E8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坝体土料填筑施工工序包括土料铺设和碾压，基本作业为卸料、平料、压实及质量检查，铺助作业为原坝体翻松、刨毛、清理坝面、接缝处理等。</w:t>
            </w:r>
          </w:p>
          <w:p w14:paraId="3B79181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填筑作业的特点是工作面宽度变化快、工序多。坝面施工应统一管理、严密组织，保证工序衔接，分段流水作业。坝体应密实均匀，具有足够的抗剪强度、较小的压缩性，并满足渗流控制标准。本次坝体填筑分层压实，压实后的相对密度不小于 0.7，填筑含水率与最优含水率的允许偏差为±3%。</w:t>
            </w:r>
          </w:p>
          <w:p w14:paraId="1DD12B4B">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（1）施工方法</w:t>
            </w:r>
          </w:p>
          <w:p w14:paraId="558C168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坝体土料铺填，采用自卸汽车卸料，推土机平料。自卸汽车用进占法卸料，即汽车在已平好的松土层上卸料，用推土机向前进占平料。</w:t>
            </w:r>
          </w:p>
          <w:p w14:paraId="2FEE7B99">
            <w:pPr>
              <w:pStyle w:val="36"/>
              <w:keepNext w:val="0"/>
              <w:keepLines w:val="0"/>
              <w:pageBreakBefore w:val="0"/>
              <w:widowControl/>
              <w:kinsoku/>
              <w:wordWrap/>
              <w:overflowPunct/>
              <w:topLinePunct w:val="0"/>
              <w:autoSpaceDE/>
              <w:autoSpaceDN/>
              <w:bidi w:val="0"/>
              <w:adjustRightInd/>
              <w:snapToGrid/>
              <w:ind w:left="0" w:leftChars="0"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坝体压实机械采用16t凸块振动碾，铺层厚度50cm，碾压6～8遍，其实际层厚和碾压遍数由现场实验确定。</w:t>
            </w:r>
          </w:p>
          <w:p w14:paraId="0DE5297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（2）填筑料制备</w:t>
            </w:r>
          </w:p>
          <w:p w14:paraId="0C5C8CD9">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坝体填筑料取用筑坝土料，土料的天然含水量为 16-20%，土料沿坝堆放，经过培土后采用挖掘机装车，自卸汽车运输。</w:t>
            </w:r>
          </w:p>
          <w:p w14:paraId="58A6F54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3）砂砾石垫层施工</w:t>
            </w:r>
          </w:p>
          <w:p w14:paraId="6CDF9B9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护坡下砂砾石垫层厚0.4m。砂砾石垫层施工时，应选择级配良好的的砂砾石料，要求0.1mm以下粒径含量小于5%。砂砾石料采用自卸汽车运至现场，采用溜槽从坝顶送料。夯实机械宜采用大功率平板振动器逐层拖振，</w:t>
            </w:r>
          </w:p>
          <w:p w14:paraId="0BE4FA59">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每层厚度不大于20cm，相对密实度应大于0.75。振实后，人工清理整平，并顺坡面再拖振一次，使坡面平整光滑，以确保填筑质量。</w:t>
            </w:r>
          </w:p>
          <w:p w14:paraId="78B1AAF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4）土工膜施工</w:t>
            </w:r>
          </w:p>
          <w:p w14:paraId="257A66F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（1）土工膜铺设</w:t>
            </w:r>
          </w:p>
          <w:p w14:paraId="2EC7781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①土工膜铺设前应先测量放线，沿线铺设土工膜误差应控制在设计允许范围内。</w:t>
            </w:r>
          </w:p>
          <w:p w14:paraId="1DAE567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②土工膜铺设应选在干燥、风力较小、温暖天气进行。</w:t>
            </w:r>
          </w:p>
          <w:p w14:paraId="1C200D2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③铺设时不应过紧，应留足余幅(大约1.5%)，一般采用波浪形松弛铺设型式，要求随地基填筑时协调施工。</w:t>
            </w:r>
          </w:p>
          <w:p w14:paraId="6FAB359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（2）土工膜连接土工膜连接包括土工膜与趾板连接、土工膜自身焊接。已施工好的土工膜接头应妥善保护，避免人为因素或机械破坏。</w:t>
            </w:r>
          </w:p>
          <w:p w14:paraId="532A6AB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①土工膜自身焊接应经现场试验检验。焊接后的土工膜拉伸强度应不降与母材强度。检验合格后，并报经监理工程师批准后，才能进行施工。</w:t>
            </w:r>
          </w:p>
          <w:p w14:paraId="0E50079B">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②土工膜焊接施工前，应检查是否有破损，发现破损应立即修缮。摊平膜体，在接口处先除去灰尘后方可焊接。土工膜自身焊接缝宽度一般为10cm，并应保证两条焊缝之间留有约10mm的空腔。</w:t>
            </w:r>
          </w:p>
          <w:p w14:paraId="277E771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③土工膜自身焊接试验应先在室内进行，拼接车间应有顶棚防雨，自然通风，并应加强职工劳保措施。</w:t>
            </w:r>
          </w:p>
          <w:p w14:paraId="343466B0">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④现场焊接时，承建单位应根据不同气候条件，调整焊机温度及焊接速度。已焊接好的土工膜必须及时做好上层保护措施，防止受损，已拼接好的土工膜留边接口，应用薄膜保护好，防止接口土工膜被污染。</w:t>
            </w:r>
          </w:p>
          <w:p w14:paraId="0AE158B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（3）土工布连接</w:t>
            </w:r>
          </w:p>
          <w:p w14:paraId="46573D9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相邻土工布块拼接采用缝接，上层布与下层不接缝错开。缝接形式见下图。</w:t>
            </w:r>
          </w:p>
          <w:p w14:paraId="62E775B2">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（4）土料回填</w:t>
            </w:r>
          </w:p>
          <w:p w14:paraId="4C533DD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①土工膜铺设检查合格后，应按设计文件要求及时回填保护土料。不得有机械在已铺设好的土工膜上作业，以防破坏膜体。</w:t>
            </w:r>
          </w:p>
          <w:p w14:paraId="43A5F80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②承建单位应规划好施工期施工道路，采取可靠的车辆等机械设备跨</w:t>
            </w:r>
          </w:p>
          <w:p w14:paraId="46B86D2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越土工膜和施工区的工程措施，协调组织好回填保护土料和土工膜铺设施工。</w:t>
            </w:r>
          </w:p>
          <w:p w14:paraId="5D8FF2C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③施工过程中应避免施工机械或人为破坏土工膜，一旦发现土工膜被破坏，应立即向监理机构报告并按监理机构的指示更换破损部分或进行补修。</w:t>
            </w:r>
          </w:p>
          <w:p w14:paraId="54B89B55">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5）砼护坡浇筑本次设计坝体坡面砼采用C30砼，抗冻标号F200，抗渗等级W6，地下水位以下部位采用抗硫酸盐水泥，砼护坡板厚0.15m，采用二级配砼，水泥用量不小于300kg/m</w:t>
            </w:r>
            <w:r>
              <w:rPr>
                <w:rFonts w:hint="default" w:ascii="Times New Roman" w:hAnsi="Times New Roman" w:cs="Times New Roman"/>
                <w:color w:val="000000" w:themeColor="text1"/>
                <w:vertAlign w:val="superscript"/>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，拌和时添加引气剂和或者引气减水剂。</w:t>
            </w:r>
          </w:p>
          <w:p w14:paraId="2311F7B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砼的浇筑施工采用跳仓法，顺序为从下向上。砼护坡板的侧模采用组合钢模板，侧模的高度15cm，与砼面板厚度相适应，制作时，尺寸应加入分缝材料的厚度。</w:t>
            </w:r>
          </w:p>
          <w:p w14:paraId="1CFFC69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混凝土由搅拌机提供。混凝土采用3m³砼运输车水平运输至工地，垂直运输采用滑槽，滑槽顶端设置集料斗。滑槽的安放角度与护坡角度平行，可适当调陡。</w:t>
            </w:r>
          </w:p>
          <w:p w14:paraId="1CC07E0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混凝土入仓采用人工布料，一套模板内一次布料，并及时振捣。振捣器采用2.2kw平板振捣器。振捣器不得靠在模板上，模板周围的混凝土采用钢钎或钢筋棍振捣密实。</w:t>
            </w:r>
          </w:p>
          <w:p w14:paraId="5AFABB75">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护坡浇筑振捣密实后采用自动磨光机进行表面收光，收光后要及时洒水养护，防止出现裂缝。</w:t>
            </w:r>
          </w:p>
          <w:p w14:paraId="322BF8EE">
            <w:pPr>
              <w:keepNext w:val="0"/>
              <w:keepLines w:val="0"/>
              <w:pageBreakBefore w:val="0"/>
              <w:widowControl/>
              <w:kinsoku/>
              <w:wordWrap/>
              <w:overflowPunct/>
              <w:topLinePunct w:val="0"/>
              <w:autoSpaceDE/>
              <w:autoSpaceDN/>
              <w:bidi w:val="0"/>
              <w:adjustRightInd w:val="0"/>
              <w:snapToGrid w:val="0"/>
              <w:spacing w:line="360" w:lineRule="auto"/>
              <w:ind w:left="0" w:leftChars="0" w:firstLine="0" w:firstLineChars="0"/>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2.2进出口建筑物施工</w:t>
            </w:r>
          </w:p>
          <w:p w14:paraId="369B0FBB">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建筑物施工程序：基础放线及开挖→基础处理→钢筋砼浇筑→管道安装与调试→回填土夯实→施工场地清理。</w:t>
            </w:r>
          </w:p>
          <w:p w14:paraId="669FFEC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1）土方开挖和基础处理</w:t>
            </w:r>
          </w:p>
          <w:p w14:paraId="66B04DB2">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建筑物基槽土方采用挖掘机开挖。开挖前应精确放线，按基坑开挖图进行。基础开挖用1m</w:t>
            </w:r>
            <w:r>
              <w:rPr>
                <w:rFonts w:hint="eastAsia" w:ascii="Times New Roman" w:hAnsi="Times New Roman" w:cs="Times New Roman"/>
                <w:color w:val="000000" w:themeColor="text1"/>
                <w:vertAlign w:val="superscript"/>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挖掘机。施工场地清理，将弃渣拉运弃料场堆放。</w:t>
            </w:r>
          </w:p>
          <w:p w14:paraId="3419E1D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2）混凝土浇筑</w:t>
            </w:r>
          </w:p>
          <w:p w14:paraId="1562B78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施工时遵循先重后轻的原则。墙砼浇筑：采用人工架设脚手架、架立模板，1t机动翻斗车运输砼，人工架子车转运入仓，人工平仓，插入式振捣器捣实，人工洒水养护。闸阀井可制作整体模板，全断面上升。根据建筑物结构特点，混凝土入仓宜采用导管，避免产生骨料分离。采用插入式振捣器振捣。检查止水带的完整性并按照设计要求放置止水带。</w:t>
            </w:r>
          </w:p>
          <w:p w14:paraId="0A3C5959">
            <w:pPr>
              <w:keepNext w:val="0"/>
              <w:keepLines w:val="0"/>
              <w:pageBreakBefore w:val="0"/>
              <w:widowControl/>
              <w:kinsoku/>
              <w:wordWrap/>
              <w:overflowPunct/>
              <w:topLinePunct w:val="0"/>
              <w:autoSpaceDE/>
              <w:autoSpaceDN/>
              <w:bidi w:val="0"/>
              <w:adjustRightInd w:val="0"/>
              <w:snapToGrid w:val="0"/>
              <w:spacing w:line="360" w:lineRule="auto"/>
              <w:ind w:left="0" w:leftChars="0" w:firstLine="0" w:firstLineChars="0"/>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2.3玻璃钢管施工</w:t>
            </w:r>
          </w:p>
          <w:p w14:paraId="449A548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（1）管沟开挖回填</w:t>
            </w:r>
          </w:p>
          <w:p w14:paraId="5B58BB3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沟槽的开挖时不得超挖，槽底原状地基土不得扰动，机械开挖时槽底预留200~300mm土层由人工开挖至设计高程，整平夯实。槽底不得受水浸泡或受冻，槽底局部扰动或受水浸泡时，宜采用天然级配砂砾石或石灰土回填。槽底土层为杂填土、腐蚀性土时，应全部挖除并按设计要求进行地基处理，开挖时槽壁平顺，边坡坡度符合设计图纸规定。</w:t>
            </w:r>
          </w:p>
          <w:p w14:paraId="7CC97E3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管沟回填前，检查管网接头处质量，合格后方可回填，在管道附近采用细土回填，管顶以上300mm采用人工压实，其余部分土方分层回填，达到设计压实度要求。</w:t>
            </w:r>
          </w:p>
          <w:p w14:paraId="56E85E6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（2）管道装卸和存放</w:t>
            </w:r>
          </w:p>
          <w:p w14:paraId="249DF65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①管道装卸过程中应轻装轻放，严禁摔跌或撞击。</w:t>
            </w:r>
          </w:p>
          <w:p w14:paraId="28AC9B6D">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②管道装卸机具的工作位置必须稳定，机具的起吊能力必须可靠。</w:t>
            </w:r>
          </w:p>
          <w:p w14:paraId="270DCD2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③管道可采用一个支撑点或两个支撑点起吊，应保证管道在空中均衡，严禁用绳子贯穿其两端装卸管道。</w:t>
            </w:r>
          </w:p>
          <w:p w14:paraId="6144254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④装卸采用的吊装绳应是柔韧的、较宽的皮带、吊带或绳索，严禁采用钢丝绳或铁链吊装管道。</w:t>
            </w:r>
          </w:p>
          <w:p w14:paraId="34ACFD65">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⑤长途运输的不同管径的管道，可采用套装方式。套装的管道应按专门的装卸程序处理。</w:t>
            </w:r>
          </w:p>
          <w:p w14:paraId="21C91F0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⑥当管道直接存放在地上时，地面应平坦。严禁将管道存放在尖锐的硬物上，所有堆放的管道应加木棋防止滚动。</w:t>
            </w:r>
          </w:p>
          <w:p w14:paraId="4ED665A0">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⑦管道应按规格压力等级分类堆放，每堆一层应垫放枕木，枕木间距应小于1/2管长，管道堆放高度不得超过2m。</w:t>
            </w:r>
          </w:p>
          <w:p w14:paraId="03907CC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（3）管道运输</w:t>
            </w:r>
          </w:p>
          <w:p w14:paraId="3CF5283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①管道发运前应做好管壁和接头的保护。单个管道或管道单元发运时，应视管径大小、数量多少确定运输组合方式。</w:t>
            </w:r>
          </w:p>
          <w:p w14:paraId="4A40545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②管道运输时，应使两根管的管壁保持一定距离，并分别在管底嵌入木模保持稳定。</w:t>
            </w:r>
          </w:p>
          <w:p w14:paraId="5478733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③管道在运输车上的堆装高度视管径大小而定，不得多于2-3层。</w:t>
            </w:r>
          </w:p>
          <w:p w14:paraId="0DB8649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（3）管道安装；</w:t>
            </w:r>
          </w:p>
          <w:p w14:paraId="217BFC4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玻璃钢管采用“O”型密封圈承插连接安装，可直接将标准长度的玻璃钢管材及管件沿已开挖沟槽顺直摆放，每根管的承口方向与设计的水流方向相反，由于玻璃钢管材是由复合柔性材料制成的，其接口连接方式采用承插式双“O”型密封圈连接，其安装工序如下：①连接前在基础相对应的管道接口位置下挖一个凹槽；②在承口内表面均匀涂上液体润滑剂，然后把两个“O”型橡胶圈分别套装在插口上；③采用手拉葫芦将管道先吊离地面避免管子与地面的摩擦，减少安装力。</w:t>
            </w:r>
          </w:p>
          <w:p w14:paraId="1CC00BA9">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如安装的玻璃钢管管线不在同一轴线上，由于橡胶密封圈有一定的柔性，联接处可偏移小于1.0°；若大于1.0°时，需弯头过渡安装联接，但都必须经水压检验橡胶密封圈的密封性能。</w:t>
            </w:r>
          </w:p>
          <w:p w14:paraId="7817600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“O”型密封圈承插连接安装注意事项如下：</w:t>
            </w:r>
          </w:p>
          <w:p w14:paraId="24067EA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（一）将管道置于管沟边上，彻底清除承插口部位的沙土及泥渣等，然后用手在承口内沿圆周方向滑动，检查是否光滑，插口密封槽深度是否一致以及在搬运、吊装时是否有损坏。</w:t>
            </w:r>
          </w:p>
          <w:p w14:paraId="2623608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（二）回填或固定第一节管子，并在端部留出回填段，该段长以满足下节管子承插操作和检查为宜。将下一节管子下于管沟内，两节管之间最小要留300mm空间，以便于操作和检查。</w:t>
            </w:r>
          </w:p>
          <w:p w14:paraId="508E164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（三）再次用布清理承口和连接区域，并在承口内部涂一层中性润滑脂。</w:t>
            </w:r>
          </w:p>
          <w:p w14:paraId="326D6DB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（四）再次清理插口密封槽，取一个橡胶密封圈检查其内径和接头，并涂以中性润滑脂。</w:t>
            </w:r>
          </w:p>
          <w:p w14:paraId="0AD4891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（五）将密封圈套住密封槽的下部，并用力向上提，使其全部落入密封槽内，槽中的密封圈不许有捻。</w:t>
            </w:r>
          </w:p>
          <w:p w14:paraId="7755DD5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六）将两节管子的轴线方向找正找直，并使插口慢慢接近承口，当密封圈接触到承口时，检查密封圈和其它部位，确保密封圈位置正确并不粘有沙土等。然后将管子慢慢插入，当插入一半时，需停下来，检查密封圈的位置，以确保其位置正确，接着继续插入，直至规定插入长度为止，在上一节管子未被回填或固定之前，禁止下一节管插入。</w:t>
            </w:r>
          </w:p>
          <w:p w14:paraId="3396F60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七）每个承插口连接完毕后，必须随时检查密封圈的位置。检查工具为一条钢板尺或其它金属条，尺寸应为长大于200mm，宽15mm，厚0.4～0.5mm，能在承口与插口之间的缝隙内顺利插入。将金属条或钢板尺插入，沿环向滑动，检查密封圈是否有相同的深度，以此判断密封圈的深度是否一致，位置是否正确。</w:t>
            </w:r>
          </w:p>
          <w:p w14:paraId="5C4A33E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（八）承插方法：在承口前放一块比管径大一点的厚木板，用挖掘机的挖斗顶住木板，慢慢使其插入。当沟槽中的地下水对空管道的浮力很大时，应先用绳索（带）将管道固定。</w:t>
            </w:r>
          </w:p>
          <w:p w14:paraId="0A94501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九）在施工中，为缩短工期，施工单位可采取多点施工。为满足短管连接的需要，可采用平端糊口连接施工技术，即用环氧树脂和玻璃纤维布。具体平面操作方法是：刷一层环氧树脂，贴一层玻璃布，接口平面长度为500mm，一次所贴糊层数不宜多，待前一层初凝后再贴下一层。</w:t>
            </w:r>
          </w:p>
          <w:p w14:paraId="051FE8D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（十）玻璃钢管每安装一个承插口，均要作一次打压，可用手动试压泵直接通过管材本身已设置的试压孔，打水压至管道工作压力的 1.5 倍，保压时间为 3min，以不渗漏为合格，这样可直接检验每一节已安装完毕的管道承插口气密性质量情况，以确保整个管道系统总体试压成功。</w:t>
            </w:r>
          </w:p>
          <w:p w14:paraId="5FBB5C1D">
            <w:pPr>
              <w:pStyle w:val="35"/>
              <w:keepNext w:val="0"/>
              <w:keepLines w:val="0"/>
              <w:pageBreakBefore w:val="0"/>
              <w:widowControl/>
              <w:kinsoku/>
              <w:wordWrap/>
              <w:overflowPunct/>
              <w:topLinePunct w:val="0"/>
              <w:autoSpaceDE/>
              <w:autoSpaceDN/>
              <w:bidi w:val="0"/>
              <w:adjustRightInd/>
              <w:snapToGrid/>
              <w:spacing w:line="360" w:lineRule="auto"/>
              <w:jc w:val="both"/>
              <w:textAlignment w:val="baseline"/>
              <w:outlineLvl w:val="9"/>
              <w:rPr>
                <w:rFonts w:hint="default" w:ascii="Times New Roman" w:hAnsi="Times New Roman" w:cs="Times New Roman"/>
                <w:b/>
                <w:color w:val="000000" w:themeColor="text1"/>
                <w:szCs w:val="24"/>
                <w:highlight w:val="none"/>
                <w:lang w:val="en-US" w:eastAsia="zh-CN"/>
                <w14:textFill>
                  <w14:solidFill>
                    <w14:schemeClr w14:val="tx1"/>
                  </w14:solidFill>
                </w14:textFill>
              </w:rPr>
            </w:pPr>
            <w:r>
              <w:rPr>
                <w:rFonts w:hint="default" w:ascii="Times New Roman" w:hAnsi="Times New Roman" w:cs="Times New Roman"/>
                <w:b/>
                <w:color w:val="000000" w:themeColor="text1"/>
                <w:szCs w:val="24"/>
                <w:highlight w:val="none"/>
                <w:lang w:val="en-US" w:eastAsia="zh-CN"/>
                <w14:textFill>
                  <w14:solidFill>
                    <w14:schemeClr w14:val="tx1"/>
                  </w14:solidFill>
                </w14:textFill>
              </w:rPr>
              <w:t>2.4闸阀井施工</w:t>
            </w:r>
          </w:p>
          <w:p w14:paraId="02460EE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本次设计闸阀井采用砼闸阀井，施工工艺流程土方开挖、基础浇筑、井室浇筑、踏步安装、井盖安装。砼的浇筑和钢筋的绑扎满足规范要求。</w:t>
            </w:r>
          </w:p>
          <w:p w14:paraId="04964901">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06" w:firstLineChars="200"/>
              <w:textAlignment w:val="baseline"/>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w:t>
            </w:r>
            <w:r>
              <w:rPr>
                <w:rFonts w:hint="default" w:ascii="Times New Roman" w:hAnsi="Times New Roman" w:eastAsia="Times New Roman" w:cs="Times New Roman"/>
                <w:b/>
                <w:bCs/>
                <w:spacing w:val="-7"/>
                <w:sz w:val="28"/>
                <w:szCs w:val="28"/>
              </w:rPr>
              <w:t>6</w:t>
            </w:r>
            <w:r>
              <w:rPr>
                <w:rFonts w:hint="default" w:ascii="Times New Roman" w:hAnsi="Times New Roman" w:eastAsia="宋体" w:cs="Times New Roman"/>
                <w:b/>
                <w:bCs/>
                <w:spacing w:val="-7"/>
                <w:sz w:val="28"/>
                <w:szCs w:val="28"/>
                <w:lang w:val="en-US" w:eastAsia="zh-CN"/>
              </w:rPr>
              <w:t xml:space="preserve"> </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工程占地及平面布置</w:t>
            </w:r>
          </w:p>
          <w:p w14:paraId="697D3DD3">
            <w:pPr>
              <w:pStyle w:val="35"/>
              <w:keepNext w:val="0"/>
              <w:keepLines w:val="0"/>
              <w:pageBreakBefore w:val="0"/>
              <w:widowControl/>
              <w:kinsoku/>
              <w:wordWrap/>
              <w:overflowPunct/>
              <w:topLinePunct w:val="0"/>
              <w:autoSpaceDE/>
              <w:autoSpaceDN/>
              <w:bidi w:val="0"/>
              <w:adjustRightInd/>
              <w:snapToGrid/>
              <w:spacing w:line="360" w:lineRule="auto"/>
              <w:jc w:val="both"/>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1.1工程总体布置</w:t>
            </w:r>
          </w:p>
          <w:p w14:paraId="79B37FC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工程建设主要内容包含新建中水储库、提水泵站、输水管网等。新建中水储库位于皮山农场场部东侧1.8km处在建污水厂东侧，距离在建的污水处理厂200m，本次中水接入起点为污水处理厂的接触消毒池后的闸阀井，库前引水管流量为800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/h，采用重力自流方式流入储库，输水管采用直径800的钢管，输水长度450m。</w:t>
            </w:r>
          </w:p>
          <w:p w14:paraId="684D13D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中水储库布置在在建污水厂东侧，设计容积70万 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储库平面上呈“口”型布置，储库单侧堤防长度454m，堤防总长度1.816km。提水泵站位于储库北侧，泵站顺提水方向依次是前池、泵房、出水管道等。泵房内布置3台机组，3四台机组并排布置，每台水泵控制一个灌溉片区，水泵采用离心泵，其中1区提水泵站设计流量720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/h，型号为300KQW720-50-132/4，扬程50m。2区提水泵站设计流量690m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/h，水泵型号为300KQW670-70-200/4，扬程70m。3区提水泵站设计流量370m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/h，水泵型号为200KQL346-60-90/4，扬程60m。</w:t>
            </w:r>
          </w:p>
          <w:p w14:paraId="3A9B4B7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输水管网根据用水户分为3个区域，每个区域的输水管道独立布置，供水管道首端接泵站出水管。</w:t>
            </w:r>
          </w:p>
          <w:p w14:paraId="00ED130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1区供水对象为皮山农场场部绿化，场区的绿化灌溉内部管网已经建设完成，本次管网铺设到现有供水管网闸阀井处。输水管网总长度5.499km，输水干管采用直径 450/400的玻璃钢管。</w:t>
            </w:r>
          </w:p>
          <w:p w14:paraId="4171EFB5">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2区供水对象为阿火公路侧防护林和二连公路侧防护林，防护林内的滴灌系统已经建设完成，阿火公路侧防护林现状分为3个系统供水，水源为地下水，本次管网对接到现有水源供水口闸阀井处即可。2区供水管网总长度8.779km。</w:t>
            </w:r>
          </w:p>
          <w:p w14:paraId="625C5272">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3区供水对象为工业园区防护林，工业园区防护林目前正在规划建设，规划灌溉方式为滴灌，输水干管接泵站输水管向北铺设1.06km后，干管分两路，一路向西，长度1.576km，一路向东供水，管网长度4.6km，合计本次铺设管网总长度7.236km。</w:t>
            </w:r>
          </w:p>
          <w:p w14:paraId="46A24759">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1.1.1中水储库</w:t>
            </w:r>
          </w:p>
          <w:p w14:paraId="03EDF025">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本工程建设内容主要有中水储库（坝体工程、防渗库盘）、引水及放水建筑物、提水泵站、输水管网等组成。</w:t>
            </w:r>
          </w:p>
          <w:p w14:paraId="2D70F74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（1）站址位置及库盘高程</w:t>
            </w:r>
          </w:p>
          <w:p w14:paraId="46DB5D5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中水储库位于正在建设污水厂东侧200m处，距离北侧的柏油路370m。平面上呈“口”字型布置，四侧修建坝体。中水储库库盘高程1315.30m，正常蓄水位1318.80m，坝顶高程为1320.60m。</w:t>
            </w:r>
          </w:p>
          <w:p w14:paraId="565AE156">
            <w:pPr>
              <w:pStyle w:val="24"/>
              <w:keepNext w:val="0"/>
              <w:keepLines w:val="0"/>
              <w:pageBreakBefore w:val="0"/>
              <w:widowControl/>
              <w:kinsoku/>
              <w:wordWrap/>
              <w:overflowPunct/>
              <w:topLinePunct w:val="0"/>
              <w:autoSpaceDE/>
              <w:autoSpaceDN/>
              <w:bidi w:val="0"/>
              <w:adjustRightInd/>
              <w:snapToGrid/>
              <w:spacing w:beforeLines="0" w:afterLines="0" w:line="240" w:lineRule="auto"/>
              <w:ind w:left="0" w:leftChars="0" w:firstLine="0" w:firstLineChars="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drawing>
                <wp:inline distT="0" distB="0" distL="114300" distR="114300">
                  <wp:extent cx="5085715" cy="1954530"/>
                  <wp:effectExtent l="0" t="0" r="635" b="7620"/>
                  <wp:docPr id="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
                          <pic:cNvPicPr>
                            <a:picLocks noChangeAspect="1"/>
                          </pic:cNvPicPr>
                        </pic:nvPicPr>
                        <pic:blipFill>
                          <a:blip r:embed="rId30"/>
                          <a:stretch>
                            <a:fillRect/>
                          </a:stretch>
                        </pic:blipFill>
                        <pic:spPr>
                          <a:xfrm>
                            <a:off x="0" y="0"/>
                            <a:ext cx="5085715" cy="1954530"/>
                          </a:xfrm>
                          <a:prstGeom prst="rect">
                            <a:avLst/>
                          </a:prstGeom>
                          <a:noFill/>
                          <a:ln>
                            <a:noFill/>
                          </a:ln>
                        </pic:spPr>
                      </pic:pic>
                    </a:graphicData>
                  </a:graphic>
                </wp:inline>
              </w:drawing>
            </w:r>
          </w:p>
          <w:p w14:paraId="4D1E7603">
            <w:pPr>
              <w:pStyle w:val="8"/>
              <w:keepNext w:val="0"/>
              <w:keepLines w:val="0"/>
              <w:pageBreakBefore w:val="0"/>
              <w:widowControl/>
              <w:kinsoku/>
              <w:wordWrap/>
              <w:overflowPunct/>
              <w:topLinePunct w:val="0"/>
              <w:autoSpaceDE/>
              <w:autoSpaceDN/>
              <w:bidi w:val="0"/>
              <w:adjustRightInd/>
              <w:snapToGrid/>
              <w:spacing w:before="0" w:beforeLines="0" w:after="0" w:afterLines="0" w:line="240" w:lineRule="auto"/>
              <w:ind w:firstLine="0" w:firstLineChars="0"/>
              <w:jc w:val="center"/>
              <w:textAlignment w:val="auto"/>
              <w:outlineLvl w:val="9"/>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5-4</w:t>
            </w:r>
            <w:r>
              <w:rPr>
                <w:rFonts w:hint="default" w:ascii="Times New Roman" w:hAnsi="Times New Roman" w:eastAsia="宋体" w:cs="Times New Roman"/>
                <w:b/>
                <w:bCs/>
                <w:color w:val="000000" w:themeColor="text1"/>
                <w:sz w:val="21"/>
                <w:szCs w:val="21"/>
                <w14:textFill>
                  <w14:solidFill>
                    <w14:schemeClr w14:val="tx1"/>
                  </w14:solidFill>
                </w14:textFill>
              </w:rPr>
              <w:t xml:space="preserve">  </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中水库库盘横断面图</w:t>
            </w:r>
          </w:p>
          <w:p w14:paraId="058B921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（2）坝体设计</w:t>
            </w:r>
          </w:p>
          <w:p w14:paraId="69EA162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本次中水储蓄池设计容积70万m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，利用现有地势，结合污水厂的出水口高程，库盘四周均为坝体，蓄水池平面上呈“口”型布置，蓄水池单侧堤防长度454m，总计堤防长度1.816km，坝体为均质土坝，采用半挖半填型式，库盘平均开挖深度</w:t>
            </w:r>
            <w:r>
              <w:rPr>
                <w:rFonts w:hint="eastAsia" w:ascii="Times New Roman" w:hAnsi="Times New Roman" w:eastAsia="宋体" w:cs="Times New Roman"/>
                <w:color w:val="000000" w:themeColor="text1"/>
                <w:kern w:val="0"/>
                <w:sz w:val="24"/>
                <w:szCs w:val="24"/>
                <w:lang w:val="en-US" w:eastAsia="zh-CN" w:bidi="ar"/>
                <w14:textFill>
                  <w14:solidFill>
                    <w14:schemeClr w14:val="tx1"/>
                  </w14:solidFill>
                </w14:textFill>
              </w:rPr>
              <w:t>1</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5-2.5m，坝体填筑高度2.0-3.0m。坝体最大高度6.0m，蓄水水深3.5m。进水口布置在坝体的西侧，出水口布置在坝体的北侧，本次设计不设置死库容，出口口靠近进水口布置，方便在库水位较低时候，最大限度的利用库水。</w:t>
            </w:r>
          </w:p>
          <w:p w14:paraId="15DBEA6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坝线全长1.816km，坝体采用梯形断面，坝顶宽6m，坝顶设计高程1320.6m，中水储库为Ⅴ等小（2）型工程，坝顶宽取为6m，采用20cm厚混凝土路面。坝顶上游侧设置栏杆及路灯，两侧设置0.2×0.5m的C30砼路缘石。</w:t>
            </w:r>
          </w:p>
          <w:p w14:paraId="6A0A752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最大坝高6m，上游坝坡坡比为1:2.5，采用15cm厚现浇砼板护坡，砼强度等级为C30，抗冻等级为F200，抗渗等级为W6。现浇分块砼尺寸为：长×宽=3×3m，板间缝宽2cm，采用高压闭孔板填缝。板下设两布一膜防渗，膜厚0.5mm，单层布重250g</w:t>
            </w:r>
            <w:r>
              <w:rPr>
                <w:rFonts w:hint="eastAsia" w:ascii="Times New Roman" w:hAnsi="Times New Roman" w:eastAsia="宋体" w:cs="Times New Roman"/>
                <w:color w:val="000000" w:themeColor="text1"/>
                <w:kern w:val="0"/>
                <w:sz w:val="24"/>
                <w:szCs w:val="24"/>
                <w:lang w:val="en-US" w:eastAsia="zh-CN" w:bidi="ar"/>
                <w14:textFill>
                  <w14:solidFill>
                    <w14:schemeClr w14:val="tx1"/>
                  </w14:solidFill>
                </w14:textFill>
              </w:rPr>
              <w:t>/</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2</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膜下设2cm厚度中砂垫层2cm，下部铺40cm厚砂砾石垫层（最大粒径不大于5cm）；坡脚设有阻滑墙，阻滑墙顶高程1314.0m，阻滑墙深度1.0m，宽度0.7m。下游坝坡坡比为1:2.5，坝后采用植草砖铺设，植草砖厚度6cm。坡脚设排水沟，排水沟宽度0.7m，深度0.7m，采用M7.5浆砌石砌筑。</w:t>
            </w:r>
          </w:p>
          <w:p w14:paraId="69C2553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本次坝基范围内，清除表层40cm杂草，后采用振动碾碾压坝基，要求碾压后坝基干密度不低于原状土干密度的1.05倍，基面碾压合格后方可进</w:t>
            </w:r>
          </w:p>
          <w:p w14:paraId="48E7175E">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行坝体填筑。</w:t>
            </w:r>
          </w:p>
          <w:p w14:paraId="74AFA3B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大坝安全监测监测范围为库盘、坝体，观测项目有：巡视检查、变形监测、渗流监测、水位观测。变形观测包括竖向位移观测和水平位移观测。坝体每隔200m设一个监测断面，共计8处变形监测断面，24个变形监测点和8个工作基点；在坝后排水沟内设置量水堰进行量测。量水堰采用薄壁三角型量水堰，购买成品安装。本次坝后共有五段排水沟，共设置5个量水堰；水位观测在四个坝段各设一个水位观测断面，水位观测设备是在上游护坡上设置水尺，共计设置4把水尺。</w:t>
            </w:r>
          </w:p>
          <w:p w14:paraId="79D8BBD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（3）进出口建筑物设计</w:t>
            </w:r>
          </w:p>
          <w:p w14:paraId="5CC3BE8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进水建筑物包括从污水站至中水储库的坝前输水管、进水陡坡、消力池等。引水管道起点接污水站接触消毒池后的闸阀井，消毒池池底标高1319.9m，引水管末端高程1317.50m，引水管长度450m，管道设计纵坡为1/500，管道引水设计流量800m³/h，采用DN800钢管。陡坡长度8.0m，坡度1:3，末端接消力池，消力池深度1.5m，池底高程1313.80m，消力池长度7.0m，宽度1.5m，消力池采用C30钢筋砼结构。</w:t>
            </w:r>
          </w:p>
          <w:p w14:paraId="0CE5E17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出水口包括放水池、出水管道两部分。出水流量同泵站流量1780m³/h一致，出水管设计流量为1780m³/h，出水管进口接库内放水池，出口接提水泵站前池，出水管道长度70m，出水管进口出口高程均为1312.9m，为有压供水。</w:t>
            </w:r>
          </w:p>
          <w:p w14:paraId="378F8DE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出水管计算管径DN800，处于安全考虑，放大管道直径，本次设计管径采用DN1400。出水管采用钢管，长度54m，每隔6m设置砼镇墩，管道末端在进入提水泵站前池前设闸阀井，以便控制进入前池的水量。</w:t>
            </w:r>
          </w:p>
          <w:p w14:paraId="6FE8421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放水池池底高程1312.40m，深度3.2m，平面尺寸5m×4m，放水池采用C30钢筋砼结构，为防止杂物进入上部设有尼龙网。</w:t>
            </w:r>
          </w:p>
          <w:p w14:paraId="76AAA020">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1.1.2提水泵站</w:t>
            </w:r>
          </w:p>
          <w:p w14:paraId="1BD0149E">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（1）泵站站址及布置型式 </w:t>
            </w:r>
          </w:p>
          <w:p w14:paraId="408FFD5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结合现场地形和用水户的用水方向，水源、管理、对外交通条件、电源等因素。泵站布置在坝体0+154位置，储蓄池的北侧，污水站的东侧方向，泵站的提水轴线方向垂直坝体轴向布置。泵站布置采用堤后式布置。</w:t>
            </w:r>
          </w:p>
          <w:p w14:paraId="70F7EDF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（2）泵站设计 </w:t>
            </w:r>
          </w:p>
          <w:p w14:paraId="1C882D8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泵站顺提水方向依次布置闸阀井、前池、泵房和出水闸阀井。前池平面尺度长乘宽为13×8m，池子深度7m，池底高程1312.10m，池内最高水位1318.8m，最低水位1315.30m。满足泵站秒换水要求，前池设计容积不小于30m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，本次设计有效容积307m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2B568F2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房距离前池5m，泵房布置两间，配电房一间，泵房单间尺寸7.2×6.9m，配电房尺寸为3.55×6.9m，泵坑深度2.5m，泵坑内放置三台水泵，三台水泵平行布置，布置间距满足安全及安装要求，东侧设有3.0m宽度检修平台，平台顶高程1320.90m。</w:t>
            </w:r>
          </w:p>
          <w:p w14:paraId="6F72550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水泵设计流量0.49m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/s（1780m³/h），水泵均采用离心泵，1区水泵设计流量 720m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/h，型号为300KQW720-50-132/4，扬程50m。2区水泵设计流量690m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/h，型号为300KQW670-70-200/4，扬程70m。3区水泵设计流量370m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/h，型号为200KQL346-60-90/4，扬程60m。泵站安装高程为1318.82m，泵站采用负压进水，吸程4.5m。为方便检修拆卸，在泵房上部装有3t起重机。</w:t>
            </w:r>
          </w:p>
          <w:p w14:paraId="3D8433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（3）泵房设计</w:t>
            </w:r>
          </w:p>
          <w:p w14:paraId="0B2D1BF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中水加压泵房建筑面积为141.07m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，建筑总长度为18.66m，总宽度为7.56m，拟建建筑地上一层，层高5.40m。内设水泵间、配电室、及检修间。</w:t>
            </w:r>
          </w:p>
          <w:p w14:paraId="6EDB0C7F">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1.1.3管网</w:t>
            </w:r>
          </w:p>
          <w:p w14:paraId="79D92F3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输水管网总长度21.514km，其中最大主干管DN450，管道长度5.966km，</w:t>
            </w:r>
          </w:p>
          <w:p w14:paraId="1FAE2BD4">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DN400管道长度8.312km，DN300管道长度7.236km。管道材质选用玻璃钢管。玻璃钢管压力等级1.25Mpa，环刚度5000N/m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2</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w:t>
            </w:r>
          </w:p>
          <w:p w14:paraId="3CBAEBE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管沟开挖深度满足抗冻和上部荷载要求，管沟上部覆土厚度1.2m，管沟开挖深度不小于管径+1.2m。</w:t>
            </w:r>
          </w:p>
          <w:p w14:paraId="4A8D0168">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1.1.4水力机械</w:t>
            </w:r>
          </w:p>
          <w:p w14:paraId="0372030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本次三台水泵采用离心泵，水泵1设计流量720m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/h，设计扬程50m，水泵型号选择300KQW720-50-132/4；水泵2设计流量670m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/h，设计扬程70m，型号为 300KQW670-70-200/4；水泵3设计流量370m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设计扬程60m，型号为200KQL346-60-90/4。水泵的电机功率考虑储备系数后确定，水泵1电机功率132kw，水泵2电机功率200kw，水泵3电机功率为90kw。3台水泵设计工况下在高效区运行时其效率系数大于70%，满足泵站规范要求。</w:t>
            </w:r>
          </w:p>
          <w:p w14:paraId="071F14AA">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1.1.5提水泵站电气</w:t>
            </w:r>
          </w:p>
          <w:p w14:paraId="64FD2B2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（1）主接线</w:t>
            </w:r>
          </w:p>
          <w:p w14:paraId="12EE2B1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泵站电气主接线为单母线接线，直接T接到污水处理厂10kV供电线路，距离长度 600m。10kV侧接线采用“线路－变压器”组方式，经变压器降压后，0.4kV侧接线采用单母线接线方式。</w:t>
            </w:r>
          </w:p>
          <w:p w14:paraId="1605A4B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（2）变压器</w:t>
            </w:r>
          </w:p>
          <w:p w14:paraId="4BB8A9B4">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泵站设型号为YBM-630kVA箱式变电站1座，箱变安装1台630kVA干式变压器</w:t>
            </w:r>
          </w:p>
          <w:p w14:paraId="7DA8558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（3）高低压配电设备</w:t>
            </w:r>
          </w:p>
          <w:p w14:paraId="603978C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箱变内配置2面10kV高压柜，3面GCS型0.4kV低压配电柜，1面SWB型0.4kV 无功补偿柜。泵房内配套3面XFC-580变频控制柜，1面照明配电箱，1面插座箱，4 面电动阀控制箱。大坝设1面XL-21室外交流动力箱。</w:t>
            </w:r>
          </w:p>
          <w:p w14:paraId="27D870AD">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1.1.6金属结构</w:t>
            </w:r>
          </w:p>
          <w:p w14:paraId="1F13BFF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本次设计金属结构主要为泵站及管网上的各类闸阀，管道直径300以下采用闸阀，直径300及以上管径采用蝶阀，材质均为钢制，工作压力等级为1.6/1.25Mpa，共计配套闸阀42套。</w:t>
            </w:r>
          </w:p>
          <w:p w14:paraId="75265AEE">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1.2施工区布置</w:t>
            </w:r>
          </w:p>
          <w:p w14:paraId="19A48A7A">
            <w:pPr>
              <w:pStyle w:val="37"/>
              <w:keepNext w:val="0"/>
              <w:keepLines w:val="0"/>
              <w:pageBreakBefore w:val="0"/>
              <w:widowControl/>
              <w:kinsoku/>
              <w:wordWrap/>
              <w:overflowPunct/>
              <w:topLinePunct w:val="0"/>
              <w:autoSpaceDE/>
              <w:autoSpaceDN/>
              <w:bidi w:val="0"/>
              <w:adjustRightInd/>
              <w:snapToGrid/>
              <w:spacing w:before="0" w:after="0"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施工总体布置应根据施工场区的地形及临时施工设施布置的要求，解决施工场地的分期分区规划，对施工期间的交通运输设施、辅助生产设施及其他施工设施进行平面布置，从场地布置上为整个工程顺利施工创造条件，用最少的人力、物力在预定的时间内完成整个工程的建设任务。施工进场时，应合理规划和使用施工场地，使各工序之间不相互干扰，场区的划分和布置应有利于建设生产、方便管理，临时施工设施的布置必须满足工程的施工要求，适应各施工时期的特点</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，施工组织方案需满足环境合理性</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施工组织过程严格按照施工计划，严格控制施工范围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71ADE6A6">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1.2.1施工营地</w:t>
            </w:r>
          </w:p>
          <w:p w14:paraId="24EBFFE1">
            <w:pPr>
              <w:pStyle w:val="24"/>
              <w:keepNext w:val="0"/>
              <w:keepLines w:val="0"/>
              <w:pageBreakBefore w:val="0"/>
              <w:widowControl/>
              <w:kinsoku/>
              <w:wordWrap/>
              <w:overflowPunct/>
              <w:topLinePunct w:val="0"/>
              <w:autoSpaceDE/>
              <w:autoSpaceDN/>
              <w:bidi w:val="0"/>
              <w:adjustRightInd/>
              <w:snapToGrid/>
              <w:spacing w:beforeLines="0" w:afterLines="0" w:line="360" w:lineRule="auto"/>
              <w:ind w:left="0" w:leftChars="0" w:firstLine="480" w:firstLineChars="200"/>
              <w:jc w:val="both"/>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根据工程布置特点，结合地形条件，在中水储库及提升泵站区域</w:t>
            </w:r>
            <w:r>
              <w:rPr>
                <w:rFonts w:hint="default" w:ascii="Times New Roman" w:hAnsi="Times New Roman" w:eastAsia="宋体" w:cs="Times New Roman"/>
                <w:color w:val="000000" w:themeColor="text1"/>
                <w:sz w:val="24"/>
                <w:szCs w:val="24"/>
                <w:lang w:eastAsia="zh-CN"/>
                <w14:textFill>
                  <w14:solidFill>
                    <w14:schemeClr w14:val="tx1"/>
                  </w14:solidFill>
                </w14:textFill>
              </w:rPr>
              <w:t>。施工</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营地</w:t>
            </w:r>
            <w:r>
              <w:rPr>
                <w:rFonts w:hint="default" w:ascii="Times New Roman" w:hAnsi="Times New Roman" w:eastAsia="宋体" w:cs="Times New Roman"/>
                <w:color w:val="000000" w:themeColor="text1"/>
                <w:sz w:val="24"/>
                <w:szCs w:val="24"/>
                <w:lang w:eastAsia="zh-CN"/>
                <w14:textFill>
                  <w14:solidFill>
                    <w14:schemeClr w14:val="tx1"/>
                  </w14:solidFill>
                </w14:textFill>
              </w:rPr>
              <w:t>内设</w:t>
            </w:r>
            <w:r>
              <w:rPr>
                <w:rFonts w:hint="default" w:ascii="Times New Roman" w:hAnsi="Times New Roman" w:eastAsia="宋体" w:cs="Times New Roman"/>
                <w:color w:val="000000" w:themeColor="text1"/>
                <w:sz w:val="24"/>
                <w:szCs w:val="24"/>
                <w14:textFill>
                  <w14:solidFill>
                    <w14:schemeClr w14:val="tx1"/>
                  </w14:solidFill>
                </w14:textFill>
              </w:rPr>
              <w:t>预制场、拌和站等。</w:t>
            </w:r>
            <w:r>
              <w:rPr>
                <w:rFonts w:hint="default" w:ascii="Times New Roman" w:hAnsi="Times New Roman" w:eastAsia="宋体" w:cs="Times New Roman"/>
                <w:color w:val="000000" w:themeColor="text1"/>
                <w:sz w:val="24"/>
                <w:szCs w:val="24"/>
                <w:lang w:eastAsia="zh-CN"/>
                <w14:textFill>
                  <w14:solidFill>
                    <w14:schemeClr w14:val="tx1"/>
                  </w14:solidFill>
                </w14:textFill>
              </w:rPr>
              <w:t>新增临时占地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4020</w:t>
            </w:r>
            <w:r>
              <w:rPr>
                <w:rFonts w:hint="default" w:ascii="Times New Roman" w:hAnsi="Times New Roman" w:eastAsia="宋体" w:cs="Times New Roman"/>
                <w:color w:val="000000" w:themeColor="text1"/>
                <w:sz w:val="24"/>
                <w:szCs w:val="24"/>
                <w14:textFill>
                  <w14:solidFill>
                    <w14:schemeClr w14:val="tx1"/>
                  </w14:solidFill>
                </w14:textFill>
              </w:rPr>
              <w:t>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2</w:t>
            </w:r>
            <w:r>
              <w:rPr>
                <w:rFonts w:hint="default" w:ascii="Times New Roman" w:hAnsi="Times New Roman" w:eastAsia="宋体" w:cs="Times New Roman"/>
                <w:color w:val="000000" w:themeColor="text1"/>
                <w:sz w:val="24"/>
                <w:szCs w:val="24"/>
                <w:lang w:eastAsia="zh-CN"/>
                <w14:textFill>
                  <w14:solidFill>
                    <w14:schemeClr w14:val="tx1"/>
                  </w14:solidFill>
                </w14:textFill>
              </w:rPr>
              <w:t>，占地类型主要为荒地，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工区布置特性见</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下</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表。</w:t>
            </w:r>
          </w:p>
          <w:p w14:paraId="7F1A5E09">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5-2</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  施工营地布置一览表</w:t>
            </w:r>
          </w:p>
          <w:tbl>
            <w:tblPr>
              <w:tblStyle w:val="22"/>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44"/>
              <w:gridCol w:w="3269"/>
              <w:gridCol w:w="1243"/>
              <w:gridCol w:w="1820"/>
              <w:gridCol w:w="1820"/>
            </w:tblGrid>
            <w:tr w14:paraId="13FC2B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2526FB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序号</w:t>
                  </w:r>
                </w:p>
              </w:tc>
              <w:tc>
                <w:tcPr>
                  <w:tcW w:w="1796" w:type="pct"/>
                  <w:tcBorders>
                    <w:tl2br w:val="nil"/>
                    <w:tr2bl w:val="nil"/>
                  </w:tcBorders>
                  <w:noWrap w:val="0"/>
                  <w:vAlign w:val="center"/>
                </w:tcPr>
                <w:p w14:paraId="580C5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项目</w:t>
                  </w:r>
                </w:p>
              </w:tc>
              <w:tc>
                <w:tcPr>
                  <w:tcW w:w="683" w:type="pct"/>
                  <w:tcBorders>
                    <w:tl2br w:val="nil"/>
                    <w:tr2bl w:val="nil"/>
                  </w:tcBorders>
                  <w:noWrap w:val="0"/>
                  <w:vAlign w:val="center"/>
                </w:tcPr>
                <w:p w14:paraId="144CC3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单位</w:t>
                  </w:r>
                </w:p>
              </w:tc>
              <w:tc>
                <w:tcPr>
                  <w:tcW w:w="1000" w:type="pct"/>
                  <w:tcBorders>
                    <w:tl2br w:val="nil"/>
                    <w:tr2bl w:val="nil"/>
                  </w:tcBorders>
                  <w:noWrap w:val="0"/>
                  <w:vAlign w:val="center"/>
                </w:tcPr>
                <w:p w14:paraId="7B2356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建筑面积</w:t>
                  </w:r>
                </w:p>
              </w:tc>
              <w:tc>
                <w:tcPr>
                  <w:tcW w:w="1000" w:type="pct"/>
                  <w:tcBorders>
                    <w:tl2br w:val="nil"/>
                    <w:tr2bl w:val="nil"/>
                  </w:tcBorders>
                  <w:noWrap w:val="0"/>
                  <w:vAlign w:val="center"/>
                </w:tcPr>
                <w:p w14:paraId="53626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占地面积</w:t>
                  </w:r>
                </w:p>
              </w:tc>
            </w:tr>
            <w:tr w14:paraId="4A0B4D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651FCC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w:t>
                  </w:r>
                </w:p>
              </w:tc>
              <w:tc>
                <w:tcPr>
                  <w:tcW w:w="1796" w:type="pct"/>
                  <w:tcBorders>
                    <w:tl2br w:val="nil"/>
                    <w:tr2bl w:val="nil"/>
                  </w:tcBorders>
                  <w:noWrap w:val="0"/>
                  <w:vAlign w:val="center"/>
                </w:tcPr>
                <w:p w14:paraId="329C2A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混凝土拌合站</w:t>
                  </w:r>
                </w:p>
              </w:tc>
              <w:tc>
                <w:tcPr>
                  <w:tcW w:w="683" w:type="pct"/>
                  <w:tcBorders>
                    <w:tl2br w:val="nil"/>
                    <w:tr2bl w:val="nil"/>
                  </w:tcBorders>
                  <w:noWrap w:val="0"/>
                  <w:vAlign w:val="center"/>
                </w:tcPr>
                <w:p w14:paraId="263871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165026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660</w:t>
                  </w:r>
                </w:p>
              </w:tc>
              <w:tc>
                <w:tcPr>
                  <w:tcW w:w="1000" w:type="pct"/>
                  <w:tcBorders>
                    <w:tl2br w:val="nil"/>
                    <w:tr2bl w:val="nil"/>
                  </w:tcBorders>
                  <w:noWrap w:val="0"/>
                  <w:vAlign w:val="center"/>
                </w:tcPr>
                <w:p w14:paraId="24DC5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960</w:t>
                  </w:r>
                </w:p>
              </w:tc>
            </w:tr>
            <w:tr w14:paraId="393908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79FF47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w:t>
                  </w:r>
                </w:p>
              </w:tc>
              <w:tc>
                <w:tcPr>
                  <w:tcW w:w="1796" w:type="pct"/>
                  <w:tcBorders>
                    <w:tl2br w:val="nil"/>
                    <w:tr2bl w:val="nil"/>
                  </w:tcBorders>
                  <w:noWrap w:val="0"/>
                  <w:vAlign w:val="center"/>
                </w:tcPr>
                <w:p w14:paraId="3A390E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金属结构及机电设备组装厂</w:t>
                  </w:r>
                </w:p>
              </w:tc>
              <w:tc>
                <w:tcPr>
                  <w:tcW w:w="683" w:type="pct"/>
                  <w:tcBorders>
                    <w:tl2br w:val="nil"/>
                    <w:tr2bl w:val="nil"/>
                  </w:tcBorders>
                  <w:noWrap w:val="0"/>
                  <w:vAlign w:val="center"/>
                </w:tcPr>
                <w:p w14:paraId="69027B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66BFD6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180</w:t>
                  </w:r>
                </w:p>
              </w:tc>
              <w:tc>
                <w:tcPr>
                  <w:tcW w:w="1000" w:type="pct"/>
                  <w:tcBorders>
                    <w:tl2br w:val="nil"/>
                    <w:tr2bl w:val="nil"/>
                  </w:tcBorders>
                  <w:noWrap w:val="0"/>
                  <w:vAlign w:val="center"/>
                </w:tcPr>
                <w:p w14:paraId="6FCE3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240</w:t>
                  </w:r>
                </w:p>
              </w:tc>
            </w:tr>
            <w:tr w14:paraId="0B92EF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74FC7E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w:t>
                  </w:r>
                </w:p>
              </w:tc>
              <w:tc>
                <w:tcPr>
                  <w:tcW w:w="1796" w:type="pct"/>
                  <w:tcBorders>
                    <w:tl2br w:val="nil"/>
                    <w:tr2bl w:val="nil"/>
                  </w:tcBorders>
                  <w:noWrap w:val="0"/>
                  <w:vAlign w:val="center"/>
                </w:tcPr>
                <w:p w14:paraId="66A98E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钢筋加工厂</w:t>
                  </w:r>
                </w:p>
              </w:tc>
              <w:tc>
                <w:tcPr>
                  <w:tcW w:w="683" w:type="pct"/>
                  <w:tcBorders>
                    <w:tl2br w:val="nil"/>
                    <w:tr2bl w:val="nil"/>
                  </w:tcBorders>
                  <w:noWrap w:val="0"/>
                  <w:vAlign w:val="center"/>
                </w:tcPr>
                <w:p w14:paraId="663822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33BEC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0EA4D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160</w:t>
                  </w:r>
                </w:p>
              </w:tc>
            </w:tr>
            <w:tr w14:paraId="7931D4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0E9C0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4</w:t>
                  </w:r>
                </w:p>
              </w:tc>
              <w:tc>
                <w:tcPr>
                  <w:tcW w:w="1796" w:type="pct"/>
                  <w:tcBorders>
                    <w:tl2br w:val="nil"/>
                    <w:tr2bl w:val="nil"/>
                  </w:tcBorders>
                  <w:noWrap w:val="0"/>
                  <w:vAlign w:val="center"/>
                </w:tcPr>
                <w:p w14:paraId="7C4A5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木材加工厂</w:t>
                  </w:r>
                </w:p>
              </w:tc>
              <w:tc>
                <w:tcPr>
                  <w:tcW w:w="683" w:type="pct"/>
                  <w:tcBorders>
                    <w:tl2br w:val="nil"/>
                    <w:tr2bl w:val="nil"/>
                  </w:tcBorders>
                  <w:noWrap w:val="0"/>
                  <w:vAlign w:val="center"/>
                </w:tcPr>
                <w:p w14:paraId="1368E0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7D87B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0DD86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160</w:t>
                  </w:r>
                </w:p>
              </w:tc>
            </w:tr>
            <w:tr w14:paraId="0C5A1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2A218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5</w:t>
                  </w:r>
                </w:p>
              </w:tc>
              <w:tc>
                <w:tcPr>
                  <w:tcW w:w="1796" w:type="pct"/>
                  <w:tcBorders>
                    <w:tl2br w:val="nil"/>
                    <w:tr2bl w:val="nil"/>
                  </w:tcBorders>
                  <w:noWrap w:val="0"/>
                  <w:vAlign w:val="center"/>
                </w:tcPr>
                <w:p w14:paraId="04E17F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施工供水系统</w:t>
                  </w:r>
                </w:p>
              </w:tc>
              <w:tc>
                <w:tcPr>
                  <w:tcW w:w="683" w:type="pct"/>
                  <w:tcBorders>
                    <w:tl2br w:val="nil"/>
                    <w:tr2bl w:val="nil"/>
                  </w:tcBorders>
                  <w:noWrap w:val="0"/>
                  <w:vAlign w:val="center"/>
                </w:tcPr>
                <w:p w14:paraId="0B13F9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66C1B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14FA46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200</w:t>
                  </w:r>
                </w:p>
              </w:tc>
            </w:tr>
            <w:tr w14:paraId="53CD58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158A81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6</w:t>
                  </w:r>
                </w:p>
              </w:tc>
              <w:tc>
                <w:tcPr>
                  <w:tcW w:w="1796" w:type="pct"/>
                  <w:tcBorders>
                    <w:tl2br w:val="nil"/>
                    <w:tr2bl w:val="nil"/>
                  </w:tcBorders>
                  <w:noWrap w:val="0"/>
                  <w:vAlign w:val="center"/>
                </w:tcPr>
                <w:p w14:paraId="286915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施工供电系统</w:t>
                  </w:r>
                </w:p>
              </w:tc>
              <w:tc>
                <w:tcPr>
                  <w:tcW w:w="683" w:type="pct"/>
                  <w:tcBorders>
                    <w:tl2br w:val="nil"/>
                    <w:tr2bl w:val="nil"/>
                  </w:tcBorders>
                  <w:noWrap w:val="0"/>
                  <w:vAlign w:val="center"/>
                </w:tcPr>
                <w:p w14:paraId="4D4085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35A188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5CCDA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200</w:t>
                  </w:r>
                </w:p>
              </w:tc>
            </w:tr>
            <w:tr w14:paraId="6EA08D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35EFAF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7</w:t>
                  </w:r>
                </w:p>
              </w:tc>
              <w:tc>
                <w:tcPr>
                  <w:tcW w:w="1796" w:type="pct"/>
                  <w:tcBorders>
                    <w:tl2br w:val="nil"/>
                    <w:tr2bl w:val="nil"/>
                  </w:tcBorders>
                  <w:noWrap w:val="0"/>
                  <w:vAlign w:val="center"/>
                </w:tcPr>
                <w:p w14:paraId="1E87D1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临时办公区</w:t>
                  </w:r>
                </w:p>
              </w:tc>
              <w:tc>
                <w:tcPr>
                  <w:tcW w:w="683" w:type="pct"/>
                  <w:tcBorders>
                    <w:tl2br w:val="nil"/>
                    <w:tr2bl w:val="nil"/>
                  </w:tcBorders>
                  <w:noWrap w:val="0"/>
                  <w:vAlign w:val="center"/>
                </w:tcPr>
                <w:p w14:paraId="69413B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4B252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800</w:t>
                  </w:r>
                </w:p>
              </w:tc>
              <w:tc>
                <w:tcPr>
                  <w:tcW w:w="1000" w:type="pct"/>
                  <w:tcBorders>
                    <w:tl2br w:val="nil"/>
                    <w:tr2bl w:val="nil"/>
                  </w:tcBorders>
                  <w:noWrap w:val="0"/>
                  <w:vAlign w:val="center"/>
                </w:tcPr>
                <w:p w14:paraId="64127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1500</w:t>
                  </w:r>
                </w:p>
              </w:tc>
            </w:tr>
            <w:tr w14:paraId="1433EB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2212BF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8</w:t>
                  </w:r>
                </w:p>
              </w:tc>
              <w:tc>
                <w:tcPr>
                  <w:tcW w:w="1796" w:type="pct"/>
                  <w:tcBorders>
                    <w:tl2br w:val="nil"/>
                    <w:tr2bl w:val="nil"/>
                  </w:tcBorders>
                  <w:noWrap w:val="0"/>
                  <w:vAlign w:val="center"/>
                </w:tcPr>
                <w:p w14:paraId="1C16E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合计</w:t>
                  </w:r>
                </w:p>
              </w:tc>
              <w:tc>
                <w:tcPr>
                  <w:tcW w:w="683" w:type="pct"/>
                  <w:tcBorders>
                    <w:tl2br w:val="nil"/>
                    <w:tr2bl w:val="nil"/>
                  </w:tcBorders>
                  <w:noWrap w:val="0"/>
                  <w:vAlign w:val="center"/>
                </w:tcPr>
                <w:p w14:paraId="777FAC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1000" w:type="pct"/>
                  <w:tcBorders>
                    <w:tl2br w:val="nil"/>
                    <w:tr2bl w:val="nil"/>
                  </w:tcBorders>
                  <w:noWrap w:val="0"/>
                  <w:vAlign w:val="center"/>
                </w:tcPr>
                <w:p w14:paraId="38F26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2340</w:t>
                  </w:r>
                </w:p>
              </w:tc>
              <w:tc>
                <w:tcPr>
                  <w:tcW w:w="1000" w:type="pct"/>
                  <w:tcBorders>
                    <w:tl2br w:val="nil"/>
                    <w:tr2bl w:val="nil"/>
                  </w:tcBorders>
                  <w:noWrap w:val="0"/>
                  <w:vAlign w:val="center"/>
                </w:tcPr>
                <w:p w14:paraId="4C02DA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4020</w:t>
                  </w:r>
                </w:p>
              </w:tc>
            </w:tr>
          </w:tbl>
          <w:p w14:paraId="3989165C">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 施工便道</w:t>
            </w:r>
          </w:p>
          <w:p w14:paraId="3A01D6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480" w:firstLineChars="200"/>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本项目新建施工便道0.5km，主要是通往施工营地，施工期间应保证既有道路的正常运营，降低对当地出行及生活的影响。</w:t>
            </w:r>
          </w:p>
          <w:p w14:paraId="63EB7D1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480" w:firstLineChars="200"/>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施工便道采用单车道方案，道路路面宽6m，采用0.2m厚砂砾石路面，考虑经济因素及减少环境影响推荐采用非铺装的砂砾路面，长度0.5km，新建施工便道总占地面积0.3hm²，占地类型为荒地，施工便道的设置采用“永临结合”的原则，最大限度的减少对原生地面的扰动。</w:t>
            </w:r>
          </w:p>
          <w:p w14:paraId="2B6A60AD">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1.2.3</w:t>
            </w:r>
            <w:r>
              <w:rPr>
                <w:rFonts w:hint="default" w:ascii="Times New Roman" w:hAnsi="Times New Roman" w:eastAsia="宋体" w:cs="Times New Roman"/>
                <w:b/>
                <w:color w:val="000000" w:themeColor="text1"/>
                <w:sz w:val="24"/>
                <w:szCs w:val="24"/>
                <w:lang w:val="en-US" w:eastAsia="zh-CN"/>
                <w14:textFill>
                  <w14:solidFill>
                    <w14:schemeClr w14:val="tx1"/>
                  </w14:solidFill>
                </w14:textFill>
              </w:rPr>
              <w:t>建筑材料供应</w:t>
            </w:r>
          </w:p>
          <w:p w14:paraId="3093D485">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工程所需要的主要材料</w:t>
            </w:r>
            <w:r>
              <w:rPr>
                <w:rFonts w:hint="default" w:ascii="Times New Roman" w:hAnsi="Times New Roman" w:eastAsia="宋体" w:cs="Times New Roman"/>
                <w:color w:val="000000" w:themeColor="text1"/>
                <w:sz w:val="24"/>
                <w:szCs w:val="24"/>
                <w:lang w:eastAsia="zh-CN"/>
                <w14:textFill>
                  <w14:solidFill>
                    <w14:schemeClr w14:val="tx1"/>
                  </w14:solidFill>
                </w14:textFill>
              </w:rPr>
              <w:t>在</w:t>
            </w:r>
            <w:r>
              <w:rPr>
                <w:rFonts w:hint="default" w:ascii="Times New Roman" w:hAnsi="Times New Roman" w:eastAsia="宋体" w:cs="Times New Roman"/>
                <w:color w:val="000000" w:themeColor="text1"/>
                <w:sz w:val="24"/>
                <w:szCs w:val="24"/>
                <w14:textFill>
                  <w14:solidFill>
                    <w14:schemeClr w14:val="tx1"/>
                  </w14:solidFill>
                </w14:textFill>
              </w:rPr>
              <w:t>所在地临近购买，经公路运输到工地现场。各材料运距统计表</w:t>
            </w:r>
            <w:r>
              <w:rPr>
                <w:rFonts w:hint="default" w:ascii="Times New Roman" w:hAnsi="Times New Roman" w:eastAsia="宋体" w:cs="Times New Roman"/>
                <w:color w:val="000000" w:themeColor="text1"/>
                <w:sz w:val="24"/>
                <w:szCs w:val="24"/>
                <w:lang w:eastAsia="zh-CN"/>
                <w14:textFill>
                  <w14:solidFill>
                    <w14:schemeClr w14:val="tx1"/>
                  </w14:solidFill>
                </w14:textFill>
              </w:rPr>
              <w:t>见</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下</w:t>
            </w:r>
            <w:r>
              <w:rPr>
                <w:rFonts w:hint="default" w:ascii="Times New Roman" w:hAnsi="Times New Roman" w:eastAsia="宋体" w:cs="Times New Roman"/>
                <w:color w:val="000000" w:themeColor="text1"/>
                <w:sz w:val="24"/>
                <w:szCs w:val="24"/>
                <w:lang w:eastAsia="zh-CN"/>
                <w14:textFill>
                  <w14:solidFill>
                    <w14:schemeClr w14:val="tx1"/>
                  </w14:solidFill>
                </w14:textFill>
              </w:rPr>
              <w:t>表</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6624457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5-3</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  各材料运距统计表</w:t>
            </w:r>
          </w:p>
          <w:tbl>
            <w:tblPr>
              <w:tblStyle w:val="21"/>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85"/>
              <w:gridCol w:w="1207"/>
              <w:gridCol w:w="732"/>
              <w:gridCol w:w="879"/>
              <w:gridCol w:w="1016"/>
              <w:gridCol w:w="819"/>
              <w:gridCol w:w="741"/>
              <w:gridCol w:w="1219"/>
            </w:tblGrid>
            <w:tr w14:paraId="114E40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66" w:type="pct"/>
                  <w:vMerge w:val="restart"/>
                  <w:tcBorders>
                    <w:tl2br w:val="nil"/>
                    <w:tr2bl w:val="nil"/>
                  </w:tcBorders>
                  <w:noWrap w:val="0"/>
                  <w:vAlign w:val="center"/>
                </w:tcPr>
                <w:p w14:paraId="2140E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项目名称</w:t>
                  </w:r>
                </w:p>
              </w:tc>
              <w:tc>
                <w:tcPr>
                  <w:tcW w:w="3633" w:type="pct"/>
                  <w:gridSpan w:val="7"/>
                  <w:tcBorders>
                    <w:tl2br w:val="nil"/>
                    <w:tr2bl w:val="nil"/>
                  </w:tcBorders>
                  <w:noWrap w:val="0"/>
                  <w:vAlign w:val="center"/>
                </w:tcPr>
                <w:p w14:paraId="4A9741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运距（单位：km）</w:t>
                  </w:r>
                </w:p>
              </w:tc>
            </w:tr>
            <w:tr w14:paraId="7B8084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1366" w:type="pct"/>
                  <w:vMerge w:val="continue"/>
                  <w:tcBorders>
                    <w:tl2br w:val="nil"/>
                    <w:tr2bl w:val="nil"/>
                  </w:tcBorders>
                  <w:noWrap w:val="0"/>
                  <w:vAlign w:val="center"/>
                </w:tcPr>
                <w:p w14:paraId="292550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p>
              </w:tc>
              <w:tc>
                <w:tcPr>
                  <w:tcW w:w="663" w:type="pct"/>
                  <w:tcBorders>
                    <w:tl2br w:val="nil"/>
                    <w:tr2bl w:val="nil"/>
                  </w:tcBorders>
                  <w:noWrap w:val="0"/>
                  <w:vAlign w:val="center"/>
                </w:tcPr>
                <w:p w14:paraId="09A225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粗细骨料</w:t>
                  </w:r>
                </w:p>
              </w:tc>
              <w:tc>
                <w:tcPr>
                  <w:tcW w:w="402" w:type="pct"/>
                  <w:tcBorders>
                    <w:tl2br w:val="nil"/>
                    <w:tr2bl w:val="nil"/>
                  </w:tcBorders>
                  <w:noWrap w:val="0"/>
                  <w:vAlign w:val="center"/>
                </w:tcPr>
                <w:p w14:paraId="72803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水泥</w:t>
                  </w:r>
                </w:p>
              </w:tc>
              <w:tc>
                <w:tcPr>
                  <w:tcW w:w="483" w:type="pct"/>
                  <w:tcBorders>
                    <w:tl2br w:val="nil"/>
                    <w:tr2bl w:val="nil"/>
                  </w:tcBorders>
                  <w:noWrap w:val="0"/>
                  <w:vAlign w:val="center"/>
                </w:tcPr>
                <w:p w14:paraId="079A6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钢筋</w:t>
                  </w:r>
                </w:p>
              </w:tc>
              <w:tc>
                <w:tcPr>
                  <w:tcW w:w="558" w:type="pct"/>
                  <w:tcBorders>
                    <w:tl2br w:val="nil"/>
                    <w:tr2bl w:val="nil"/>
                  </w:tcBorders>
                  <w:noWrap w:val="0"/>
                  <w:vAlign w:val="center"/>
                </w:tcPr>
                <w:p w14:paraId="1FF5E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砂砾石</w:t>
                  </w:r>
                </w:p>
              </w:tc>
              <w:tc>
                <w:tcPr>
                  <w:tcW w:w="450" w:type="pct"/>
                  <w:tcBorders>
                    <w:tl2br w:val="nil"/>
                    <w:tr2bl w:val="nil"/>
                  </w:tcBorders>
                  <w:noWrap w:val="0"/>
                  <w:vAlign w:val="center"/>
                </w:tcPr>
                <w:p w14:paraId="07E374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油料</w:t>
                  </w:r>
                </w:p>
              </w:tc>
              <w:tc>
                <w:tcPr>
                  <w:tcW w:w="407" w:type="pct"/>
                  <w:tcBorders>
                    <w:tl2br w:val="nil"/>
                    <w:tr2bl w:val="nil"/>
                  </w:tcBorders>
                  <w:noWrap w:val="0"/>
                  <w:vAlign w:val="center"/>
                </w:tcPr>
                <w:p w14:paraId="130FD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木材</w:t>
                  </w:r>
                </w:p>
              </w:tc>
              <w:tc>
                <w:tcPr>
                  <w:tcW w:w="667" w:type="pct"/>
                  <w:tcBorders>
                    <w:tl2br w:val="nil"/>
                    <w:tr2bl w:val="nil"/>
                  </w:tcBorders>
                  <w:noWrap w:val="0"/>
                  <w:vAlign w:val="center"/>
                </w:tcPr>
                <w:p w14:paraId="1B19C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筑堤土料</w:t>
                  </w:r>
                </w:p>
              </w:tc>
            </w:tr>
            <w:tr w14:paraId="7824D7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1366" w:type="pct"/>
                  <w:tcBorders>
                    <w:tl2br w:val="nil"/>
                    <w:tr2bl w:val="nil"/>
                  </w:tcBorders>
                  <w:noWrap w:val="0"/>
                  <w:vAlign w:val="center"/>
                </w:tcPr>
                <w:p w14:paraId="49AB8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第十四师皮山农场污水资源化利用项目</w:t>
                  </w:r>
                </w:p>
              </w:tc>
              <w:tc>
                <w:tcPr>
                  <w:tcW w:w="663" w:type="pct"/>
                  <w:tcBorders>
                    <w:tl2br w:val="nil"/>
                    <w:tr2bl w:val="nil"/>
                  </w:tcBorders>
                  <w:noWrap w:val="0"/>
                  <w:vAlign w:val="center"/>
                </w:tcPr>
                <w:p w14:paraId="05A855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37</w:t>
                  </w:r>
                </w:p>
              </w:tc>
              <w:tc>
                <w:tcPr>
                  <w:tcW w:w="402" w:type="pct"/>
                  <w:tcBorders>
                    <w:tl2br w:val="nil"/>
                    <w:tr2bl w:val="nil"/>
                  </w:tcBorders>
                  <w:noWrap w:val="0"/>
                  <w:vAlign w:val="center"/>
                </w:tcPr>
                <w:p w14:paraId="3E1BCC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115</w:t>
                  </w:r>
                </w:p>
              </w:tc>
              <w:tc>
                <w:tcPr>
                  <w:tcW w:w="483" w:type="pct"/>
                  <w:tcBorders>
                    <w:tl2br w:val="nil"/>
                    <w:tr2bl w:val="nil"/>
                  </w:tcBorders>
                  <w:noWrap w:val="0"/>
                  <w:vAlign w:val="center"/>
                </w:tcPr>
                <w:p w14:paraId="2E4F4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230</w:t>
                  </w:r>
                </w:p>
              </w:tc>
              <w:tc>
                <w:tcPr>
                  <w:tcW w:w="558" w:type="pct"/>
                  <w:tcBorders>
                    <w:tl2br w:val="nil"/>
                    <w:tr2bl w:val="nil"/>
                  </w:tcBorders>
                  <w:noWrap w:val="0"/>
                  <w:vAlign w:val="center"/>
                </w:tcPr>
                <w:p w14:paraId="2B2142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37</w:t>
                  </w:r>
                </w:p>
              </w:tc>
              <w:tc>
                <w:tcPr>
                  <w:tcW w:w="450" w:type="pct"/>
                  <w:tcBorders>
                    <w:tl2br w:val="nil"/>
                    <w:tr2bl w:val="nil"/>
                  </w:tcBorders>
                  <w:noWrap w:val="0"/>
                  <w:vAlign w:val="center"/>
                </w:tcPr>
                <w:p w14:paraId="0055F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16</w:t>
                  </w:r>
                </w:p>
              </w:tc>
              <w:tc>
                <w:tcPr>
                  <w:tcW w:w="407" w:type="pct"/>
                  <w:tcBorders>
                    <w:tl2br w:val="nil"/>
                    <w:tr2bl w:val="nil"/>
                  </w:tcBorders>
                  <w:noWrap w:val="0"/>
                  <w:vAlign w:val="center"/>
                </w:tcPr>
                <w:p w14:paraId="7D3D62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18</w:t>
                  </w:r>
                </w:p>
              </w:tc>
              <w:tc>
                <w:tcPr>
                  <w:tcW w:w="667" w:type="pct"/>
                  <w:tcBorders>
                    <w:tl2br w:val="nil"/>
                    <w:tr2bl w:val="nil"/>
                  </w:tcBorders>
                  <w:noWrap w:val="0"/>
                  <w:vAlign w:val="center"/>
                </w:tcPr>
                <w:p w14:paraId="3096CC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25</w:t>
                  </w:r>
                </w:p>
              </w:tc>
            </w:tr>
          </w:tbl>
          <w:p w14:paraId="7F8E7A9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1.2.3弃土场</w:t>
            </w:r>
          </w:p>
          <w:p w14:paraId="6FE6BDBE">
            <w:pPr>
              <w:pStyle w:val="24"/>
              <w:keepNext w:val="0"/>
              <w:keepLines w:val="0"/>
              <w:pageBreakBefore w:val="0"/>
              <w:widowControl/>
              <w:kinsoku/>
              <w:wordWrap/>
              <w:overflowPunct/>
              <w:topLinePunct w:val="0"/>
              <w:autoSpaceDE/>
              <w:autoSpaceDN/>
              <w:bidi w:val="0"/>
              <w:adjustRightInd/>
              <w:snapToGrid/>
              <w:spacing w:beforeLines="0" w:afterLines="0" w:line="360" w:lineRule="auto"/>
              <w:ind w:left="0" w:leftChars="0" w:firstLine="480" w:firstLineChars="200"/>
              <w:jc w:val="both"/>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本项目弃渣主要为中水储库开挖弃料。根据工程地形条件及开挖弃料特点，中水储库开挖弃料50%考虑沿坝后堆存，剩余量和清废料拉运至弃渣场堆存。</w:t>
            </w:r>
          </w:p>
          <w:p w14:paraId="4ADBC23B">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根据工程地形条件及经济条件，弃土场考虑平铺在项目区西北侧附近0.2km的荒地上（中心地理坐标：E78°30′22.007″；N37°41′50.691″），占地面积107亩（71334m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11E653C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1.2.4施工导流</w:t>
            </w:r>
          </w:p>
          <w:p w14:paraId="76657046">
            <w:pPr>
              <w:pStyle w:val="24"/>
              <w:keepNext w:val="0"/>
              <w:keepLines w:val="0"/>
              <w:pageBreakBefore w:val="0"/>
              <w:widowControl/>
              <w:kinsoku/>
              <w:wordWrap/>
              <w:overflowPunct/>
              <w:topLinePunct w:val="0"/>
              <w:autoSpaceDE/>
              <w:autoSpaceDN/>
              <w:bidi w:val="0"/>
              <w:adjustRightInd/>
              <w:snapToGrid/>
              <w:spacing w:beforeLines="0" w:afterLines="0"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themeColor="text1"/>
                <w:sz w:val="24"/>
                <w:szCs w:val="24"/>
                <w:lang w:eastAsia="zh-CN"/>
                <w14:textFill>
                  <w14:solidFill>
                    <w14:schemeClr w14:val="tx1"/>
                  </w14:solidFill>
                </w14:textFill>
              </w:rPr>
              <w:t>本工程为新建中水储库，不存在施工导流，管网部分需要和区域内其它用水接口时，需停水施工，因此本工程不考虑施工导流</w:t>
            </w:r>
          </w:p>
          <w:p w14:paraId="1D0E21FA">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06" w:firstLineChars="200"/>
              <w:textAlignment w:val="baseline"/>
              <w:rPr>
                <w:rFonts w:hint="default" w:ascii="Times New Roman" w:hAnsi="Times New Roman" w:eastAsia="Times New Roman" w:cs="Times New Roman"/>
                <w:b/>
                <w:bCs/>
                <w:spacing w:val="-14"/>
                <w:sz w:val="28"/>
                <w:szCs w:val="28"/>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.7</w:t>
            </w:r>
            <w:r>
              <w:rPr>
                <w:rFonts w:hint="default" w:ascii="Times New Roman" w:hAnsi="Times New Roman" w:eastAsia="宋体" w:cs="Times New Roman"/>
                <w:b/>
                <w:bCs/>
                <w:spacing w:val="-14"/>
                <w:sz w:val="28"/>
                <w:szCs w:val="28"/>
                <w:lang w:val="en-US" w:eastAsia="zh-CN"/>
              </w:rPr>
              <w:t xml:space="preserve"> </w:t>
            </w:r>
            <w:r>
              <w:rPr>
                <w:rFonts w:hint="default" w:ascii="Times New Roman" w:hAnsi="Times New Roman" w:eastAsia="Times New Roman" w:cs="Times New Roman"/>
                <w:b/>
                <w:bCs/>
                <w:spacing w:val="-14"/>
                <w:sz w:val="28"/>
                <w:szCs w:val="28"/>
              </w:rPr>
              <w:t>工程环境保护投资明细</w:t>
            </w:r>
          </w:p>
          <w:p w14:paraId="2E13FBD9">
            <w:pPr>
              <w:keepNext w:val="0"/>
              <w:keepLines w:val="0"/>
              <w:pageBreakBefore w:val="0"/>
              <w:widowControl/>
              <w:kinsoku w:val="0"/>
              <w:wordWrap/>
              <w:overflowPunct/>
              <w:topLinePunct w:val="0"/>
              <w:autoSpaceDE w:val="0"/>
              <w:autoSpaceDN w:val="0"/>
              <w:bidi w:val="0"/>
              <w:adjustRightInd w:val="0"/>
              <w:snapToGrid w:val="0"/>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根据环评报告表，本项目环评设计总投资</w:t>
            </w:r>
            <w:r>
              <w:rPr>
                <w:rFonts w:hint="eastAsia" w:ascii="Times New Roman" w:hAnsi="Times New Roman" w:eastAsia="宋体" w:cs="Times New Roman"/>
                <w:spacing w:val="18"/>
                <w:sz w:val="24"/>
                <w:szCs w:val="24"/>
                <w:lang w:val="en-US" w:eastAsia="zh-CN"/>
              </w:rPr>
              <w:t>6030.78</w:t>
            </w:r>
            <w:r>
              <w:rPr>
                <w:rFonts w:hint="default" w:ascii="Times New Roman" w:hAnsi="Times New Roman" w:eastAsia="宋体" w:cs="Times New Roman"/>
                <w:spacing w:val="18"/>
                <w:sz w:val="24"/>
                <w:szCs w:val="24"/>
                <w:lang w:val="en-US" w:eastAsia="zh-CN"/>
              </w:rPr>
              <w:t>万元，其中环境保护投资为</w:t>
            </w:r>
            <w:r>
              <w:rPr>
                <w:rFonts w:hint="eastAsia" w:ascii="Times New Roman" w:hAnsi="Times New Roman" w:eastAsia="宋体" w:cs="Times New Roman"/>
                <w:spacing w:val="18"/>
                <w:sz w:val="24"/>
                <w:szCs w:val="24"/>
                <w:lang w:val="en-US" w:eastAsia="zh-CN"/>
              </w:rPr>
              <w:t>2180</w:t>
            </w:r>
            <w:r>
              <w:rPr>
                <w:rFonts w:hint="default" w:ascii="Times New Roman" w:hAnsi="Times New Roman" w:eastAsia="宋体" w:cs="Times New Roman"/>
                <w:spacing w:val="18"/>
                <w:sz w:val="24"/>
                <w:szCs w:val="24"/>
                <w:lang w:val="en-US" w:eastAsia="zh-CN"/>
              </w:rPr>
              <w:t>万元，占工程总投资的</w:t>
            </w:r>
            <w:r>
              <w:rPr>
                <w:rFonts w:hint="eastAsia" w:ascii="Times New Roman" w:hAnsi="Times New Roman" w:eastAsia="宋体" w:cs="Times New Roman"/>
                <w:spacing w:val="18"/>
                <w:sz w:val="24"/>
                <w:szCs w:val="24"/>
                <w:lang w:val="en-US" w:eastAsia="zh-CN"/>
              </w:rPr>
              <w:t>36.15</w:t>
            </w:r>
            <w:r>
              <w:rPr>
                <w:rFonts w:hint="default" w:ascii="Times New Roman" w:hAnsi="Times New Roman" w:eastAsia="宋体" w:cs="Times New Roman"/>
                <w:spacing w:val="18"/>
                <w:sz w:val="24"/>
                <w:szCs w:val="24"/>
                <w:lang w:val="en-US" w:eastAsia="zh-CN"/>
              </w:rPr>
              <w:t>%；项目实际总投资</w:t>
            </w:r>
            <w:r>
              <w:rPr>
                <w:rFonts w:hint="eastAsia" w:ascii="Times New Roman" w:hAnsi="Times New Roman" w:eastAsia="宋体" w:cs="Times New Roman"/>
                <w:spacing w:val="18"/>
                <w:sz w:val="24"/>
                <w:szCs w:val="24"/>
                <w:lang w:val="en-US" w:eastAsia="zh-CN"/>
              </w:rPr>
              <w:t>6030.78</w:t>
            </w:r>
            <w:r>
              <w:rPr>
                <w:rFonts w:hint="default" w:ascii="Times New Roman" w:hAnsi="Times New Roman" w:eastAsia="宋体" w:cs="Times New Roman"/>
                <w:spacing w:val="18"/>
                <w:sz w:val="24"/>
                <w:szCs w:val="24"/>
                <w:lang w:val="en-US" w:eastAsia="zh-CN"/>
              </w:rPr>
              <w:t>万元，其中实际环境保护投资为</w:t>
            </w:r>
            <w:r>
              <w:rPr>
                <w:rFonts w:hint="eastAsia" w:ascii="Times New Roman" w:hAnsi="Times New Roman" w:eastAsia="宋体" w:cs="Times New Roman"/>
                <w:spacing w:val="18"/>
                <w:sz w:val="24"/>
                <w:szCs w:val="24"/>
                <w:lang w:val="en-US" w:eastAsia="zh-CN"/>
              </w:rPr>
              <w:t>2180</w:t>
            </w:r>
            <w:r>
              <w:rPr>
                <w:rFonts w:hint="default" w:ascii="Times New Roman" w:hAnsi="Times New Roman" w:eastAsia="宋体" w:cs="Times New Roman"/>
                <w:spacing w:val="18"/>
                <w:sz w:val="24"/>
                <w:szCs w:val="24"/>
                <w:lang w:val="en-US" w:eastAsia="zh-CN"/>
              </w:rPr>
              <w:t>万元，占总投资的</w:t>
            </w:r>
            <w:r>
              <w:rPr>
                <w:rFonts w:hint="eastAsia" w:ascii="Times New Roman" w:hAnsi="Times New Roman" w:eastAsia="宋体" w:cs="Times New Roman"/>
                <w:spacing w:val="18"/>
                <w:sz w:val="24"/>
                <w:szCs w:val="24"/>
                <w:lang w:val="en-US" w:eastAsia="zh-CN"/>
              </w:rPr>
              <w:t>36.15</w:t>
            </w:r>
            <w:r>
              <w:rPr>
                <w:rFonts w:hint="default" w:ascii="Times New Roman" w:hAnsi="Times New Roman" w:eastAsia="宋体" w:cs="Times New Roman"/>
                <w:spacing w:val="18"/>
                <w:sz w:val="24"/>
                <w:szCs w:val="24"/>
                <w:lang w:val="en-US" w:eastAsia="zh-CN"/>
              </w:rPr>
              <w:t>%。</w:t>
            </w:r>
          </w:p>
          <w:p w14:paraId="4948BAEF">
            <w:pPr>
              <w:keepNext w:val="0"/>
              <w:keepLines w:val="0"/>
              <w:pageBreakBefore w:val="0"/>
              <w:widowControl/>
              <w:kinsoku w:val="0"/>
              <w:wordWrap/>
              <w:overflowPunct/>
              <w:topLinePunct w:val="0"/>
              <w:autoSpaceDE w:val="0"/>
              <w:autoSpaceDN w:val="0"/>
              <w:bidi w:val="0"/>
              <w:adjustRightInd w:val="0"/>
              <w:snapToGrid w:val="0"/>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环保投资详见表5-4。</w:t>
            </w:r>
          </w:p>
          <w:p w14:paraId="49B3F940">
            <w:pPr>
              <w:spacing w:before="120" w:line="22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1"/>
                <w:sz w:val="21"/>
                <w:szCs w:val="21"/>
                <w:lang w:val="en-US" w:eastAsia="zh-CN"/>
              </w:rPr>
              <w:t>5</w:t>
            </w:r>
            <w:r>
              <w:rPr>
                <w:rFonts w:hint="default" w:ascii="Times New Roman" w:hAnsi="Times New Roman" w:eastAsia="Times New Roman" w:cs="Times New Roman"/>
                <w:b/>
                <w:bCs/>
                <w:sz w:val="21"/>
                <w:szCs w:val="21"/>
              </w:rPr>
              <w:t>-</w:t>
            </w:r>
            <w:r>
              <w:rPr>
                <w:rFonts w:hint="default" w:ascii="Times New Roman" w:hAnsi="Times New Roman" w:eastAsia="宋体" w:cs="Times New Roman"/>
                <w:b/>
                <w:bCs/>
                <w:sz w:val="21"/>
                <w:szCs w:val="21"/>
                <w:lang w:val="en-US" w:eastAsia="zh-CN"/>
              </w:rPr>
              <w:t xml:space="preserve">4  </w:t>
            </w:r>
            <w:r>
              <w:rPr>
                <w:rFonts w:hint="default" w:ascii="Times New Roman" w:hAnsi="Times New Roman" w:eastAsia="Times New Roman" w:cs="Times New Roman"/>
                <w:sz w:val="21"/>
                <w:szCs w:val="21"/>
              </w:rPr>
              <w:t xml:space="preserve">  </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本项目环保投资明细</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057"/>
              <w:gridCol w:w="4292"/>
              <w:gridCol w:w="1534"/>
              <w:gridCol w:w="2213"/>
            </w:tblGrid>
            <w:tr w14:paraId="7F43CD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3FA20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bookmarkStart w:id="5" w:name="OLE_LINK11"/>
                  <w:r>
                    <w:rPr>
                      <w:rFonts w:hint="default" w:ascii="Times New Roman" w:hAnsi="Times New Roman" w:cs="Times New Roman"/>
                      <w:b w:val="0"/>
                      <w:bCs w:val="0"/>
                      <w:color w:val="000000" w:themeColor="text1"/>
                      <w:sz w:val="21"/>
                      <w:szCs w:val="21"/>
                      <w14:textFill>
                        <w14:solidFill>
                          <w14:schemeClr w14:val="tx1"/>
                        </w14:solidFill>
                      </w14:textFill>
                    </w:rPr>
                    <w:t>环境要素</w:t>
                  </w:r>
                </w:p>
              </w:tc>
              <w:tc>
                <w:tcPr>
                  <w:tcW w:w="2359" w:type="pct"/>
                  <w:tcBorders>
                    <w:tl2br w:val="nil"/>
                    <w:tr2bl w:val="nil"/>
                  </w:tcBorders>
                  <w:noWrap w:val="0"/>
                  <w:vAlign w:val="center"/>
                </w:tcPr>
                <w:p w14:paraId="3E5F00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环保措施和设施</w:t>
                  </w:r>
                </w:p>
              </w:tc>
              <w:tc>
                <w:tcPr>
                  <w:tcW w:w="843" w:type="pct"/>
                  <w:tcBorders>
                    <w:tl2br w:val="nil"/>
                    <w:tr2bl w:val="nil"/>
                  </w:tcBorders>
                  <w:noWrap w:val="0"/>
                  <w:vAlign w:val="center"/>
                </w:tcPr>
                <w:p w14:paraId="31F23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费用（万元）</w:t>
                  </w:r>
                </w:p>
              </w:tc>
              <w:tc>
                <w:tcPr>
                  <w:tcW w:w="1216" w:type="pct"/>
                  <w:tcBorders>
                    <w:tl2br w:val="nil"/>
                    <w:tr2bl w:val="nil"/>
                  </w:tcBorders>
                  <w:noWrap w:val="0"/>
                  <w:vAlign w:val="center"/>
                </w:tcPr>
                <w:p w14:paraId="4F6E4C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进度</w:t>
                  </w:r>
                </w:p>
              </w:tc>
            </w:tr>
            <w:tr w14:paraId="2F8486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37" w:hRule="atLeast"/>
                <w:jc w:val="center"/>
              </w:trPr>
              <w:tc>
                <w:tcPr>
                  <w:tcW w:w="581" w:type="pct"/>
                  <w:vMerge w:val="restart"/>
                  <w:tcBorders>
                    <w:tl2br w:val="nil"/>
                    <w:tr2bl w:val="nil"/>
                  </w:tcBorders>
                  <w:noWrap w:val="0"/>
                  <w:vAlign w:val="center"/>
                </w:tcPr>
                <w:p w14:paraId="090A7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废水</w:t>
                  </w:r>
                </w:p>
              </w:tc>
              <w:tc>
                <w:tcPr>
                  <w:tcW w:w="2359" w:type="pct"/>
                  <w:tcBorders>
                    <w:tl2br w:val="nil"/>
                    <w:tr2bl w:val="nil"/>
                  </w:tcBorders>
                  <w:noWrap w:val="0"/>
                  <w:vAlign w:val="center"/>
                </w:tcPr>
                <w:p w14:paraId="4091F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坝坡和库盘防渗</w:t>
                  </w:r>
                </w:p>
              </w:tc>
              <w:tc>
                <w:tcPr>
                  <w:tcW w:w="843" w:type="pct"/>
                  <w:tcBorders>
                    <w:tl2br w:val="nil"/>
                    <w:tr2bl w:val="nil"/>
                  </w:tcBorders>
                  <w:noWrap w:val="0"/>
                  <w:vAlign w:val="center"/>
                </w:tcPr>
                <w:p w14:paraId="55BB0D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2000</w:t>
                  </w:r>
                </w:p>
              </w:tc>
              <w:tc>
                <w:tcPr>
                  <w:tcW w:w="1216" w:type="pct"/>
                  <w:tcBorders>
                    <w:tl2br w:val="nil"/>
                    <w:tr2bl w:val="nil"/>
                  </w:tcBorders>
                  <w:noWrap w:val="0"/>
                  <w:vAlign w:val="center"/>
                </w:tcPr>
                <w:p w14:paraId="21D84C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20F1EB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vMerge w:val="restart"/>
                  <w:tcBorders>
                    <w:tl2br w:val="nil"/>
                    <w:tr2bl w:val="nil"/>
                  </w:tcBorders>
                  <w:noWrap w:val="0"/>
                  <w:vAlign w:val="center"/>
                </w:tcPr>
                <w:p w14:paraId="1CB5D3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废气</w:t>
                  </w:r>
                </w:p>
              </w:tc>
              <w:tc>
                <w:tcPr>
                  <w:tcW w:w="2359" w:type="pct"/>
                  <w:tcBorders>
                    <w:tl2br w:val="nil"/>
                    <w:tr2bl w:val="nil"/>
                  </w:tcBorders>
                  <w:noWrap w:val="0"/>
                  <w:vAlign w:val="center"/>
                </w:tcPr>
                <w:p w14:paraId="3312F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设置围挡或防尘网</w:t>
                  </w: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等</w:t>
                  </w:r>
                </w:p>
              </w:tc>
              <w:tc>
                <w:tcPr>
                  <w:tcW w:w="843" w:type="pct"/>
                  <w:tcBorders>
                    <w:tl2br w:val="nil"/>
                    <w:tr2bl w:val="nil"/>
                  </w:tcBorders>
                  <w:noWrap w:val="0"/>
                  <w:vAlign w:val="center"/>
                </w:tcPr>
                <w:p w14:paraId="4748C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25</w:t>
                  </w:r>
                </w:p>
              </w:tc>
              <w:tc>
                <w:tcPr>
                  <w:tcW w:w="1216" w:type="pct"/>
                  <w:tcBorders>
                    <w:tl2br w:val="nil"/>
                    <w:tr2bl w:val="nil"/>
                  </w:tcBorders>
                  <w:noWrap w:val="0"/>
                  <w:vAlign w:val="center"/>
                </w:tcPr>
                <w:p w14:paraId="7BF2E3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2F3B05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vMerge w:val="continue"/>
                  <w:tcBorders>
                    <w:tl2br w:val="nil"/>
                    <w:tr2bl w:val="nil"/>
                  </w:tcBorders>
                  <w:noWrap w:val="0"/>
                  <w:vAlign w:val="center"/>
                </w:tcPr>
                <w:p w14:paraId="5F5E3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p>
              </w:tc>
              <w:tc>
                <w:tcPr>
                  <w:tcW w:w="2359" w:type="pct"/>
                  <w:tcBorders>
                    <w:tl2br w:val="nil"/>
                    <w:tr2bl w:val="nil"/>
                  </w:tcBorders>
                  <w:noWrap w:val="0"/>
                  <w:vAlign w:val="center"/>
                </w:tcPr>
                <w:p w14:paraId="53E18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洒水车（</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14:textFill>
                        <w14:solidFill>
                          <w14:schemeClr w14:val="tx1"/>
                        </w14:solidFill>
                      </w14:textFill>
                    </w:rPr>
                    <w:t>辆）</w:t>
                  </w:r>
                </w:p>
              </w:tc>
              <w:tc>
                <w:tcPr>
                  <w:tcW w:w="843" w:type="pct"/>
                  <w:tcBorders>
                    <w:tl2br w:val="nil"/>
                    <w:tr2bl w:val="nil"/>
                  </w:tcBorders>
                  <w:noWrap w:val="0"/>
                  <w:vAlign w:val="center"/>
                </w:tcPr>
                <w:p w14:paraId="5ED54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10</w:t>
                  </w:r>
                </w:p>
              </w:tc>
              <w:tc>
                <w:tcPr>
                  <w:tcW w:w="1216" w:type="pct"/>
                  <w:tcBorders>
                    <w:tl2br w:val="nil"/>
                    <w:tr2bl w:val="nil"/>
                  </w:tcBorders>
                  <w:noWrap w:val="0"/>
                  <w:vAlign w:val="center"/>
                </w:tcPr>
                <w:p w14:paraId="371B0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57D686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2F3F13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噪声</w:t>
                  </w:r>
                </w:p>
              </w:tc>
              <w:tc>
                <w:tcPr>
                  <w:tcW w:w="2359" w:type="pct"/>
                  <w:tcBorders>
                    <w:tl2br w:val="nil"/>
                    <w:tr2bl w:val="nil"/>
                  </w:tcBorders>
                  <w:noWrap w:val="0"/>
                  <w:vAlign w:val="center"/>
                </w:tcPr>
                <w:p w14:paraId="7F2406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合理安排时间、安装减振、定期保养等</w:t>
                  </w:r>
                </w:p>
              </w:tc>
              <w:tc>
                <w:tcPr>
                  <w:tcW w:w="843" w:type="pct"/>
                  <w:tcBorders>
                    <w:tl2br w:val="nil"/>
                    <w:tr2bl w:val="nil"/>
                  </w:tcBorders>
                  <w:noWrap w:val="0"/>
                  <w:vAlign w:val="center"/>
                </w:tcPr>
                <w:p w14:paraId="78AF4E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15</w:t>
                  </w:r>
                </w:p>
              </w:tc>
              <w:tc>
                <w:tcPr>
                  <w:tcW w:w="1216" w:type="pct"/>
                  <w:tcBorders>
                    <w:tl2br w:val="nil"/>
                    <w:tr2bl w:val="nil"/>
                  </w:tcBorders>
                  <w:noWrap w:val="0"/>
                  <w:vAlign w:val="center"/>
                </w:tcPr>
                <w:p w14:paraId="6682DD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41F973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50CA34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固废</w:t>
                  </w:r>
                </w:p>
              </w:tc>
              <w:tc>
                <w:tcPr>
                  <w:tcW w:w="2359" w:type="pct"/>
                  <w:tcBorders>
                    <w:tl2br w:val="nil"/>
                    <w:tr2bl w:val="nil"/>
                  </w:tcBorders>
                  <w:noWrap w:val="0"/>
                  <w:vAlign w:val="center"/>
                </w:tcPr>
                <w:p w14:paraId="50F548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生活垃圾和建材废料收</w:t>
                  </w:r>
                </w:p>
                <w:p w14:paraId="6C784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集装置和委托处理</w:t>
                  </w:r>
                </w:p>
              </w:tc>
              <w:tc>
                <w:tcPr>
                  <w:tcW w:w="843" w:type="pct"/>
                  <w:tcBorders>
                    <w:tl2br w:val="nil"/>
                    <w:tr2bl w:val="nil"/>
                  </w:tcBorders>
                  <w:noWrap w:val="0"/>
                  <w:vAlign w:val="center"/>
                </w:tcPr>
                <w:p w14:paraId="15253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t>5</w:t>
                  </w:r>
                </w:p>
              </w:tc>
              <w:tc>
                <w:tcPr>
                  <w:tcW w:w="1216" w:type="pct"/>
                  <w:tcBorders>
                    <w:tl2br w:val="nil"/>
                    <w:tr2bl w:val="nil"/>
                  </w:tcBorders>
                  <w:noWrap w:val="0"/>
                  <w:vAlign w:val="center"/>
                </w:tcPr>
                <w:p w14:paraId="5DBE6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t>施工期</w:t>
                  </w:r>
                </w:p>
              </w:tc>
            </w:tr>
            <w:tr w14:paraId="339EC0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4A5989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生态</w:t>
                  </w:r>
                </w:p>
              </w:tc>
              <w:tc>
                <w:tcPr>
                  <w:tcW w:w="2359" w:type="pct"/>
                  <w:tcBorders>
                    <w:tl2br w:val="nil"/>
                    <w:tr2bl w:val="nil"/>
                  </w:tcBorders>
                  <w:noWrap w:val="0"/>
                  <w:vAlign w:val="center"/>
                </w:tcPr>
                <w:p w14:paraId="0BA88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植物防护措施</w:t>
                  </w:r>
                </w:p>
              </w:tc>
              <w:tc>
                <w:tcPr>
                  <w:tcW w:w="843" w:type="pct"/>
                  <w:tcBorders>
                    <w:tl2br w:val="nil"/>
                    <w:tr2bl w:val="nil"/>
                  </w:tcBorders>
                  <w:noWrap w:val="0"/>
                  <w:vAlign w:val="center"/>
                </w:tcPr>
                <w:p w14:paraId="7E57B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15</w:t>
                  </w:r>
                </w:p>
              </w:tc>
              <w:tc>
                <w:tcPr>
                  <w:tcW w:w="1216" w:type="pct"/>
                  <w:tcBorders>
                    <w:tl2br w:val="nil"/>
                    <w:tr2bl w:val="nil"/>
                  </w:tcBorders>
                  <w:noWrap w:val="0"/>
                  <w:vAlign w:val="center"/>
                </w:tcPr>
                <w:p w14:paraId="5D79C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施工期</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 xml:space="preserve"> </w:t>
                  </w:r>
                  <w:r>
                    <w:rPr>
                      <w:rFonts w:hint="default" w:ascii="Times New Roman" w:hAnsi="Times New Roman" w:cs="Times New Roman"/>
                      <w:b w:val="0"/>
                      <w:bCs w:val="0"/>
                      <w:color w:val="000000" w:themeColor="text1"/>
                      <w:sz w:val="21"/>
                      <w:szCs w:val="21"/>
                      <w14:textFill>
                        <w14:solidFill>
                          <w14:schemeClr w14:val="tx1"/>
                        </w14:solidFill>
                      </w14:textFill>
                    </w:rPr>
                    <w:t>营运期</w:t>
                  </w:r>
                </w:p>
              </w:tc>
            </w:tr>
            <w:tr w14:paraId="5444CE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001D7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水土保持</w:t>
                  </w:r>
                </w:p>
              </w:tc>
              <w:tc>
                <w:tcPr>
                  <w:tcW w:w="2359" w:type="pct"/>
                  <w:tcBorders>
                    <w:tl2br w:val="nil"/>
                    <w:tr2bl w:val="nil"/>
                  </w:tcBorders>
                  <w:noWrap w:val="0"/>
                  <w:vAlign w:val="center"/>
                </w:tcPr>
                <w:p w14:paraId="172B02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工程措施费、建设单位管理费、水土流失补偿费、工程监理、水土保持管理费、设计费、基本预备费和其它费用等</w:t>
                  </w:r>
                </w:p>
              </w:tc>
              <w:tc>
                <w:tcPr>
                  <w:tcW w:w="843" w:type="pct"/>
                  <w:tcBorders>
                    <w:tl2br w:val="nil"/>
                    <w:tr2bl w:val="nil"/>
                  </w:tcBorders>
                  <w:noWrap w:val="0"/>
                  <w:vAlign w:val="center"/>
                </w:tcPr>
                <w:p w14:paraId="30D58F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110</w:t>
                  </w:r>
                </w:p>
              </w:tc>
              <w:tc>
                <w:tcPr>
                  <w:tcW w:w="1216" w:type="pct"/>
                  <w:tcBorders>
                    <w:tl2br w:val="nil"/>
                    <w:tr2bl w:val="nil"/>
                  </w:tcBorders>
                  <w:noWrap w:val="0"/>
                  <w:vAlign w:val="center"/>
                </w:tcPr>
                <w:p w14:paraId="61B1F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施工期</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 xml:space="preserve"> </w:t>
                  </w:r>
                  <w:r>
                    <w:rPr>
                      <w:rFonts w:hint="default" w:ascii="Times New Roman" w:hAnsi="Times New Roman" w:cs="Times New Roman"/>
                      <w:b w:val="0"/>
                      <w:bCs w:val="0"/>
                      <w:color w:val="000000" w:themeColor="text1"/>
                      <w:sz w:val="21"/>
                      <w:szCs w:val="21"/>
                      <w14:textFill>
                        <w14:solidFill>
                          <w14:schemeClr w14:val="tx1"/>
                        </w14:solidFill>
                      </w14:textFill>
                    </w:rPr>
                    <w:t>营运期</w:t>
                  </w:r>
                </w:p>
              </w:tc>
            </w:tr>
            <w:tr w14:paraId="6B1A3A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2940" w:type="pct"/>
                  <w:gridSpan w:val="2"/>
                  <w:tcBorders>
                    <w:tl2br w:val="nil"/>
                    <w:tr2bl w:val="nil"/>
                  </w:tcBorders>
                  <w:noWrap w:val="0"/>
                  <w:vAlign w:val="center"/>
                </w:tcPr>
                <w:p w14:paraId="2FA4ED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lang w:val="en-US" w:eastAsia="zh-CN"/>
                      <w14:textFill>
                        <w14:solidFill>
                          <w14:schemeClr w14:val="tx1"/>
                        </w14:solidFill>
                      </w14:textFill>
                    </w:rPr>
                    <w:t>合计</w:t>
                  </w:r>
                </w:p>
              </w:tc>
              <w:tc>
                <w:tcPr>
                  <w:tcW w:w="2059" w:type="pct"/>
                  <w:gridSpan w:val="2"/>
                  <w:tcBorders>
                    <w:tl2br w:val="nil"/>
                    <w:tr2bl w:val="nil"/>
                  </w:tcBorders>
                  <w:noWrap w:val="0"/>
                  <w:vAlign w:val="center"/>
                </w:tcPr>
                <w:p w14:paraId="4D4F2F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2180</w:t>
                  </w:r>
                </w:p>
              </w:tc>
            </w:tr>
            <w:bookmarkEnd w:id="5"/>
          </w:tbl>
          <w:p w14:paraId="0D9A43CD">
            <w:pPr>
              <w:keepNext w:val="0"/>
              <w:keepLines w:val="0"/>
              <w:pageBreakBefore w:val="0"/>
              <w:widowControl/>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1"/>
                <w:szCs w:val="21"/>
              </w:rPr>
            </w:pPr>
          </w:p>
        </w:tc>
      </w:tr>
    </w:tbl>
    <w:p w14:paraId="3B878CFA">
      <w:pPr>
        <w:rPr>
          <w:rFonts w:hint="default" w:ascii="Times New Roman" w:hAnsi="Times New Roman" w:cs="Times New Roman"/>
        </w:rPr>
        <w:sectPr>
          <w:footerReference r:id="rId10"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tbl>
      <w:tblPr>
        <w:tblStyle w:val="28"/>
        <w:tblW w:w="910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104"/>
      </w:tblGrid>
      <w:tr w14:paraId="148BA086">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04" w:hRule="atLeast"/>
        </w:trPr>
        <w:tc>
          <w:tcPr>
            <w:tcW w:w="9104" w:type="dxa"/>
            <w:vAlign w:val="top"/>
          </w:tcPr>
          <w:p w14:paraId="7E0AC54B">
            <w:pPr>
              <w:keepNext w:val="0"/>
              <w:keepLines w:val="0"/>
              <w:pageBreakBefore w:val="0"/>
              <w:widowControl/>
              <w:kinsoku/>
              <w:wordWrap/>
              <w:overflowPunct/>
              <w:topLinePunct w:val="0"/>
              <w:autoSpaceDE/>
              <w:autoSpaceDN/>
              <w:bidi w:val="0"/>
              <w:adjustRightInd/>
              <w:snapToGrid/>
              <w:spacing w:line="360" w:lineRule="auto"/>
              <w:ind w:firstLine="578" w:firstLineChars="200"/>
              <w:textAlignment w:val="baseline"/>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b/>
                <w:bCs/>
                <w:spacing w:val="4"/>
                <w:sz w:val="28"/>
                <w:szCs w:val="28"/>
                <w:lang w:val="en-US" w:eastAsia="zh-CN"/>
              </w:rPr>
              <w:t>5</w:t>
            </w:r>
            <w:r>
              <w:rPr>
                <w:rFonts w:hint="default" w:ascii="Times New Roman" w:hAnsi="Times New Roman" w:eastAsia="Times New Roman" w:cs="Times New Roman"/>
                <w:b/>
                <w:bCs/>
                <w:spacing w:val="4"/>
                <w:sz w:val="28"/>
                <w:szCs w:val="28"/>
                <w:highlight w:val="none"/>
              </w:rPr>
              <w:t>.8</w:t>
            </w:r>
            <w:r>
              <w:rPr>
                <w:rFonts w:hint="default" w:ascii="Times New Roman" w:hAnsi="Times New Roman" w:eastAsia="宋体" w:cs="Times New Roman"/>
                <w:b/>
                <w:bCs/>
                <w:spacing w:val="4"/>
                <w:sz w:val="28"/>
                <w:szCs w:val="28"/>
                <w:highlight w:val="none"/>
                <w:lang w:val="en-US" w:eastAsia="zh-CN"/>
              </w:rPr>
              <w:t xml:space="preserve"> </w:t>
            </w:r>
            <w:r>
              <w:rPr>
                <w:rFonts w:hint="default" w:ascii="Times New Roman" w:hAnsi="Times New Roman" w:eastAsia="宋体" w:cs="Times New Roman"/>
                <w:spacing w:val="4"/>
                <w:sz w:val="28"/>
                <w:szCs w:val="28"/>
                <w:highlight w:val="none"/>
                <w14:textOutline w14:w="5094" w14:cap="flat" w14:cmpd="sng">
                  <w14:solidFill>
                    <w14:srgbClr w14:val="000000"/>
                  </w14:solidFill>
                  <w14:prstDash w14:val="solid"/>
                  <w14:miter w14:val="0"/>
                </w14:textOutline>
              </w:rPr>
              <w:t>与</w:t>
            </w:r>
            <w:r>
              <w:rPr>
                <w:rFonts w:hint="default" w:ascii="Times New Roman" w:hAnsi="Times New Roman" w:eastAsia="宋体" w:cs="Times New Roman"/>
                <w:spacing w:val="2"/>
                <w:sz w:val="28"/>
                <w:szCs w:val="28"/>
                <w:highlight w:val="none"/>
                <w14:textOutline w14:w="5094" w14:cap="flat" w14:cmpd="sng">
                  <w14:solidFill>
                    <w14:srgbClr w14:val="000000"/>
                  </w14:solidFill>
                  <w14:prstDash w14:val="solid"/>
                  <w14:miter w14:val="0"/>
                </w14:textOutline>
              </w:rPr>
              <w:t>项目有关的生态破坏和污染物排放、主要环境问题及环境保护措</w:t>
            </w:r>
            <w:r>
              <w:rPr>
                <w:rFonts w:hint="default" w:ascii="Times New Roman" w:hAnsi="Times New Roman" w:eastAsia="宋体" w:cs="Times New Roman"/>
                <w:sz w:val="28"/>
                <w:szCs w:val="28"/>
                <w:highlight w:val="none"/>
                <w14:textOutline w14:w="5094" w14:cap="flat" w14:cmpd="sng">
                  <w14:solidFill>
                    <w14:srgbClr w14:val="000000"/>
                  </w14:solidFill>
                  <w14:prstDash w14:val="solid"/>
                  <w14:miter w14:val="0"/>
                </w14:textOutline>
              </w:rPr>
              <w:t>施</w:t>
            </w:r>
          </w:p>
          <w:p w14:paraId="1C833C2E">
            <w:pPr>
              <w:keepNext w:val="0"/>
              <w:keepLines w:val="0"/>
              <w:pageBreakBefore w:val="0"/>
              <w:widowControl/>
              <w:kinsoku/>
              <w:wordWrap/>
              <w:overflowPunct/>
              <w:topLinePunct w:val="0"/>
              <w:autoSpaceDE/>
              <w:autoSpaceDN/>
              <w:bidi w:val="0"/>
              <w:adjustRightInd/>
              <w:snapToGrid/>
              <w:spacing w:line="360" w:lineRule="auto"/>
              <w:ind w:left="0" w:firstLine="5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15"/>
                <w:sz w:val="24"/>
                <w:szCs w:val="24"/>
                <w:lang w:val="en-US" w:eastAsia="zh-CN"/>
              </w:rPr>
              <w:t>1</w:t>
            </w: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9"/>
                <w:sz w:val="24"/>
                <w:szCs w:val="24"/>
              </w:rPr>
              <w:t>施工期环境影响</w:t>
            </w:r>
          </w:p>
          <w:p w14:paraId="5DFA6489">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3"/>
                <w:sz w:val="24"/>
                <w:szCs w:val="24"/>
                <w:lang w:val="en-US" w:eastAsia="zh-CN"/>
              </w:rPr>
              <w:t>1）</w:t>
            </w:r>
            <w:r>
              <w:rPr>
                <w:rFonts w:hint="default" w:ascii="Times New Roman" w:hAnsi="Times New Roman" w:eastAsia="宋体" w:cs="Times New Roman"/>
                <w:spacing w:val="2"/>
                <w:sz w:val="24"/>
                <w:szCs w:val="24"/>
              </w:rPr>
              <w:t>水环境影响</w:t>
            </w:r>
          </w:p>
          <w:p w14:paraId="18CCB1A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施工期的水污染主要有施工废水</w:t>
            </w:r>
            <w:r>
              <w:rPr>
                <w:rFonts w:hint="default"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lang w:val="en-US" w:eastAsia="zh-CN"/>
                <w14:textFill>
                  <w14:solidFill>
                    <w14:schemeClr w14:val="tx1"/>
                  </w14:solidFill>
                </w14:textFill>
              </w:rPr>
              <w:t>管道试压废水以及</w:t>
            </w:r>
            <w:r>
              <w:rPr>
                <w:rFonts w:hint="default" w:ascii="Times New Roman" w:hAnsi="Times New Roman" w:cs="Times New Roman"/>
                <w:color w:val="000000" w:themeColor="text1"/>
                <w:sz w:val="24"/>
                <w14:textFill>
                  <w14:solidFill>
                    <w14:schemeClr w14:val="tx1"/>
                  </w14:solidFill>
                </w14:textFill>
              </w:rPr>
              <w:t>施工人员生活废水。</w:t>
            </w:r>
          </w:p>
          <w:p w14:paraId="1AD7E02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eastAsia="宋体" w:cs="Times New Roman"/>
                <w:b/>
                <w:color w:val="000000" w:themeColor="text1"/>
                <w:kern w:val="0"/>
                <w:sz w:val="24"/>
                <w:szCs w:val="24"/>
                <w14:textFill>
                  <w14:solidFill>
                    <w14:schemeClr w14:val="tx1"/>
                  </w14:solidFill>
                </w14:textFill>
              </w:rPr>
            </w:pPr>
            <w:r>
              <w:rPr>
                <w:rFonts w:hint="eastAsia" w:ascii="Times New Roman" w:hAnsi="Times New Roman" w:eastAsia="宋体" w:cs="Times New Roman"/>
                <w:b/>
                <w:color w:val="000000" w:themeColor="text1"/>
                <w:kern w:val="0"/>
                <w:sz w:val="24"/>
                <w:szCs w:val="24"/>
                <w:lang w:val="en-US" w:eastAsia="zh-CN" w:bidi="ar"/>
                <w14:textFill>
                  <w14:solidFill>
                    <w14:schemeClr w14:val="tx1"/>
                  </w14:solidFill>
                </w14:textFill>
              </w:rPr>
              <w:t>1</w:t>
            </w:r>
            <w:r>
              <w:rPr>
                <w:rFonts w:hint="default" w:ascii="Times New Roman" w:hAnsi="Times New Roman" w:eastAsia="宋体" w:cs="Times New Roman"/>
                <w:b/>
                <w:color w:val="000000" w:themeColor="text1"/>
                <w:kern w:val="0"/>
                <w:sz w:val="24"/>
                <w:szCs w:val="24"/>
                <w:lang w:val="en-US" w:eastAsia="zh-CN" w:bidi="ar"/>
                <w14:textFill>
                  <w14:solidFill>
                    <w14:schemeClr w14:val="tx1"/>
                  </w14:solidFill>
                </w14:textFill>
              </w:rPr>
              <w:t>.1施工场地生产废水处理设施</w:t>
            </w:r>
          </w:p>
          <w:p w14:paraId="31BB0B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1）设置废水处理设施：在施工场地内及项目区设置沉淀池对收集的施工生产废水进行沉淀处理，处理水首先循环回用于施工生产，其余用于施工现场、临时堆土场的洒水防尘，不向外排放，沉淀池定期进行清理，沉淀物运至弃渣场。</w:t>
            </w:r>
          </w:p>
          <w:p w14:paraId="6C662D9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color w:val="000000" w:themeColor="text1"/>
                <w:kern w:val="2"/>
                <w:sz w:val="24"/>
                <w:szCs w:val="24"/>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w:t>
            </w:r>
            <w:r>
              <w:rPr>
                <w:rFonts w:hint="default" w:ascii="Times New Roman" w:hAnsi="Times New Roman" w:cs="Times New Roman"/>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）尽量选用先进的设备、机械、以有效地减少跑、冒、滴、漏的数量及机械维修次数，从而减少含油污水的产生量。</w:t>
            </w:r>
          </w:p>
          <w:p w14:paraId="75A9180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color w:val="000000" w:themeColor="text1"/>
                <w:kern w:val="2"/>
                <w:sz w:val="24"/>
                <w:szCs w:val="24"/>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w:t>
            </w:r>
            <w:r>
              <w:rPr>
                <w:rFonts w:hint="default" w:ascii="Times New Roman" w:hAnsi="Times New Roman" w:cs="Times New Roman"/>
                <w:color w:val="000000" w:themeColor="text1"/>
                <w:kern w:val="2"/>
                <w:sz w:val="24"/>
                <w:szCs w:val="24"/>
                <w:lang w:val="en-US" w:eastAsia="zh-CN" w:bidi="ar"/>
                <w14:textFill>
                  <w14:solidFill>
                    <w14:schemeClr w14:val="tx1"/>
                  </w14:solidFill>
                </w14:textFill>
              </w:rPr>
              <w:t>3</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）机械、设备及运输车辆的维修保养依托周边汽车修理厂，不在项目区设置汽车修理及清洗场。</w:t>
            </w:r>
          </w:p>
          <w:p w14:paraId="5FA8231B">
            <w:pPr>
              <w:keepNext w:val="0"/>
              <w:keepLines w:val="0"/>
              <w:pageBreakBefore w:val="0"/>
              <w:widowControl/>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cs="Times New Roman"/>
                <w:color w:val="000000" w:themeColor="text1"/>
                <w:sz w:val="24"/>
                <w:shd w:val="clear" w:color="auto" w:fill="auto"/>
                <w14:textFill>
                  <w14:solidFill>
                    <w14:schemeClr w14:val="tx1"/>
                  </w14:solidFill>
                </w14:textFill>
              </w:rPr>
            </w:pPr>
            <w:r>
              <w:rPr>
                <w:rFonts w:hint="default" w:ascii="Times New Roman" w:hAnsi="Times New Roman" w:cs="Times New Roman"/>
                <w:color w:val="000000" w:themeColor="text1"/>
                <w:sz w:val="24"/>
                <w:shd w:val="clear" w:color="auto" w:fill="auto"/>
                <w14:textFill>
                  <w14:solidFill>
                    <w14:schemeClr w14:val="tx1"/>
                  </w14:solidFill>
                </w14:textFill>
              </w:rPr>
              <w:t>（</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4</w:t>
            </w:r>
            <w:r>
              <w:rPr>
                <w:rFonts w:hint="default" w:ascii="Times New Roman" w:hAnsi="Times New Roman" w:cs="Times New Roman"/>
                <w:color w:val="000000" w:themeColor="text1"/>
                <w:sz w:val="24"/>
                <w:shd w:val="clear" w:color="auto" w:fill="auto"/>
                <w14:textFill>
                  <w14:solidFill>
                    <w14:schemeClr w14:val="tx1"/>
                  </w14:solidFill>
                </w14:textFill>
              </w:rPr>
              <w:t>）施工单位对施工场地用水应严格管理，贯彻</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hd w:val="clear" w:color="auto" w:fill="auto"/>
                <w14:textFill>
                  <w14:solidFill>
                    <w14:schemeClr w14:val="tx1"/>
                  </w14:solidFill>
                </w14:textFill>
              </w:rPr>
              <w:t>一水多用、重复利用、节约用水</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hd w:val="clear" w:color="auto" w:fill="auto"/>
                <w14:textFill>
                  <w14:solidFill>
                    <w14:schemeClr w14:val="tx1"/>
                  </w14:solidFill>
                </w14:textFill>
              </w:rPr>
              <w:t>的原则，尽量减少废水的排放量，减轻废水排放对周围环境的影响。</w:t>
            </w:r>
          </w:p>
          <w:p w14:paraId="3230AD95">
            <w:pPr>
              <w:pStyle w:val="4"/>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rightChars="0"/>
              <w:jc w:val="both"/>
              <w:textAlignment w:val="baseline"/>
              <w:rPr>
                <w:rFonts w:hint="default" w:ascii="Times New Roman" w:hAnsi="Times New Roman" w:eastAsia="宋体" w:cs="Times New Roman"/>
                <w:b/>
                <w:color w:val="000000" w:themeColor="text1"/>
                <w:kern w:val="2"/>
                <w:sz w:val="24"/>
                <w:szCs w:val="24"/>
                <w:vertAlign w:val="baseline"/>
                <w14:textFill>
                  <w14:solidFill>
                    <w14:schemeClr w14:val="tx1"/>
                  </w14:solidFill>
                </w14:textFill>
              </w:rPr>
            </w:pPr>
            <w:r>
              <w:rPr>
                <w:rFonts w:hint="eastAsia" w:cs="Times New Roman"/>
                <w:b/>
                <w:color w:val="000000" w:themeColor="text1"/>
                <w:kern w:val="2"/>
                <w:sz w:val="24"/>
                <w:szCs w:val="24"/>
                <w:vertAlign w:val="baseline"/>
                <w:lang w:val="en-US" w:eastAsia="zh-CN"/>
                <w14:textFill>
                  <w14:solidFill>
                    <w14:schemeClr w14:val="tx1"/>
                  </w14:solidFill>
                </w14:textFill>
              </w:rPr>
              <w:t>1</w:t>
            </w:r>
            <w:r>
              <w:rPr>
                <w:rFonts w:hint="default" w:ascii="Times New Roman" w:hAnsi="Times New Roman" w:eastAsia="宋体" w:cs="Times New Roman"/>
                <w:b/>
                <w:color w:val="000000" w:themeColor="text1"/>
                <w:kern w:val="2"/>
                <w:sz w:val="24"/>
                <w:szCs w:val="24"/>
                <w:vertAlign w:val="baseline"/>
                <w:lang w:val="en-US" w:eastAsia="zh-CN"/>
                <w14:textFill>
                  <w14:solidFill>
                    <w14:schemeClr w14:val="tx1"/>
                  </w14:solidFill>
                </w14:textFill>
              </w:rPr>
              <w:t>.2</w:t>
            </w:r>
            <w:r>
              <w:rPr>
                <w:rFonts w:hint="default" w:ascii="Times New Roman" w:hAnsi="Times New Roman" w:eastAsia="宋体" w:cs="Times New Roman"/>
                <w:b/>
                <w:color w:val="000000" w:themeColor="text1"/>
                <w:kern w:val="2"/>
                <w:sz w:val="24"/>
                <w:szCs w:val="24"/>
                <w:vertAlign w:val="baseline"/>
                <w14:textFill>
                  <w14:solidFill>
                    <w14:schemeClr w14:val="tx1"/>
                  </w14:solidFill>
                </w14:textFill>
              </w:rPr>
              <w:t>施工生活污水处理措施</w:t>
            </w:r>
          </w:p>
          <w:p w14:paraId="69333FA6">
            <w:pPr>
              <w:pStyle w:val="18"/>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leftChars="0" w:right="0" w:rightChars="0" w:firstLine="480" w:firstLineChars="200"/>
              <w:jc w:val="both"/>
              <w:textAlignment w:val="auto"/>
              <w:rPr>
                <w:rFonts w:hint="default"/>
              </w:rPr>
            </w:pPr>
            <w:r>
              <w:rPr>
                <w:rFonts w:hint="default" w:ascii="Times New Roman" w:hAnsi="Times New Roman" w:cs="Times New Roman"/>
                <w:color w:val="000000" w:themeColor="text1"/>
                <w:sz w:val="24"/>
                <w:shd w:val="clear" w:color="auto" w:fill="auto"/>
                <w14:textFill>
                  <w14:solidFill>
                    <w14:schemeClr w14:val="tx1"/>
                  </w14:solidFill>
                </w14:textFill>
              </w:rPr>
              <w:t>施工方</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在施工期租赁皮山农场场部已有房屋用做生活区，</w:t>
            </w:r>
            <w:r>
              <w:rPr>
                <w:rFonts w:hint="default" w:ascii="Times New Roman" w:hAnsi="Times New Roman" w:cs="Times New Roman"/>
                <w:color w:val="000000" w:themeColor="text1"/>
                <w:sz w:val="24"/>
                <w:shd w:val="clear" w:color="auto" w:fill="auto"/>
                <w14:textFill>
                  <w14:solidFill>
                    <w14:schemeClr w14:val="tx1"/>
                  </w14:solidFill>
                </w14:textFill>
              </w:rPr>
              <w:t>产生的生活污水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排入污水管网中，最终进入皮山农场污水处理厂处理</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该</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污水处理厂日处理污水量约</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0.5</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万m</w:t>
            </w:r>
            <w:r>
              <w:rPr>
                <w:rFonts w:hint="default" w:ascii="Times New Roman" w:hAnsi="Times New Roman" w:cs="Times New Roman"/>
                <w:color w:val="000000" w:themeColor="text1"/>
                <w:sz w:val="24"/>
                <w:shd w:val="clear" w:color="auto" w:fill="auto"/>
                <w:vertAlign w:val="superscript"/>
                <w:lang w:eastAsia="zh-CN"/>
                <w14:textFill>
                  <w14:solidFill>
                    <w14:schemeClr w14:val="tx1"/>
                  </w14:solidFill>
                </w14:textFill>
              </w:rPr>
              <w:t>3</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/d，采用</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氧化塘</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工艺，</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该污水处理厂收纳标准为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《污水综合排放标准》（GB8978-1996）中三级标准</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因此，完全有能力接纳本项目生活污水。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采取此类措施，生活废水</w:t>
            </w:r>
            <w:r>
              <w:rPr>
                <w:rFonts w:hint="default" w:ascii="Times New Roman" w:hAnsi="Times New Roman" w:cs="Times New Roman"/>
                <w:color w:val="000000" w:themeColor="text1"/>
                <w:sz w:val="24"/>
                <w:shd w:val="clear" w:color="auto" w:fill="auto"/>
                <w14:textFill>
                  <w14:solidFill>
                    <w14:schemeClr w14:val="tx1"/>
                  </w14:solidFill>
                </w14:textFill>
              </w:rPr>
              <w:t>不会对外环境造成影响。</w:t>
            </w:r>
          </w:p>
          <w:p w14:paraId="7F68EF13">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pacing w:val="3"/>
                <w:sz w:val="24"/>
                <w:szCs w:val="24"/>
              </w:rPr>
            </w:pPr>
            <w:r>
              <w:rPr>
                <w:rFonts w:hint="eastAsia"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rPr>
              <w:t>环境空气影响</w:t>
            </w:r>
          </w:p>
          <w:p w14:paraId="61D2400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kern w:val="0"/>
                <w:sz w:val="24"/>
                <w:szCs w:val="24"/>
                <w14:textFill>
                  <w14:solidFill>
                    <w14:schemeClr w14:val="tx1"/>
                  </w14:solidFill>
                </w14:textFill>
              </w:rPr>
            </w:pPr>
            <w:r>
              <w:rPr>
                <w:rFonts w:hint="default" w:ascii="Times New Roman" w:hAnsi="Times New Roman" w:cs="Times New Roman"/>
                <w:snapToGrid w:val="0"/>
                <w:color w:val="000000" w:themeColor="text1"/>
                <w:kern w:val="0"/>
                <w:sz w:val="24"/>
                <w:szCs w:val="24"/>
                <w14:textFill>
                  <w14:solidFill>
                    <w14:schemeClr w14:val="tx1"/>
                  </w14:solidFill>
                </w14:textFill>
              </w:rPr>
              <w:t>施工期产生的大气污染物主要为施工机械开挖填筑时的泥土扬尘，白灰、水泥、砂子等建筑材料搬运、堆放时的扬尘，建筑垃圾堆放、清理时的扬尘，运输车辆碾压道路时的扬尘以及施工机械燃油产生的少量SO</w:t>
            </w:r>
            <w:r>
              <w:rPr>
                <w:rFonts w:hint="default" w:ascii="Times New Roman" w:hAnsi="Times New Roman" w:cs="Times New Roman"/>
                <w:snapToGrid w:val="0"/>
                <w:color w:val="000000" w:themeColor="text1"/>
                <w:kern w:val="0"/>
                <w:sz w:val="24"/>
                <w:szCs w:val="24"/>
                <w:vertAlign w:val="subscript"/>
                <w14:textFill>
                  <w14:solidFill>
                    <w14:schemeClr w14:val="tx1"/>
                  </w14:solidFill>
                </w14:textFill>
              </w:rPr>
              <w:t>2</w:t>
            </w:r>
            <w:r>
              <w:rPr>
                <w:rFonts w:hint="default" w:ascii="Times New Roman" w:hAnsi="Times New Roman" w:cs="Times New Roman"/>
                <w:snapToGrid w:val="0"/>
                <w:color w:val="000000" w:themeColor="text1"/>
                <w:kern w:val="0"/>
                <w:sz w:val="24"/>
                <w:szCs w:val="24"/>
                <w14:textFill>
                  <w14:solidFill>
                    <w14:schemeClr w14:val="tx1"/>
                  </w14:solidFill>
                </w14:textFill>
              </w:rPr>
              <w:t>、NO</w:t>
            </w:r>
            <w:r>
              <w:rPr>
                <w:rFonts w:hint="default" w:ascii="Times New Roman" w:hAnsi="Times New Roman" w:cs="Times New Roman"/>
                <w:snapToGrid w:val="0"/>
                <w:color w:val="000000" w:themeColor="text1"/>
                <w:kern w:val="0"/>
                <w:sz w:val="24"/>
                <w:szCs w:val="24"/>
                <w:vertAlign w:val="subscript"/>
                <w14:textFill>
                  <w14:solidFill>
                    <w14:schemeClr w14:val="tx1"/>
                  </w14:solidFill>
                </w14:textFill>
              </w:rPr>
              <w:t>x</w:t>
            </w:r>
            <w:r>
              <w:rPr>
                <w:rFonts w:hint="default" w:ascii="Times New Roman" w:hAnsi="Times New Roman" w:cs="Times New Roman"/>
                <w:snapToGrid w:val="0"/>
                <w:color w:val="000000" w:themeColor="text1"/>
                <w:kern w:val="0"/>
                <w:sz w:val="24"/>
                <w:szCs w:val="24"/>
                <w14:textFill>
                  <w14:solidFill>
                    <w14:schemeClr w14:val="tx1"/>
                  </w14:solidFill>
                </w14:textFill>
              </w:rPr>
              <w:t>、CO等气体。根据《关于开展大气污染防治冬病夏治工作的通知》（新环大气发﹝2021﹞142号）等文件相关条款要求</w:t>
            </w:r>
            <w:r>
              <w:rPr>
                <w:rFonts w:hint="default" w:ascii="Times New Roman" w:hAnsi="Times New Roman"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cs="Times New Roman"/>
                <w:color w:val="000000" w:themeColor="text1"/>
                <w:kern w:val="0"/>
                <w:sz w:val="24"/>
                <w:szCs w:val="24"/>
                <w14:textFill>
                  <w14:solidFill>
                    <w14:schemeClr w14:val="tx1"/>
                  </w14:solidFill>
                </w14:textFill>
              </w:rPr>
              <w:t>为有效防治本项目施工可能产生的环境空气污染，建议采取以下防治措施：</w:t>
            </w:r>
          </w:p>
          <w:p w14:paraId="62473A8E">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1</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认真做好施工计划，尽量缩短工期，安排好施工运输线路及时间顺序。</w:t>
            </w:r>
          </w:p>
          <w:p w14:paraId="6B6937A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2</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）施工过程需做到“六个百分之百”，即工地周边百分百围挡、物料堆放百分百覆盖、工地百分百湿法作业、路面百分百硬化、出入车辆百分百清洗、渣土车辆百分百密闭。</w:t>
            </w:r>
          </w:p>
          <w:p w14:paraId="1D936E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3</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应在工程要求范围内尽量减少土方的开挖程度，将挖出的土方堆存在划定的建筑垃圾临时堆场，以减少土方占道。并定时洒水，保持土方的潮湿，以减少扬尘污染对周围环境的影响。</w:t>
            </w:r>
          </w:p>
          <w:p w14:paraId="46FC3EA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（4）建设单位在施工过程中尽量限制来往、进出施工场地车辆的车速，并在场地 周围及运输道路上及时洒水，保持路面的潮湿，以减少由于车辆动力起尘对周围环 境的影响。</w:t>
            </w:r>
          </w:p>
          <w:p w14:paraId="6FF5E85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（5）禁止车辆带泥（尘）上路行驶。运输砂石、水泥、建筑垃圾等物质的车辆采取密闭运输。对运输车辆在驶离作业点时，对车身进行清洗；严禁车辆超载超速行驶，以防止运输中的二次扬尘产生。</w:t>
            </w:r>
          </w:p>
          <w:p w14:paraId="123293D3">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（6）对于工地内裸露地面，应采取下列防尘措施之一：a）覆盖防尘布或防尘网；b）做好绿化工作；c）定时定量洒水；d）其他有效的防尘措施；</w:t>
            </w:r>
          </w:p>
          <w:p w14:paraId="7836BE8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加强对本项目施工期所使用的机械设备的维护及保养，保证其正常运行；</w:t>
            </w:r>
          </w:p>
          <w:p w14:paraId="26BFB946">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加强对施工人员的教育，提高设备原料利用率，不用设备时及时关闭，减少废气排放。</w:t>
            </w:r>
          </w:p>
          <w:p w14:paraId="7D331C5C">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eastAsia" w:ascii="Times New Roman" w:hAnsi="Times New Roman" w:cs="Times New Roman"/>
                <w:snapToGrid w:val="0"/>
                <w:color w:val="000000" w:themeColor="text1"/>
                <w:kern w:val="0"/>
                <w:sz w:val="24"/>
                <w:szCs w:val="24"/>
                <w:lang w:val="en-US" w:eastAsia="zh-CN"/>
                <w14:textFill>
                  <w14:solidFill>
                    <w14:schemeClr w14:val="tx1"/>
                  </w14:solidFill>
                </w14:textFill>
              </w:rPr>
              <w:t>9</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采用机械设备推土进行土料回填过程中，</w:t>
            </w:r>
            <w:r>
              <w:rPr>
                <w:rFonts w:hint="eastAsia" w:ascii="Times New Roman" w:hAnsi="Times New Roman" w:eastAsia="宋体" w:cs="Times New Roman"/>
                <w:color w:val="000000"/>
                <w:sz w:val="24"/>
                <w:szCs w:val="24"/>
                <w:highlight w:val="none"/>
                <w:lang w:val="en-US" w:eastAsia="zh-CN"/>
              </w:rPr>
              <w:t>进行洒水降尘，</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若有大风天气停止施工，减少扬尘污染</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257845B6">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val="en-US" w:eastAsia="zh-CN"/>
              </w:rPr>
              <w:t>噪声环境影响</w:t>
            </w:r>
          </w:p>
          <w:p w14:paraId="7BD4D560">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施工期各类机械设备的噪声值较高，因此在施工过程中，采取以下措施：</w:t>
            </w:r>
          </w:p>
          <w:p w14:paraId="7DA7E7B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（1）</w:t>
            </w:r>
            <w:r>
              <w:rPr>
                <w:rFonts w:hint="default" w:ascii="Times New Roman" w:hAnsi="Times New Roman" w:cs="Times New Roman"/>
                <w:color w:val="000000" w:themeColor="text1"/>
                <w:sz w:val="24"/>
                <w:szCs w:val="24"/>
                <w:highlight w:val="none"/>
                <w14:textFill>
                  <w14:solidFill>
                    <w14:schemeClr w14:val="tx1"/>
                  </w14:solidFill>
                </w14:textFill>
              </w:rPr>
              <w:t>合理安排好施工时间，尽量缩短施工期；</w:t>
            </w:r>
          </w:p>
          <w:p w14:paraId="266C5596">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（2）</w:t>
            </w:r>
            <w:r>
              <w:rPr>
                <w:rFonts w:hint="default" w:ascii="Times New Roman" w:hAnsi="Times New Roman" w:cs="Times New Roman"/>
                <w:color w:val="000000" w:themeColor="text1"/>
                <w:sz w:val="24"/>
                <w:szCs w:val="24"/>
                <w:highlight w:val="none"/>
                <w14:textFill>
                  <w14:solidFill>
                    <w14:schemeClr w14:val="tx1"/>
                  </w14:solidFill>
                </w14:textFill>
              </w:rPr>
              <w:t>施工设备选型时，在满足施工需要的前提下，尽可能选取噪声低、振动小、能耗小的先进设备，并避免长时间使用高噪声设备；</w:t>
            </w:r>
          </w:p>
          <w:p w14:paraId="11F2014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加强施工设备的维护保养，发生故障应及时维修，保持润滑、紧固各部件，减少运行振动噪声；施工机械设备应安放稳固，并与地面保持良好接触，有条件的应使用减振机座。加强施工管理、文明施工，杜绝施工机械在运行过程中因维护不当而产生的其他噪声；</w:t>
            </w:r>
          </w:p>
          <w:p w14:paraId="546FA3A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（4）</w:t>
            </w:r>
            <w:r>
              <w:rPr>
                <w:rFonts w:hint="default" w:ascii="Times New Roman" w:hAnsi="Times New Roman" w:cs="Times New Roman"/>
                <w:color w:val="000000" w:themeColor="text1"/>
                <w:kern w:val="24"/>
                <w:sz w:val="24"/>
                <w:szCs w:val="24"/>
                <w:highlight w:val="none"/>
                <w:lang w:val="zh-CN"/>
                <w14:textFill>
                  <w14:solidFill>
                    <w14:schemeClr w14:val="tx1"/>
                  </w14:solidFill>
                </w14:textFill>
              </w:rPr>
              <w:t>加强对现场工作人员进行培训，严格按操作规范使用各类机械设备</w:t>
            </w:r>
            <w:r>
              <w:rPr>
                <w:rFonts w:hint="default" w:ascii="Times New Roman" w:hAnsi="Times New Roman" w:cs="Times New Roman"/>
                <w:color w:val="000000" w:themeColor="text1"/>
                <w:sz w:val="24"/>
                <w:szCs w:val="24"/>
                <w:highlight w:val="none"/>
                <w14:textFill>
                  <w14:solidFill>
                    <w14:schemeClr w14:val="tx1"/>
                  </w14:solidFill>
                </w14:textFill>
              </w:rPr>
              <w:t>；</w:t>
            </w:r>
          </w:p>
          <w:p w14:paraId="14B3CFE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eastAsia="zh-CN"/>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（5）</w:t>
            </w:r>
            <w:r>
              <w:rPr>
                <w:rFonts w:hint="default" w:ascii="Times New Roman" w:hAnsi="Times New Roman" w:cs="Times New Roman"/>
                <w:color w:val="000000" w:themeColor="text1"/>
                <w:sz w:val="24"/>
                <w:szCs w:val="24"/>
                <w:highlight w:val="none"/>
                <w14:textFill>
                  <w14:solidFill>
                    <w14:schemeClr w14:val="tx1"/>
                  </w14:solidFill>
                </w14:textFill>
              </w:rPr>
              <w:t>为保护施工人员的健康，施工单位要合理安排工作人员，轮流操作高强度噪声的施工机械，减少接触高噪声施工机械的时间，或穿插安排操作高噪声和低噪声施</w:t>
            </w:r>
            <w:r>
              <w:rPr>
                <w:rFonts w:hint="default" w:ascii="Times New Roman" w:hAnsi="Times New Roman" w:cs="Times New Roman"/>
                <w:color w:val="000000" w:themeColor="text1"/>
                <w:sz w:val="24"/>
                <w:szCs w:val="24"/>
                <w14:textFill>
                  <w14:solidFill>
                    <w14:schemeClr w14:val="tx1"/>
                  </w14:solidFill>
                </w14:textFill>
              </w:rPr>
              <w:t>工机械的工作。加强对施工人员的个人防护，对高噪声机械设备附近工作的施工人员，可采取配备耳塞、耳机、防声头盔等防噪用具</w:t>
            </w:r>
            <w:r>
              <w:rPr>
                <w:rFonts w:hint="default" w:ascii="Times New Roman" w:hAnsi="Times New Roman" w:cs="Times New Roman"/>
                <w:color w:val="000000" w:themeColor="text1"/>
                <w:sz w:val="24"/>
                <w:szCs w:val="24"/>
                <w:lang w:eastAsia="zh-CN"/>
                <w14:textFill>
                  <w14:solidFill>
                    <w14:schemeClr w14:val="tx1"/>
                  </w14:solidFill>
                </w14:textFill>
              </w:rPr>
              <w:t>；</w:t>
            </w:r>
          </w:p>
          <w:p w14:paraId="08C1634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eastAsia="zh-CN"/>
                <w14:textFill>
                  <w14:solidFill>
                    <w14:schemeClr w14:val="tx1"/>
                  </w14:solidFill>
                </w14:textFill>
              </w:rPr>
            </w:pPr>
            <w:r>
              <w:rPr>
                <w:rFonts w:hint="default" w:ascii="Times New Roman" w:hAnsi="Times New Roman" w:cs="Times New Roman"/>
                <w:snapToGrid w:val="0"/>
                <w:color w:val="000000" w:themeColor="text1"/>
                <w:kern w:val="0"/>
                <w:sz w:val="24"/>
                <w:szCs w:val="24"/>
                <w14:textFill>
                  <w14:solidFill>
                    <w14:schemeClr w14:val="tx1"/>
                  </w14:solidFill>
                </w14:textFill>
              </w:rPr>
              <w:t>（6）</w:t>
            </w:r>
            <w:r>
              <w:rPr>
                <w:rFonts w:hint="default" w:ascii="Times New Roman" w:hAnsi="Times New Roman" w:cs="Times New Roman"/>
                <w:color w:val="000000" w:themeColor="text1"/>
                <w:sz w:val="24"/>
                <w:szCs w:val="24"/>
                <w14:textFill>
                  <w14:solidFill>
                    <w14:schemeClr w14:val="tx1"/>
                  </w14:solidFill>
                </w14:textFill>
              </w:rPr>
              <w:t>加强施工期间道路交通的管理，保持道路畅通也是减缓施工期噪声影响的重要手段</w:t>
            </w:r>
            <w:r>
              <w:rPr>
                <w:rFonts w:hint="default" w:ascii="Times New Roman" w:hAnsi="Times New Roman" w:cs="Times New Roman"/>
                <w:color w:val="000000" w:themeColor="text1"/>
                <w:sz w:val="24"/>
                <w:szCs w:val="24"/>
                <w:lang w:eastAsia="zh-CN"/>
                <w14:textFill>
                  <w14:solidFill>
                    <w14:schemeClr w14:val="tx1"/>
                  </w14:solidFill>
                </w14:textFill>
              </w:rPr>
              <w:t>；</w:t>
            </w:r>
          </w:p>
          <w:p w14:paraId="5685E36B">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b w:val="0"/>
                <w:bCs w:val="0"/>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7）</w:t>
            </w:r>
            <w:r>
              <w:rPr>
                <w:rFonts w:hint="default" w:ascii="Times New Roman" w:hAnsi="Times New Roman" w:cs="Times New Roman"/>
                <w:b w:val="0"/>
                <w:bCs w:val="0"/>
                <w:color w:val="000000" w:themeColor="text1"/>
                <w:sz w:val="24"/>
                <w:szCs w:val="24"/>
                <w14:textFill>
                  <w14:solidFill>
                    <w14:schemeClr w14:val="tx1"/>
                  </w14:solidFill>
                </w14:textFill>
              </w:rPr>
              <w:t>施工期间在施工场地周围采用移动式声屏障，以尽量降低施工噪声对周边居民的影响</w:t>
            </w:r>
            <w:r>
              <w:rPr>
                <w:rFonts w:hint="default" w:ascii="Times New Roman" w:hAnsi="Times New Roman" w:cs="Times New Roman"/>
                <w:b w:val="0"/>
                <w:bCs w:val="0"/>
                <w:color w:val="000000" w:themeColor="text1"/>
                <w:sz w:val="24"/>
                <w:szCs w:val="24"/>
                <w:lang w:eastAsia="zh-CN"/>
                <w14:textFill>
                  <w14:solidFill>
                    <w14:schemeClr w14:val="tx1"/>
                  </w14:solidFill>
                </w14:textFill>
              </w:rPr>
              <w:t>。</w:t>
            </w:r>
          </w:p>
          <w:p w14:paraId="7C154392">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4）</w:t>
            </w:r>
            <w:r>
              <w:rPr>
                <w:rFonts w:hint="default" w:ascii="Times New Roman" w:hAnsi="Times New Roman" w:eastAsia="宋体" w:cs="Times New Roman"/>
                <w:spacing w:val="18"/>
                <w:sz w:val="24"/>
                <w:szCs w:val="24"/>
                <w:lang w:val="en-US" w:eastAsia="zh-CN"/>
              </w:rPr>
              <w:t>固体废弃物影响</w:t>
            </w:r>
          </w:p>
          <w:p w14:paraId="7C954C0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eastAsia="宋体"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eastAsia="宋体" w:cs="Times New Roman"/>
                <w:b w:val="0"/>
                <w:bCs/>
                <w:color w:val="000000" w:themeColor="text1"/>
                <w:sz w:val="24"/>
                <w:szCs w:val="24"/>
                <w14:textFill>
                  <w14:solidFill>
                    <w14:schemeClr w14:val="tx1"/>
                  </w14:solidFill>
                </w14:textFill>
              </w:rPr>
              <w:t>弃</w:t>
            </w:r>
            <w:r>
              <w:rPr>
                <w:rFonts w:hint="default" w:ascii="Times New Roman" w:hAnsi="Times New Roman" w:eastAsia="宋体" w:cs="Times New Roman"/>
                <w:b w:val="0"/>
                <w:bCs/>
                <w:color w:val="000000" w:themeColor="text1"/>
                <w:sz w:val="24"/>
                <w:szCs w:val="24"/>
                <w:lang w:eastAsia="zh-CN"/>
                <w14:textFill>
                  <w14:solidFill>
                    <w14:schemeClr w14:val="tx1"/>
                  </w14:solidFill>
                </w14:textFill>
              </w:rPr>
              <w:t>土（</w:t>
            </w:r>
            <w:r>
              <w:rPr>
                <w:rFonts w:hint="default" w:ascii="Times New Roman" w:hAnsi="Times New Roman" w:eastAsia="宋体" w:cs="Times New Roman"/>
                <w:b w:val="0"/>
                <w:bCs/>
                <w:color w:val="000000" w:themeColor="text1"/>
                <w:sz w:val="24"/>
                <w:szCs w:val="24"/>
                <w14:textFill>
                  <w14:solidFill>
                    <w14:schemeClr w14:val="tx1"/>
                  </w14:solidFill>
                </w14:textFill>
              </w:rPr>
              <w:t>渣</w:t>
            </w:r>
            <w:r>
              <w:rPr>
                <w:rFonts w:hint="default" w:ascii="Times New Roman" w:hAnsi="Times New Roman" w:eastAsia="宋体" w:cs="Times New Roman"/>
                <w:b w:val="0"/>
                <w:bCs/>
                <w:color w:val="000000" w:themeColor="text1"/>
                <w:sz w:val="24"/>
                <w:szCs w:val="24"/>
                <w:lang w:eastAsia="zh-CN"/>
                <w14:textFill>
                  <w14:solidFill>
                    <w14:schemeClr w14:val="tx1"/>
                  </w14:solidFill>
                </w14:textFill>
              </w:rPr>
              <w:t>）</w:t>
            </w:r>
            <w:r>
              <w:rPr>
                <w:rFonts w:hint="default" w:ascii="Times New Roman" w:hAnsi="Times New Roman" w:eastAsia="宋体" w:cs="Times New Roman"/>
                <w:b w:val="0"/>
                <w:bCs/>
                <w:color w:val="000000" w:themeColor="text1"/>
                <w:sz w:val="24"/>
                <w:szCs w:val="24"/>
                <w14:textFill>
                  <w14:solidFill>
                    <w14:schemeClr w14:val="tx1"/>
                  </w14:solidFill>
                </w14:textFill>
              </w:rPr>
              <w:t>场</w:t>
            </w:r>
          </w:p>
          <w:p w14:paraId="0CE88295">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（1）弃土（渣）场施工形式和工序</w:t>
            </w:r>
          </w:p>
          <w:p w14:paraId="51DF012F">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弃土（渣）场施工前应先将原地表层15cm厚砾幕层剥离并集中堆放在弃土（渣）场一角，堆放边坡比为1:1.5，弃土弃渣施工期间采取临时性防护措施，然后布设挡墙后，再进行弃土弃渣，弃土弃渣分别分级（5m一台阶）堆放于弃土和弃渣场，施工结束后应立即将堆放保护的</w:t>
            </w:r>
            <w:r>
              <w:rPr>
                <w:rFonts w:hint="default" w:ascii="Times New Roman" w:hAnsi="Times New Roman" w:cs="Times New Roman"/>
                <w:b w:val="0"/>
                <w:bCs/>
                <w:color w:val="000000" w:themeColor="text1"/>
                <w:sz w:val="24"/>
                <w:lang w:eastAsia="zh-CN"/>
                <w14:textFill>
                  <w14:solidFill>
                    <w14:schemeClr w14:val="tx1"/>
                  </w14:solidFill>
                </w14:textFill>
              </w:rPr>
              <w:t>表层土壤</w:t>
            </w:r>
            <w:r>
              <w:rPr>
                <w:rFonts w:hint="default" w:ascii="Times New Roman" w:hAnsi="Times New Roman" w:cs="Times New Roman"/>
                <w:b w:val="0"/>
                <w:bCs/>
                <w:color w:val="000000" w:themeColor="text1"/>
                <w:sz w:val="24"/>
                <w14:textFill>
                  <w14:solidFill>
                    <w14:schemeClr w14:val="tx1"/>
                  </w14:solidFill>
                </w14:textFill>
              </w:rPr>
              <w:t>回填至弃土（渣）场，防止水土流失。</w:t>
            </w:r>
          </w:p>
          <w:p w14:paraId="59FF5D3C">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lang w:val="en-US" w:eastAsia="zh-CN"/>
                <w14:textFill>
                  <w14:solidFill>
                    <w14:schemeClr w14:val="tx1"/>
                  </w14:solidFill>
                </w14:textFill>
              </w:rPr>
              <w:t>（2</w:t>
            </w:r>
            <w:r>
              <w:rPr>
                <w:rFonts w:hint="default" w:ascii="Times New Roman" w:hAnsi="Times New Roman" w:cs="Times New Roman"/>
                <w:b w:val="0"/>
                <w:bCs/>
                <w:color w:val="000000" w:themeColor="text1"/>
                <w:sz w:val="24"/>
                <w:lang w:eastAsia="zh-CN"/>
                <w14:textFill>
                  <w14:solidFill>
                    <w14:schemeClr w14:val="tx1"/>
                  </w14:solidFill>
                </w14:textFill>
              </w:rPr>
              <w:t>）</w:t>
            </w:r>
            <w:r>
              <w:rPr>
                <w:rFonts w:hint="default" w:ascii="Times New Roman" w:hAnsi="Times New Roman" w:eastAsia="宋体" w:cs="Times New Roman"/>
                <w:b w:val="0"/>
                <w:bCs/>
                <w:color w:val="000000" w:themeColor="text1"/>
                <w:sz w:val="24"/>
                <w14:textFill>
                  <w14:solidFill>
                    <w14:schemeClr w14:val="tx1"/>
                  </w14:solidFill>
                </w14:textFill>
              </w:rPr>
              <w:t>采用M7.5浆砌块石砌筑挡墙，挡渣墙基础应开挖至新鲜岩基，墙顶预留0.5</w:t>
            </w:r>
            <w:r>
              <w:rPr>
                <w:rFonts w:hint="default" w:ascii="Times New Roman" w:hAnsi="Times New Roman" w:eastAsia="宋体" w:cs="Times New Roman"/>
                <w:b w:val="0"/>
                <w:bCs/>
                <w:color w:val="000000" w:themeColor="text1"/>
                <w:sz w:val="24"/>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4"/>
                <w14:textFill>
                  <w14:solidFill>
                    <w14:schemeClr w14:val="tx1"/>
                  </w14:solidFill>
                </w14:textFill>
              </w:rPr>
              <w:t>安全超高。</w:t>
            </w:r>
          </w:p>
          <w:p w14:paraId="53C66F90">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（3）截排水措施</w:t>
            </w:r>
          </w:p>
          <w:p w14:paraId="5674A423">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本工程设计在弃土（渣）场上游设置截水沟，周围和下游设置排水沟，由于项目区降雨量少，根据同类工程项目经过，截水沟采用底宽0.5m，高0.5m矩形断面，采用M10浆砌石砌筑。</w:t>
            </w:r>
          </w:p>
          <w:p w14:paraId="0C50E211">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（4）平台排水沟</w:t>
            </w:r>
          </w:p>
          <w:p w14:paraId="4B92FB24">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为防止弃渣场顶面和坡面降雨汇水冲刷堆土（渣）场，在渣场内侧修建横向排水沟，末端接入土（渣）场周边截水沟。排水沟采用矩形断面，由于积水面积仅为堆渣顶面和坡面，根据防洪设计标准计算出的排水沟尺寸较小，为方便施工，排水沟尺寸统一按0.4m×0.4m，M10浆砌石衬砌厚30cm，根据地形条件排水沟的比降为2/100。</w:t>
            </w:r>
          </w:p>
          <w:p w14:paraId="181869BE">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left"/>
              <w:textAlignment w:val="auto"/>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（5）土地整治</w:t>
            </w:r>
          </w:p>
          <w:p w14:paraId="016AABF4">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施工结束后对弃土（渣）场堆渣平台、坡面进行土地整治，应遵循“挖填平衡”的设计原则进行坑凹回填、平整场地，坡度一般不超过15度。土地整治应当与生态环境建设相协调，采取以“坡度越小、地块越大”为原则的土地整治工程。</w:t>
            </w:r>
          </w:p>
          <w:p w14:paraId="2E2941E8">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lang w:val="en-US" w:eastAsia="zh-CN"/>
                <w14:textFill>
                  <w14:solidFill>
                    <w14:schemeClr w14:val="tx1"/>
                  </w14:solidFill>
                </w14:textFill>
              </w:rPr>
              <w:t>（6</w:t>
            </w:r>
            <w:r>
              <w:rPr>
                <w:rFonts w:hint="default" w:ascii="Times New Roman" w:hAnsi="Times New Roman" w:cs="Times New Roman"/>
                <w:b w:val="0"/>
                <w:bCs/>
                <w:color w:val="000000" w:themeColor="text1"/>
                <w:sz w:val="24"/>
                <w:lang w:eastAsia="zh-CN"/>
                <w14:textFill>
                  <w14:solidFill>
                    <w14:schemeClr w14:val="tx1"/>
                  </w14:solidFill>
                </w14:textFill>
              </w:rPr>
              <w:t>）</w:t>
            </w:r>
            <w:r>
              <w:rPr>
                <w:rFonts w:hint="default" w:ascii="Times New Roman" w:hAnsi="Times New Roman" w:cs="Times New Roman"/>
                <w:b w:val="0"/>
                <w:bCs/>
                <w:color w:val="000000" w:themeColor="text1"/>
                <w:sz w:val="24"/>
                <w14:textFill>
                  <w14:solidFill>
                    <w14:schemeClr w14:val="tx1"/>
                  </w14:solidFill>
                </w14:textFill>
              </w:rPr>
              <w:t>砾幕层回填</w:t>
            </w:r>
          </w:p>
          <w:p w14:paraId="05E66055">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平整场地后，为防治风蚀，对弃土（渣）场进行砾幕层回填，如堆存砾石量不足，可用废弃石方代替。砾石大小为2~6cm，厚度约3~6cm，平整覆盖占地表面。</w:t>
            </w:r>
          </w:p>
          <w:p w14:paraId="63B3513E">
            <w:pPr>
              <w:keepNext w:val="0"/>
              <w:keepLines w:val="0"/>
              <w:pageBreakBefore w:val="0"/>
              <w:widowControl w:val="0"/>
              <w:tabs>
                <w:tab w:val="right" w:leader="dot" w:pos="8505"/>
              </w:tabs>
              <w:kinsoku/>
              <w:wordWrap/>
              <w:overflowPunct/>
              <w:topLinePunct w:val="0"/>
              <w:autoSpaceDE/>
              <w:autoSpaceDN/>
              <w:bidi w:val="0"/>
              <w:adjustRightInd/>
              <w:snapToGrid/>
              <w:spacing w:before="0" w:after="0" w:line="360" w:lineRule="auto"/>
              <w:ind w:left="0" w:leftChars="0" w:right="0" w:rightChars="0" w:firstLine="0" w:firstLineChars="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lang w:val="en-US" w:eastAsia="zh-CN"/>
                <w14:textFill>
                  <w14:solidFill>
                    <w14:schemeClr w14:val="tx1"/>
                  </w14:solidFill>
                </w14:textFill>
              </w:rPr>
              <w:t>4.2</w:t>
            </w:r>
            <w:r>
              <w:rPr>
                <w:rFonts w:hint="default" w:ascii="Times New Roman" w:hAnsi="Times New Roman" w:cs="Times New Roman"/>
                <w:b w:val="0"/>
                <w:bCs/>
                <w:color w:val="000000" w:themeColor="text1"/>
                <w:sz w:val="24"/>
                <w14:textFill>
                  <w14:solidFill>
                    <w14:schemeClr w14:val="tx1"/>
                  </w14:solidFill>
                </w14:textFill>
              </w:rPr>
              <w:t>施工期固废控制的其它措施</w:t>
            </w:r>
          </w:p>
          <w:p w14:paraId="1CB7AFB3">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（1）不得在运输过程中沿途丢弃、遗撒固体废物。</w:t>
            </w:r>
          </w:p>
          <w:p w14:paraId="2028DA55">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（2）施工机械的机修油污集中处理，揩擦有油污的固体废弃物等不得随地乱扔，应集中处理。</w:t>
            </w:r>
          </w:p>
          <w:p w14:paraId="0B253F6E">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（3）在施工营地设置垃圾桶，由</w:t>
            </w:r>
            <w:r>
              <w:rPr>
                <w:rFonts w:hint="default" w:ascii="Times New Roman" w:hAnsi="Times New Roman" w:cs="Times New Roman"/>
                <w:b w:val="0"/>
                <w:bCs/>
                <w:color w:val="000000" w:themeColor="text1"/>
                <w:sz w:val="24"/>
                <w:lang w:val="en-US" w:eastAsia="zh-CN"/>
                <w14:textFill>
                  <w14:solidFill>
                    <w14:schemeClr w14:val="tx1"/>
                  </w14:solidFill>
                </w14:textFill>
              </w:rPr>
              <w:t>施工单位</w:t>
            </w:r>
            <w:r>
              <w:rPr>
                <w:rFonts w:hint="default" w:ascii="Times New Roman" w:hAnsi="Times New Roman" w:eastAsia="宋体" w:cs="Times New Roman"/>
                <w:b w:val="0"/>
                <w:bCs/>
                <w:color w:val="000000" w:themeColor="text1"/>
                <w:sz w:val="24"/>
                <w:lang w:val="en-US" w:eastAsia="zh-CN"/>
                <w14:textFill>
                  <w14:solidFill>
                    <w14:schemeClr w14:val="tx1"/>
                  </w14:solidFill>
                </w14:textFill>
              </w:rPr>
              <w:t>按时清除垃圾，及时清理。</w:t>
            </w:r>
          </w:p>
          <w:p w14:paraId="79CD1EE0">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（4）按计划和施工的操作规程，严格控制并尽量减少余下的物料。一旦有余下的材料，将其有序地存放好，妥善保管，可供周边地区修补乡村道路或建筑使用。</w:t>
            </w:r>
          </w:p>
          <w:p w14:paraId="1624E90A">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（5）对收集、贮存、运输、处置固体废物的设施、设备和场所，应当加强管理和维护，保证其正常运行和使用。</w:t>
            </w:r>
          </w:p>
          <w:p w14:paraId="6C88AA95">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（6）为了保证本项目有效利用</w:t>
            </w:r>
            <w:r>
              <w:rPr>
                <w:rFonts w:hint="eastAsia" w:cs="Times New Roman"/>
                <w:b w:val="0"/>
                <w:bCs/>
                <w:color w:val="000000" w:themeColor="text1"/>
                <w:sz w:val="24"/>
                <w:lang w:val="en-US" w:eastAsia="zh-CN"/>
                <w14:textFill>
                  <w14:solidFill>
                    <w14:schemeClr w14:val="tx1"/>
                  </w14:solidFill>
                </w14:textFill>
              </w:rPr>
              <w:t>中水储库</w:t>
            </w:r>
            <w:r>
              <w:rPr>
                <w:rFonts w:hint="default" w:ascii="Times New Roman" w:hAnsi="Times New Roman" w:eastAsia="宋体" w:cs="Times New Roman"/>
                <w:b w:val="0"/>
                <w:bCs/>
                <w:color w:val="000000" w:themeColor="text1"/>
                <w:sz w:val="24"/>
                <w:lang w:val="en-US" w:eastAsia="zh-CN"/>
                <w14:textFill>
                  <w14:solidFill>
                    <w14:schemeClr w14:val="tx1"/>
                  </w14:solidFill>
                </w14:textFill>
              </w:rPr>
              <w:t>开挖时产生的大量弃渣，合理施工进度安排及组织时，可最大量的将可利用挖方用于本工程的填方中去，减少弃渣量。</w:t>
            </w:r>
          </w:p>
          <w:p w14:paraId="7B4F4C6F">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（7）建议本项目建设单位加强与地方道理管理部门，了解清楚本项目其他项目规划建设实施情况，方便及时统筹调度本项目的弃渣去向，减少弃渣堆存量，及时将挖方用于区域的建设中去。</w:t>
            </w:r>
          </w:p>
          <w:p w14:paraId="4A803FFC">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（8）施工期要结合施工所在区域的地质地貌特点，进一步合理规划、安排弃渣场的位置，以确保弃渣堆存不影响当时生态环境。</w:t>
            </w:r>
          </w:p>
          <w:p w14:paraId="35D7DEDF">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w:t>
            </w:r>
            <w:r>
              <w:rPr>
                <w:rFonts w:hint="default" w:ascii="Times New Roman" w:hAnsi="Times New Roman" w:cs="Times New Roman"/>
                <w:b w:val="0"/>
                <w:bCs w:val="0"/>
                <w:color w:val="000000" w:themeColor="text1"/>
                <w:sz w:val="24"/>
                <w:szCs w:val="22"/>
                <w:lang w:val="en-US" w:eastAsia="zh-CN"/>
                <w14:textFill>
                  <w14:solidFill>
                    <w14:schemeClr w14:val="tx1"/>
                  </w14:solidFill>
                </w14:textFill>
              </w:rPr>
              <w:t>施工期生态环境影响防治措施</w:t>
            </w:r>
          </w:p>
          <w:p w14:paraId="51E12C6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1</w:t>
            </w: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）在工程初设阶段的路线方案设计、优化中，对工程占地进行了调查、分析、比较，在满足工程各项主要技术指标的条件下，优先选择占地少、对土地扰动少的路线方案。</w:t>
            </w:r>
          </w:p>
          <w:p w14:paraId="279B532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严格按照设计施工，规定运输车辆行驶路线，不得随意碾压地表。</w:t>
            </w:r>
          </w:p>
          <w:p w14:paraId="31929204">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严格限定施工的工作范围，严禁自行扩大施工用地范围。合理规划使用永久占地范围内的土地，减少临时占地对生态环境的影响，临时征用土地，必须补报。</w:t>
            </w:r>
          </w:p>
          <w:p w14:paraId="702666B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4）</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禁止捕杀、砍伐灌区内外的野生动物及与工程无关的植被。</w:t>
            </w:r>
          </w:p>
          <w:p w14:paraId="1978869A">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cs="Times New Roman"/>
                <w:sz w:val="24"/>
                <w:szCs w:val="24"/>
              </w:rPr>
            </w:pPr>
            <w:r>
              <w:rPr>
                <w:rFonts w:hint="default" w:ascii="Times New Roman" w:hAnsi="Times New Roman" w:eastAsia="宋体" w:cs="Times New Roman"/>
                <w:color w:val="000000"/>
                <w:kern w:val="0"/>
                <w:sz w:val="24"/>
                <w:szCs w:val="24"/>
                <w:lang w:val="en-US" w:eastAsia="zh-CN" w:bidi="ar"/>
              </w:rPr>
              <w:t>（5）安排环境保护监理人员，随时对施工人员的活动进行监督管理。</w:t>
            </w:r>
          </w:p>
          <w:p w14:paraId="627F619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pPr>
            <w:r>
              <w:rPr>
                <w:rFonts w:hint="default" w:ascii="Times New Roman" w:hAnsi="Times New Roman" w:eastAsia="宋体" w:cs="Times New Roman"/>
                <w:color w:val="000000"/>
                <w:kern w:val="0"/>
                <w:sz w:val="24"/>
                <w:szCs w:val="24"/>
                <w:lang w:val="en-US" w:eastAsia="zh-CN" w:bidi="ar"/>
              </w:rPr>
              <w:t>（</w:t>
            </w:r>
            <w:r>
              <w:rPr>
                <w:rFonts w:hint="default" w:ascii="Times New Roman" w:hAnsi="Times New Roman" w:cs="Times New Roman"/>
                <w:color w:val="000000"/>
                <w:kern w:val="0"/>
                <w:sz w:val="24"/>
                <w:szCs w:val="24"/>
                <w:lang w:val="en-US" w:eastAsia="zh-CN" w:bidi="ar"/>
              </w:rPr>
              <w:t>6</w:t>
            </w:r>
            <w:r>
              <w:rPr>
                <w:rFonts w:hint="default" w:ascii="Times New Roman" w:hAnsi="Times New Roman" w:eastAsia="宋体" w:cs="Times New Roman"/>
                <w:color w:val="000000"/>
                <w:kern w:val="0"/>
                <w:sz w:val="24"/>
                <w:szCs w:val="24"/>
                <w:lang w:val="en-US" w:eastAsia="zh-CN" w:bidi="ar"/>
              </w:rPr>
              <w:t>）在施工以及工程运行期间，在项目区实施环境监测、环境监理制度，落实各项环保措施，及时发现和解决可能出现的环境问题。</w:t>
            </w:r>
          </w:p>
          <w:p w14:paraId="5A7F46D2">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7）</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加强对施工人员的教育、监督和管理，积极倡导文明施工。</w:t>
            </w:r>
          </w:p>
          <w:p w14:paraId="3F70898C">
            <w:pPr>
              <w:pStyle w:val="39"/>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highlight w:val="none"/>
                <w:shd w:val="clear" w:color="auto" w:fill="auto"/>
                <w14:textFill>
                  <w14:solidFill>
                    <w14:schemeClr w14:val="tx1"/>
                  </w14:solidFill>
                </w14:textFill>
              </w:rPr>
            </w:pPr>
            <w:r>
              <w:rPr>
                <w:rFonts w:hint="default" w:ascii="Times New Roman" w:hAnsi="Times New Roman" w:eastAsia="宋体" w:cs="Times New Roman"/>
                <w:b w:val="0"/>
                <w:bCs w:val="0"/>
                <w:sz w:val="24"/>
                <w:szCs w:val="24"/>
                <w:lang w:val="en-US" w:eastAsia="zh-CN"/>
              </w:rPr>
              <w:t>6）</w:t>
            </w:r>
            <w:r>
              <w:rPr>
                <w:rFonts w:hint="default" w:ascii="Times New Roman" w:hAnsi="Times New Roman" w:eastAsia="宋体" w:cs="Times New Roman"/>
                <w:b w:val="0"/>
                <w:bCs w:val="0"/>
                <w:color w:val="000000" w:themeColor="text1"/>
                <w:kern w:val="2"/>
                <w:sz w:val="24"/>
                <w:szCs w:val="20"/>
                <w:highlight w:val="none"/>
                <w:shd w:val="clear" w:color="auto" w:fill="auto"/>
                <w:lang w:val="en-US" w:eastAsia="zh-CN" w:bidi="ar-SA"/>
                <w14:textFill>
                  <w14:solidFill>
                    <w14:schemeClr w14:val="tx1"/>
                  </w14:solidFill>
                </w14:textFill>
              </w:rPr>
              <w:t>临时用地的恢复和减缓措施</w:t>
            </w:r>
          </w:p>
          <w:p w14:paraId="7DAA42F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1）</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各类施工应严格控制在设计范围内，不可随意乱开便道，在施工时要严格控制施工范围。</w:t>
            </w:r>
          </w:p>
          <w:p w14:paraId="3904CC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严格按设计要求，在指定地点堆放工程弃渣。</w:t>
            </w:r>
          </w:p>
          <w:p w14:paraId="3A18DE1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施工结束后平整土地，与原地形地势尽可能基本一致，不影响原区域整体景观。清除用地范围内的一切固体废弃物；不得随意倾倒沥青废料。</w:t>
            </w:r>
          </w:p>
          <w:p w14:paraId="083B4E5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施工时应尽量收集保存建设中永久占地、临时用地所占用</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土地</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的表层熟土，施工结束后及时覆盖熟土，进行植被恢复，特别是在工程结束后，应对临时占地进行植被恢复或恢复原有用地性质。</w:t>
            </w:r>
          </w:p>
          <w:p w14:paraId="2A5CF00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2"/>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2"/>
                <w:lang w:val="en-US" w:eastAsia="zh-CN"/>
                <w14:textFill>
                  <w14:solidFill>
                    <w14:schemeClr w14:val="tx1"/>
                  </w14:solidFill>
                </w14:textFill>
              </w:rPr>
              <w:t>7</w:t>
            </w:r>
            <w:r>
              <w:rPr>
                <w:rFonts w:hint="eastAsia"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w:t>
            </w:r>
            <w:r>
              <w:rPr>
                <w:rFonts w:hint="default" w:ascii="Times New Roman" w:hAnsi="Times New Roman" w:eastAsia="宋体" w:cs="Times New Roman"/>
                <w:b w:val="0"/>
                <w:bCs w:val="0"/>
                <w:color w:val="000000" w:themeColor="text1"/>
                <w:sz w:val="24"/>
                <w:szCs w:val="22"/>
                <w:lang w:val="en-US" w:eastAsia="zh-CN"/>
                <w14:textFill>
                  <w14:solidFill>
                    <w14:schemeClr w14:val="tx1"/>
                  </w14:solidFill>
                </w14:textFill>
              </w:rPr>
              <w:t>施工期施工人员健康影响防治措施</w:t>
            </w:r>
          </w:p>
          <w:p w14:paraId="3103E9AC">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为了预防传染病流行，</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提别是“新冠疫情”，</w:t>
            </w: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必须管理好水源、饭堂卫生，如避免带菌者（如患慢性痢疾者或诸病的健康带菌者）担任施工工地炊事员，同时必须做好粪便、垃圾的处理工作，防止介水传染病（肝炎、痢疾、伤寒、霍乱等）在工地流行、防止病原污染水体。同时督促民工备蚊帐防蚊，以防止虫媒传染病疟疾、登革热在工地出现流行。</w:t>
            </w:r>
          </w:p>
          <w:p w14:paraId="466C13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4"/>
                <w:szCs w:val="24"/>
                <w:highlight w:val="none"/>
                <w14:textFill>
                  <w14:solidFill>
                    <w14:schemeClr w14:val="tx1"/>
                  </w14:solidFill>
                </w14:textFill>
              </w:rPr>
              <w:t>（1）施工现场必须严格实施封闭式集中管理，严格落实项目《施工现场人员实名制管理办法》，各分包单位对进入施工现场的所有人员必须第一时间上报总包单位，上报的信息不限于进场人员姓名、身份证号码、手机号、籍贯、核酸检测证明、轨迹、健康</w:t>
            </w:r>
            <w:r>
              <w:rPr>
                <w:rFonts w:hint="default" w:ascii="Times New Roman" w:hAnsi="Times New Roman" w:eastAsia="宋体" w:cs="Times New Roman"/>
                <w:b w:val="0"/>
                <w:bCs w:val="0"/>
                <w:color w:val="000000" w:themeColor="text1"/>
                <w:kern w:val="0"/>
                <w:sz w:val="24"/>
                <w:szCs w:val="24"/>
                <w:highlight w:val="none"/>
                <w:lang w:val="en-US" w:eastAsia="zh-CN"/>
                <w14:textFill>
                  <w14:solidFill>
                    <w14:schemeClr w14:val="tx1"/>
                  </w14:solidFill>
                </w14:textFill>
              </w:rPr>
              <w:t>码</w:t>
            </w:r>
            <w:r>
              <w:rPr>
                <w:rFonts w:hint="default" w:ascii="Times New Roman" w:hAnsi="Times New Roman" w:eastAsia="宋体" w:cs="Times New Roman"/>
                <w:b w:val="0"/>
                <w:bCs w:val="0"/>
                <w:color w:val="000000" w:themeColor="text1"/>
                <w:kern w:val="0"/>
                <w:sz w:val="24"/>
                <w:szCs w:val="24"/>
                <w:highlight w:val="none"/>
                <w14:textFill>
                  <w14:solidFill>
                    <w14:schemeClr w14:val="tx1"/>
                  </w14:solidFill>
                </w14:textFill>
              </w:rPr>
              <w:t>截图等信息内容。</w:t>
            </w:r>
          </w:p>
          <w:p w14:paraId="0890D95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（2）项目人员应严格执行施工现场集中封闭管理规定，不得随意离开本项目。在项目外有固定住所的，应尽量减少返回固定住所频次</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w:t>
            </w:r>
          </w:p>
          <w:p w14:paraId="2F548CB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（3）项目部做好施工现场办公区的疫情防控工作，施工现场疫情防控工作方案中应明确办公区的疫情防控职责分工和防控措施。办公区、生活区、施工区分界明确，减少各区之间交叉。</w:t>
            </w:r>
          </w:p>
          <w:p w14:paraId="345FE90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应结合员工的岗位特点、工作性质等，制定错时错峰工作制度，建立办公区员工每日出入登记及体温监测报告制度，尽量控制减少出入人员，督促员工定时开窗通风，按规定使用集中空调系统。应对员工上班路径、办公场所人员密度、分散办公的可行性等进行评估。每人办公面积不小于2.5平方米，且能保持彼此间间距不小于1米，降低人员密集度。</w:t>
            </w:r>
          </w:p>
          <w:p w14:paraId="3A4069D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项目部应重点加强施工现场办公室、值班室、会议室、食堂、厕所、茶水间、淋浴房等场所的疫情防控管理，按照相关防控指引做好防控工作，普遍推行“1米线”安全措施。加强对员工的防疫知识宣传教育培训，在办公区醒目位置张贴卫生防疫宣传材料。</w:t>
            </w:r>
          </w:p>
          <w:p w14:paraId="450F1EC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项目部应加强会议管控，减少会议次数，降低参会人数，采取网上视频会议方式。延长供餐时间，实行错峰就餐。严格限制人员外出就餐和食用流动商贩外卖餐品。减少会议和就餐导致的人员聚集风险。 一旦发现人员出现发热、干咳等症状，施工总承包单位按相关规定向有关部门报告并处理，严禁进入施工现场办公区。</w:t>
            </w:r>
          </w:p>
          <w:p w14:paraId="4384BC84">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4）项目部应按进场批次、进场时间、来源地对生活区居住人员进行分级管理，分时分区域安排居住，滚动隔离，并实时动态调整，减少新老人员入场交叉带来的风险。 生活区应划分集中观察区、正常生活区和应急隔离区，各区域要严格分开、独立设置、保持必要安全距离，要标识醒目、封闭管理、分级别采取防控措施，严禁串区域居住和人员往来。</w:t>
            </w:r>
          </w:p>
          <w:p w14:paraId="3899D9B4">
            <w:pPr>
              <w:pStyle w:val="37"/>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 w:val="0"/>
                <w:bCs w:val="0"/>
                <w:color w:val="000000" w:themeColor="text1"/>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严格落实减少人员聚集和交叉感染风险的各项防控措施，严格控制每间宿舍居住人数不超过6人，保证宿舍通风条件，严禁使用无冲水设施和无隔断的厕所。应将同一居住区域、同一分包单位（或班组）的作业人员安排在同一施工部位、工序或时段，实施分层管理，尽量避免交叉作业。</w:t>
            </w:r>
          </w:p>
          <w:p w14:paraId="1A90849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项目部应进一步明确施工现场发现发热人员、疑似人员和确诊人员等突发情况应急处置工作流程，做到职责明确、人员到位、流程熟练、紧密衔接；要在施工现场出入口显著位置公示属地卫生健康部门、街道（乡镇）政府和区建设行政主管部门以及周边定点医院和设置发热门诊医疗机构的联系人、联系方式。一旦突发疫情，应立即启动应急处置工作并按规定报送疫情信息，有效有序应对施工现场突发情况。</w:t>
            </w:r>
          </w:p>
        </w:tc>
      </w:tr>
    </w:tbl>
    <w:p w14:paraId="68B50429">
      <w:pPr>
        <w:rPr>
          <w:rFonts w:hint="default" w:ascii="Times New Roman" w:hAnsi="Times New Roman" w:cs="Times New Roman"/>
          <w:sz w:val="21"/>
        </w:rPr>
      </w:pPr>
    </w:p>
    <w:p w14:paraId="57A55D4B">
      <w:pPr>
        <w:rPr>
          <w:rFonts w:hint="default" w:ascii="Times New Roman" w:hAnsi="Times New Roman" w:cs="Times New Roman"/>
        </w:rPr>
        <w:sectPr>
          <w:footerReference r:id="rId11"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1C491230">
      <w:pPr>
        <w:pStyle w:val="3"/>
        <w:bidi w:val="0"/>
        <w:rPr>
          <w:rFonts w:hint="default" w:ascii="Times New Roman" w:hAnsi="Times New Roman" w:cs="Times New Roman"/>
          <w:sz w:val="32"/>
          <w:szCs w:val="52"/>
        </w:rPr>
      </w:pPr>
      <w:bookmarkStart w:id="6" w:name="_Toc14720"/>
      <w:r>
        <w:rPr>
          <w:rFonts w:hint="default" w:ascii="Times New Roman" w:hAnsi="Times New Roman" w:cs="Times New Roman"/>
          <w:sz w:val="32"/>
          <w:szCs w:val="52"/>
        </w:rPr>
        <w:t>表六 环境影响评价回顾</w:t>
      </w:r>
      <w:bookmarkEnd w:id="6"/>
    </w:p>
    <w:tbl>
      <w:tblPr>
        <w:tblStyle w:val="28"/>
        <w:tblW w:w="898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984"/>
      </w:tblGrid>
      <w:tr w14:paraId="02909CE0">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64" w:hRule="atLeast"/>
        </w:trPr>
        <w:tc>
          <w:tcPr>
            <w:tcW w:w="8984" w:type="dxa"/>
            <w:vAlign w:val="top"/>
          </w:tcPr>
          <w:p w14:paraId="05613B2F">
            <w:pPr>
              <w:spacing w:before="176" w:line="409" w:lineRule="auto"/>
              <w:ind w:left="150" w:right="142" w:hanging="32"/>
              <w:rPr>
                <w:rFonts w:hint="default" w:ascii="Times New Roman" w:hAnsi="Times New Roman" w:eastAsia="Times New Roman" w:cs="Times New Roman"/>
                <w:sz w:val="28"/>
                <w:szCs w:val="28"/>
              </w:rPr>
            </w:pPr>
            <w:r>
              <w:rPr>
                <w:rFonts w:hint="default" w:ascii="Times New Roman" w:hAnsi="Times New Roman" w:eastAsia="宋体" w:cs="Times New Roman"/>
                <w:spacing w:val="-14"/>
                <w:sz w:val="28"/>
                <w:szCs w:val="28"/>
                <w14:textOutline w14:w="5094" w14:cap="flat" w14:cmpd="sng">
                  <w14:solidFill>
                    <w14:srgbClr w14:val="000000"/>
                  </w14:solidFill>
                  <w14:prstDash w14:val="solid"/>
                  <w14:miter w14:val="0"/>
                </w14:textOutline>
              </w:rPr>
              <w:t>环境</w:t>
            </w:r>
            <w:r>
              <w:rPr>
                <w:rFonts w:hint="default" w:ascii="Times New Roman" w:hAnsi="Times New Roman" w:eastAsia="宋体" w:cs="Times New Roman"/>
                <w:spacing w:val="-8"/>
                <w:sz w:val="28"/>
                <w:szCs w:val="28"/>
                <w14:textOutline w14:w="5094" w14:cap="flat" w14:cmpd="sng">
                  <w14:solidFill>
                    <w14:srgbClr w14:val="000000"/>
                  </w14:solidFill>
                  <w14:prstDash w14:val="solid"/>
                  <w14:miter w14:val="0"/>
                </w14:textOutline>
              </w:rPr>
              <w:t>影</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响评价主要环境影响预测及结论</w:t>
            </w:r>
          </w:p>
          <w:p w14:paraId="5BEC2462">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评价结论</w:t>
            </w:r>
          </w:p>
          <w:p w14:paraId="03A28041">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宋体" w:cs="Times New Roman"/>
                <w:spacing w:val="-5"/>
                <w:sz w:val="28"/>
                <w:szCs w:val="28"/>
                <w14:textOutline w14:w="5094" w14:cap="flat" w14:cmpd="sng">
                  <w14:solidFill>
                    <w14:srgbClr w14:val="000000"/>
                  </w14:solidFill>
                  <w14:prstDash w14:val="solid"/>
                  <w14:miter w14:val="0"/>
                </w14:textOutline>
              </w:rPr>
              <w:t>项目概</w:t>
            </w:r>
            <w:r>
              <w:rPr>
                <w:rFonts w:hint="default" w:ascii="Times New Roman" w:hAnsi="Times New Roman" w:eastAsia="宋体" w:cs="Times New Roman"/>
                <w:spacing w:val="-4"/>
                <w:sz w:val="28"/>
                <w:szCs w:val="28"/>
                <w14:textOutline w14:w="5094" w14:cap="flat" w14:cmpd="sng">
                  <w14:solidFill>
                    <w14:srgbClr w14:val="000000"/>
                  </w14:solidFill>
                  <w14:prstDash w14:val="solid"/>
                  <w14:miter w14:val="0"/>
                </w14:textOutline>
              </w:rPr>
              <w:t>况</w:t>
            </w:r>
          </w:p>
          <w:p w14:paraId="33F843BE">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项目名称：</w:t>
            </w:r>
            <w:r>
              <w:rPr>
                <w:rFonts w:hint="eastAsia" w:ascii="Times New Roman" w:hAnsi="Times New Roman" w:eastAsia="宋体" w:cs="Times New Roman"/>
                <w:spacing w:val="-1"/>
                <w:sz w:val="24"/>
                <w:szCs w:val="24"/>
                <w:lang w:val="en-US" w:eastAsia="zh-CN"/>
              </w:rPr>
              <w:t>第十四师皮山农场污水资源化利用项目</w:t>
            </w:r>
          </w:p>
          <w:p w14:paraId="7E98BFAE">
            <w:pPr>
              <w:keepNext w:val="0"/>
              <w:keepLines w:val="0"/>
              <w:pageBreakBefore w:val="0"/>
              <w:widowControl/>
              <w:suppressLineNumbers w:val="0"/>
              <w:kinsoku/>
              <w:wordWrap/>
              <w:overflowPunct/>
              <w:topLinePunct w:val="0"/>
              <w:autoSpaceDE/>
              <w:autoSpaceDN/>
              <w:bidi w:val="0"/>
              <w:adjustRightInd w:val="0"/>
              <w:snapToGrid w:val="0"/>
              <w:spacing w:after="0" w:line="360" w:lineRule="auto"/>
              <w:ind w:firstLine="476" w:firstLineChars="200"/>
              <w:jc w:val="both"/>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spacing w:val="-1"/>
                <w:sz w:val="24"/>
                <w:szCs w:val="24"/>
              </w:rPr>
              <w:t>建设地点：</w:t>
            </w:r>
            <w:r>
              <w:rPr>
                <w:rFonts w:hint="default" w:ascii="Times New Roman" w:hAnsi="Times New Roman" w:eastAsia="宋体" w:cs="Times New Roman"/>
                <w:color w:val="000000"/>
                <w:kern w:val="0"/>
                <w:sz w:val="24"/>
                <w:szCs w:val="24"/>
                <w:lang w:val="en-US" w:eastAsia="zh-CN" w:bidi="ar"/>
              </w:rPr>
              <w:t>新疆生产建设兵团第十四师</w:t>
            </w:r>
            <w:r>
              <w:rPr>
                <w:rFonts w:hint="eastAsia" w:ascii="Times New Roman" w:hAnsi="Times New Roman" w:eastAsia="宋体" w:cs="Times New Roman"/>
                <w:color w:val="000000"/>
                <w:kern w:val="0"/>
                <w:sz w:val="24"/>
                <w:szCs w:val="24"/>
                <w:lang w:val="en-US" w:eastAsia="zh-CN" w:bidi="ar"/>
              </w:rPr>
              <w:t>皮山农场</w:t>
            </w:r>
          </w:p>
          <w:p w14:paraId="1CAB2D39">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1"/>
                <w:sz w:val="24"/>
                <w:szCs w:val="24"/>
              </w:rPr>
              <w:t>建设单位</w:t>
            </w:r>
            <w:r>
              <w:rPr>
                <w:rFonts w:hint="default" w:ascii="Times New Roman" w:hAnsi="Times New Roman" w:eastAsia="宋体" w:cs="Times New Roman"/>
                <w:spacing w:val="-1"/>
                <w:sz w:val="24"/>
                <w:szCs w:val="24"/>
                <w:lang w:val="en-US" w:eastAsia="zh-CN"/>
              </w:rPr>
              <w:t>：</w:t>
            </w:r>
            <w:r>
              <w:rPr>
                <w:rFonts w:hint="default" w:ascii="Times New Roman" w:hAnsi="Times New Roman" w:eastAsia="宋体" w:cs="Times New Roman"/>
                <w:color w:val="000000"/>
                <w:sz w:val="24"/>
                <w:szCs w:val="24"/>
                <w:lang w:val="en-US" w:eastAsia="zh-CN"/>
              </w:rPr>
              <w:t>新疆生产建设兵团第十四师水利工程管理服务中心</w:t>
            </w:r>
          </w:p>
          <w:p w14:paraId="31FA369C">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lang w:val="en-US" w:eastAsia="zh-CN"/>
              </w:rPr>
              <w:t>建设性质：新建</w:t>
            </w:r>
          </w:p>
          <w:p w14:paraId="6ED840A2">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项目总投：本项目投资共</w:t>
            </w:r>
            <w:r>
              <w:rPr>
                <w:rFonts w:hint="eastAsia" w:ascii="Times New Roman" w:hAnsi="Times New Roman" w:eastAsia="宋体" w:cs="Times New Roman"/>
                <w:spacing w:val="-1"/>
                <w:sz w:val="24"/>
                <w:szCs w:val="24"/>
                <w:lang w:val="en-US" w:eastAsia="zh-CN"/>
              </w:rPr>
              <w:t>6030.78</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2180</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36.15</w:t>
            </w:r>
            <w:r>
              <w:rPr>
                <w:rFonts w:hint="default" w:ascii="Times New Roman" w:hAnsi="Times New Roman" w:eastAsia="宋体" w:cs="Times New Roman"/>
                <w:spacing w:val="-1"/>
                <w:sz w:val="24"/>
                <w:szCs w:val="24"/>
                <w:lang w:val="en-US" w:eastAsia="zh-CN"/>
              </w:rPr>
              <w:t>%</w:t>
            </w:r>
          </w:p>
          <w:p w14:paraId="6C692427">
            <w:pPr>
              <w:keepNext w:val="0"/>
              <w:keepLines w:val="0"/>
              <w:pageBreakBefore w:val="0"/>
              <w:widowControl/>
              <w:suppressLineNumbers w:val="0"/>
              <w:kinsoku/>
              <w:wordWrap/>
              <w:overflowPunct/>
              <w:topLinePunct w:val="0"/>
              <w:autoSpaceDE/>
              <w:autoSpaceDN/>
              <w:bidi w:val="0"/>
              <w:adjustRightInd/>
              <w:snapToGrid/>
              <w:spacing w:line="360" w:lineRule="auto"/>
              <w:ind w:firstLine="476" w:firstLineChars="200"/>
              <w:jc w:val="left"/>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pacing w:val="-1"/>
                <w:sz w:val="24"/>
                <w:szCs w:val="24"/>
              </w:rPr>
              <w:t>建设规模：</w:t>
            </w:r>
            <w:r>
              <w:rPr>
                <w:rFonts w:hint="eastAsia" w:cs="Times New Roman"/>
                <w:color w:val="000000" w:themeColor="text1"/>
                <w:kern w:val="0"/>
                <w:sz w:val="24"/>
                <w:szCs w:val="24"/>
                <w:lang w:val="en-US" w:eastAsia="zh-CN" w:bidi="ar"/>
                <w14:textFill>
                  <w14:solidFill>
                    <w14:schemeClr w14:val="tx1"/>
                  </w14:solidFill>
                </w14:textFill>
              </w:rPr>
              <w:t>中水储库</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设计</w:t>
            </w:r>
            <w:r>
              <w:rPr>
                <w:rFonts w:hint="eastAsia" w:cs="Times New Roman"/>
                <w:color w:val="000000" w:themeColor="text1"/>
                <w:kern w:val="0"/>
                <w:sz w:val="24"/>
                <w:szCs w:val="24"/>
                <w:lang w:val="en-US" w:eastAsia="zh-CN" w:bidi="ar"/>
                <w14:textFill>
                  <w14:solidFill>
                    <w14:schemeClr w14:val="tx1"/>
                  </w14:solidFill>
                </w14:textFill>
              </w:rPr>
              <w:t>库容</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为70万m³，该工程等别为Ⅴ等，工程规模为小（2）型。主要建筑物为5级，次要建筑物为5级，临时建筑物为5级。</w:t>
            </w:r>
          </w:p>
          <w:p w14:paraId="3AD62508">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lang w:val="en-US"/>
              </w:rPr>
            </w:pPr>
            <w:r>
              <w:rPr>
                <w:rFonts w:hint="default" w:ascii="Times New Roman" w:hAnsi="Times New Roman" w:eastAsia="宋体" w:cs="Times New Roman"/>
                <w:spacing w:val="-1"/>
                <w:sz w:val="24"/>
                <w:szCs w:val="24"/>
              </w:rPr>
              <w:t>建设内容：</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1座中水储库容积70万m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，1座提水泵站，库前引水管，输水管网及辅助工程。</w:t>
            </w:r>
          </w:p>
          <w:p w14:paraId="089419AA">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2区域环境质量现状</w:t>
            </w:r>
          </w:p>
          <w:p w14:paraId="37A89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76" w:firstLineChars="200"/>
              <w:jc w:val="both"/>
              <w:textAlignment w:val="auto"/>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大气环境：项目所在区域SO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、CO、NO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、O</w:t>
            </w:r>
            <w:r>
              <w:rPr>
                <w:rFonts w:hint="default" w:ascii="Times New Roman" w:hAnsi="Times New Roman" w:eastAsia="宋体" w:cs="Times New Roman"/>
                <w:spacing w:val="-1"/>
                <w:sz w:val="24"/>
                <w:szCs w:val="24"/>
                <w:highlight w:val="none"/>
                <w:vertAlign w:val="subscript"/>
                <w:lang w:val="en-US" w:eastAsia="zh-CN"/>
              </w:rPr>
              <w:t>3</w:t>
            </w:r>
            <w:r>
              <w:rPr>
                <w:rFonts w:hint="default" w:ascii="Times New Roman" w:hAnsi="Times New Roman" w:eastAsia="宋体" w:cs="Times New Roman"/>
                <w:spacing w:val="-1"/>
                <w:sz w:val="24"/>
                <w:szCs w:val="24"/>
                <w:highlight w:val="none"/>
                <w:lang w:val="en-US" w:eastAsia="zh-CN"/>
              </w:rPr>
              <w:t>的年评价指标为达标，但PM</w:t>
            </w:r>
            <w:r>
              <w:rPr>
                <w:rFonts w:hint="default" w:ascii="Times New Roman" w:hAnsi="Times New Roman" w:eastAsia="宋体" w:cs="Times New Roman"/>
                <w:spacing w:val="-1"/>
                <w:sz w:val="24"/>
                <w:szCs w:val="24"/>
                <w:highlight w:val="none"/>
                <w:vertAlign w:val="subscript"/>
                <w:lang w:val="en-US" w:eastAsia="zh-CN"/>
              </w:rPr>
              <w:t>10</w:t>
            </w:r>
            <w:r>
              <w:rPr>
                <w:rFonts w:hint="default" w:ascii="Times New Roman" w:hAnsi="Times New Roman" w:eastAsia="宋体" w:cs="Times New Roman"/>
                <w:spacing w:val="-1"/>
                <w:sz w:val="24"/>
                <w:szCs w:val="24"/>
                <w:highlight w:val="none"/>
                <w:lang w:val="en-US" w:eastAsia="zh-CN"/>
              </w:rPr>
              <w:t>和PM</w:t>
            </w:r>
            <w:r>
              <w:rPr>
                <w:rFonts w:hint="default" w:ascii="Times New Roman" w:hAnsi="Times New Roman" w:eastAsia="宋体" w:cs="Times New Roman"/>
                <w:spacing w:val="-1"/>
                <w:sz w:val="24"/>
                <w:szCs w:val="24"/>
                <w:highlight w:val="none"/>
                <w:vertAlign w:val="subscript"/>
                <w:lang w:val="en-US" w:eastAsia="zh-CN"/>
              </w:rPr>
              <w:t>2.5</w:t>
            </w:r>
            <w:r>
              <w:rPr>
                <w:rFonts w:hint="default" w:ascii="Times New Roman" w:hAnsi="Times New Roman" w:eastAsia="宋体" w:cs="Times New Roman"/>
                <w:spacing w:val="-1"/>
                <w:sz w:val="24"/>
                <w:szCs w:val="24"/>
                <w:highlight w:val="none"/>
                <w:lang w:val="en-US" w:eastAsia="zh-CN"/>
              </w:rPr>
              <w:t>的年评价指标为不达标，因此，项目所在区域为不达标区</w:t>
            </w:r>
            <w:r>
              <w:rPr>
                <w:rFonts w:hint="eastAsia" w:ascii="Times New Roman" w:hAnsi="Times New Roman" w:eastAsia="宋体" w:cs="Times New Roman"/>
                <w:spacing w:val="-1"/>
                <w:sz w:val="24"/>
                <w:szCs w:val="24"/>
                <w:highlight w:val="none"/>
                <w:lang w:val="en-US" w:eastAsia="zh-CN"/>
              </w:rPr>
              <w:t>，</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超标原因是和田地处塔克拉玛干沙漠南缘，四季多风沙，干燥少雨，造成空气中PM</w:t>
            </w:r>
            <w:r>
              <w:rPr>
                <w:rFonts w:hint="default" w:ascii="Times New Roman" w:hAnsi="Times New Roman" w:eastAsia="宋体" w:cs="Times New Roman"/>
                <w:color w:val="000000" w:themeColor="text1"/>
                <w:kern w:val="2"/>
                <w:sz w:val="24"/>
                <w:szCs w:val="24"/>
                <w:vertAlign w:val="subscript"/>
                <w:lang w:val="en-US" w:eastAsia="zh-CN" w:bidi="ar"/>
                <w14:textFill>
                  <w14:solidFill>
                    <w14:schemeClr w14:val="tx1"/>
                  </w14:solidFill>
                </w14:textFill>
              </w:rPr>
              <w:t>10</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和PM</w:t>
            </w:r>
            <w:r>
              <w:rPr>
                <w:rFonts w:hint="default" w:ascii="Times New Roman" w:hAnsi="Times New Roman" w:eastAsia="宋体" w:cs="Times New Roman"/>
                <w:color w:val="000000" w:themeColor="text1"/>
                <w:kern w:val="2"/>
                <w:sz w:val="24"/>
                <w:szCs w:val="24"/>
                <w:vertAlign w:val="subscript"/>
                <w:lang w:val="en-US" w:eastAsia="zh-CN" w:bidi="ar"/>
                <w14:textFill>
                  <w14:solidFill>
                    <w14:schemeClr w14:val="tx1"/>
                  </w14:solidFill>
                </w14:textFill>
              </w:rPr>
              <w:t>2.5</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浓度较大</w:t>
            </w:r>
            <w:r>
              <w:rPr>
                <w:rFonts w:hint="default" w:ascii="Times New Roman" w:hAnsi="Times New Roman" w:eastAsia="宋体" w:cs="Times New Roman"/>
                <w:spacing w:val="-1"/>
                <w:sz w:val="24"/>
                <w:szCs w:val="24"/>
                <w:highlight w:val="none"/>
                <w:lang w:val="en-US" w:eastAsia="zh-CN"/>
              </w:rPr>
              <w:t>。</w:t>
            </w:r>
          </w:p>
          <w:p w14:paraId="5CA205DB">
            <w:pPr>
              <w:keepNext w:val="0"/>
              <w:keepLines w:val="0"/>
              <w:pageBreakBefore w:val="0"/>
              <w:widowControl/>
              <w:suppressLineNumbers w:val="0"/>
              <w:kinsoku/>
              <w:wordWrap/>
              <w:overflowPunct/>
              <w:topLinePunct w:val="0"/>
              <w:autoSpaceDE/>
              <w:autoSpaceDN/>
              <w:bidi w:val="0"/>
              <w:adjustRightInd/>
              <w:snapToGrid/>
              <w:spacing w:line="360" w:lineRule="auto"/>
              <w:ind w:firstLine="476" w:firstLineChars="200"/>
              <w:jc w:val="left"/>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水环境：</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本项目周边</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km范围内无地表水分布，故不进行地表水现状评价</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w:t>
            </w:r>
          </w:p>
          <w:p w14:paraId="498706D3">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声环境：评价区域各监测点现状噪声均未超过《声环境质量标准》（GB3096-2008）的2类区标准限值，说明评价区内现状声环境质量较好。</w:t>
            </w:r>
          </w:p>
          <w:p w14:paraId="5C563308">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3施工期环境影响</w:t>
            </w:r>
          </w:p>
          <w:p w14:paraId="70924D19">
            <w:pPr>
              <w:keepNext w:val="0"/>
              <w:keepLines w:val="0"/>
              <w:pageBreakBefore w:val="0"/>
              <w:widowControl/>
              <w:numPr>
                <w:ilvl w:val="0"/>
                <w:numId w:val="4"/>
              </w:numPr>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大气：本项目施工期对大气环境影响主要为施工扬尘、施工机械设备运输车辆所产生的废气，通过选用符合国家标准的施工机械和运输工具，及采取洒水降尘、设置围挡、遮盖、密闭方式运输等措施，减少废气的产生量，并且其产生的响范围不大，施工结束影响即消失，对环境空气影响较小。</w:t>
            </w:r>
          </w:p>
          <w:p w14:paraId="4022CCE1">
            <w:pPr>
              <w:pStyle w:val="7"/>
              <w:keepNext w:val="0"/>
              <w:keepLines w:val="0"/>
              <w:pageBreakBefore w:val="0"/>
              <w:widowControl/>
              <w:numPr>
                <w:ilvl w:val="0"/>
                <w:numId w:val="5"/>
              </w:numPr>
              <w:tabs>
                <w:tab w:val="left" w:pos="6845"/>
              </w:tabs>
              <w:kinsoku/>
              <w:wordWrap/>
              <w:overflowPunct/>
              <w:topLinePunct w:val="0"/>
              <w:autoSpaceDE/>
              <w:autoSpaceDN/>
              <w:bidi w:val="0"/>
              <w:adjustRightInd/>
              <w:snapToGrid/>
              <w:spacing w:line="360" w:lineRule="auto"/>
              <w:ind w:left="0" w:leftChars="0" w:right="0" w:firstLine="480" w:firstLineChars="200"/>
              <w:jc w:val="both"/>
              <w:textAlignment w:val="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废水：本项目的施工废水主要为</w:t>
            </w:r>
            <w:r>
              <w:rPr>
                <w:rFonts w:hint="default" w:ascii="Times New Roman" w:hAnsi="Times New Roman" w:eastAsia="宋体" w:cs="Times New Roman"/>
                <w:color w:val="000000" w:themeColor="text1"/>
                <w:sz w:val="24"/>
                <w:lang w:eastAsia="zh-CN"/>
                <w14:textFill>
                  <w14:solidFill>
                    <w14:schemeClr w14:val="tx1"/>
                  </w14:solidFill>
                </w14:textFill>
              </w:rPr>
              <w:t>混凝土拌合废水</w:t>
            </w:r>
            <w:r>
              <w:rPr>
                <w:rFonts w:hint="default" w:ascii="Times New Roman" w:hAnsi="Times New Roman" w:cs="Times New Roman"/>
                <w:color w:val="000000"/>
                <w:sz w:val="24"/>
                <w:szCs w:val="22"/>
              </w:rPr>
              <w:t>、</w:t>
            </w:r>
            <w:r>
              <w:rPr>
                <w:rFonts w:hint="eastAsia" w:eastAsia="宋体" w:cs="Times New Roman"/>
                <w:color w:val="000000"/>
                <w:sz w:val="24"/>
                <w:szCs w:val="22"/>
                <w:lang w:val="en-US" w:eastAsia="zh-CN"/>
              </w:rPr>
              <w:t>管道</w:t>
            </w:r>
            <w:r>
              <w:rPr>
                <w:rFonts w:hint="default" w:ascii="Times New Roman" w:hAnsi="Times New Roman" w:eastAsia="宋体" w:cs="Times New Roman"/>
                <w:color w:val="000000" w:themeColor="text1"/>
                <w:sz w:val="24"/>
                <w14:textFill>
                  <w14:solidFill>
                    <w14:schemeClr w14:val="tx1"/>
                  </w14:solidFill>
                </w14:textFill>
              </w:rPr>
              <w:t>试</w:t>
            </w:r>
            <w:r>
              <w:rPr>
                <w:rFonts w:hint="eastAsia" w:eastAsia="宋体" w:cs="Times New Roman"/>
                <w:color w:val="000000" w:themeColor="text1"/>
                <w:sz w:val="24"/>
                <w:lang w:val="en-US" w:eastAsia="zh-CN"/>
                <w14:textFill>
                  <w14:solidFill>
                    <w14:schemeClr w14:val="tx1"/>
                  </w14:solidFill>
                </w14:textFill>
              </w:rPr>
              <w:t>压</w:t>
            </w:r>
            <w:r>
              <w:rPr>
                <w:rFonts w:hint="default" w:ascii="Times New Roman" w:hAnsi="Times New Roman" w:eastAsia="宋体" w:cs="Times New Roman"/>
                <w:color w:val="000000" w:themeColor="text1"/>
                <w:sz w:val="24"/>
                <w14:textFill>
                  <w14:solidFill>
                    <w14:schemeClr w14:val="tx1"/>
                  </w14:solidFill>
                </w14:textFill>
              </w:rPr>
              <w:t>废水</w:t>
            </w:r>
            <w:r>
              <w:rPr>
                <w:rFonts w:hint="default" w:ascii="Times New Roman" w:hAnsi="Times New Roman" w:cs="Times New Roman"/>
                <w:color w:val="000000"/>
                <w:sz w:val="24"/>
                <w:szCs w:val="22"/>
              </w:rPr>
              <w:t>等</w:t>
            </w:r>
            <w:r>
              <w:rPr>
                <w:rFonts w:hint="default" w:ascii="Times New Roman" w:hAnsi="Times New Roman" w:eastAsia="宋体" w:cs="Times New Roman"/>
                <w:color w:val="000000"/>
                <w:sz w:val="24"/>
                <w:szCs w:val="22"/>
                <w:lang w:eastAsia="zh-CN"/>
              </w:rPr>
              <w:t>，</w:t>
            </w:r>
            <w:r>
              <w:rPr>
                <w:rFonts w:hint="default" w:ascii="Times New Roman" w:hAnsi="Times New Roman" w:eastAsia="宋体" w:cs="Times New Roman"/>
                <w:color w:val="000000" w:themeColor="text1"/>
                <w:sz w:val="24"/>
                <w:lang w:eastAsia="zh-CN"/>
                <w14:textFill>
                  <w14:solidFill>
                    <w14:schemeClr w14:val="tx1"/>
                  </w14:solidFill>
                </w14:textFill>
              </w:rPr>
              <w:t>混凝土拌</w:t>
            </w:r>
            <w:r>
              <w:rPr>
                <w:rFonts w:hint="eastAsia" w:ascii="宋体" w:hAnsi="宋体" w:eastAsia="宋体" w:cs="宋体"/>
                <w:color w:val="000000" w:themeColor="text1"/>
                <w:sz w:val="24"/>
                <w:lang w:eastAsia="zh-CN"/>
                <w14:textFill>
                  <w14:solidFill>
                    <w14:schemeClr w14:val="tx1"/>
                  </w14:solidFill>
                </w14:textFill>
              </w:rPr>
              <w:t>合废水</w:t>
            </w:r>
            <w:r>
              <w:rPr>
                <w:rFonts w:hint="eastAsia" w:ascii="宋体" w:hAnsi="宋体" w:eastAsia="宋体" w:cs="宋体"/>
                <w:color w:val="000000"/>
                <w:sz w:val="24"/>
                <w:szCs w:val="24"/>
                <w:lang w:val="en-US" w:eastAsia="zh-CN"/>
              </w:rPr>
              <w:t>经沉淀池处理后</w:t>
            </w:r>
            <w:r>
              <w:rPr>
                <w:rFonts w:hint="eastAsia" w:ascii="宋体" w:hAnsi="宋体" w:eastAsia="宋体" w:cs="宋体"/>
                <w:color w:val="000000" w:themeColor="text1"/>
                <w:sz w:val="24"/>
                <w14:textFill>
                  <w14:solidFill>
                    <w14:schemeClr w14:val="tx1"/>
                  </w14:solidFill>
                </w14:textFill>
              </w:rPr>
              <w:t>循环利用于混凝土拌和</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2"/>
                <w:lang w:val="en-US" w:eastAsia="zh-CN"/>
              </w:rPr>
              <w:t>管道</w:t>
            </w:r>
            <w:r>
              <w:rPr>
                <w:rFonts w:hint="eastAsia" w:ascii="宋体" w:hAnsi="宋体" w:eastAsia="宋体" w:cs="宋体"/>
                <w:color w:val="000000" w:themeColor="text1"/>
                <w:sz w:val="24"/>
                <w14:textFill>
                  <w14:solidFill>
                    <w14:schemeClr w14:val="tx1"/>
                  </w14:solidFill>
                </w14:textFill>
              </w:rPr>
              <w:t>试</w:t>
            </w:r>
            <w:r>
              <w:rPr>
                <w:rFonts w:hint="eastAsia" w:ascii="宋体" w:hAnsi="宋体" w:eastAsia="宋体" w:cs="宋体"/>
                <w:color w:val="000000" w:themeColor="text1"/>
                <w:sz w:val="24"/>
                <w:lang w:val="en-US" w:eastAsia="zh-CN"/>
                <w14:textFill>
                  <w14:solidFill>
                    <w14:schemeClr w14:val="tx1"/>
                  </w14:solidFill>
                </w14:textFill>
              </w:rPr>
              <w:t>压</w:t>
            </w:r>
            <w:r>
              <w:rPr>
                <w:rFonts w:hint="eastAsia" w:ascii="宋体" w:hAnsi="宋体" w:eastAsia="宋体" w:cs="宋体"/>
                <w:color w:val="000000" w:themeColor="text1"/>
                <w:sz w:val="24"/>
                <w14:textFill>
                  <w14:solidFill>
                    <w14:schemeClr w14:val="tx1"/>
                  </w14:solidFill>
                </w14:textFill>
              </w:rPr>
              <w:t>废水可就近排入绿地区</w:t>
            </w:r>
            <w:r>
              <w:rPr>
                <w:rFonts w:hint="eastAsia" w:ascii="宋体" w:hAnsi="宋体" w:eastAsia="宋体" w:cs="宋体"/>
                <w:color w:val="000000"/>
                <w:sz w:val="24"/>
                <w:szCs w:val="24"/>
                <w:lang w:val="en-US" w:eastAsia="zh-CN"/>
              </w:rPr>
              <w:t>，不外排。生活污水</w:t>
            </w:r>
            <w:r>
              <w:rPr>
                <w:rFonts w:hint="eastAsia" w:ascii="宋体" w:hAnsi="宋体" w:eastAsia="宋体" w:cs="宋体"/>
                <w:color w:val="000000" w:themeColor="text1"/>
                <w:kern w:val="2"/>
                <w:sz w:val="24"/>
                <w:szCs w:val="24"/>
                <w:lang w:val="en-US" w:eastAsia="zh-CN" w:bidi="ar"/>
                <w14:textFill>
                  <w14:solidFill>
                    <w14:schemeClr w14:val="tx1"/>
                  </w14:solidFill>
                </w14:textFill>
              </w:rPr>
              <w:t>排入皮山农场污水处理厂处理</w:t>
            </w:r>
            <w:r>
              <w:rPr>
                <w:rFonts w:hint="eastAsia" w:ascii="宋体" w:hAnsi="宋体" w:eastAsia="宋体" w:cs="宋体"/>
                <w:color w:val="000000"/>
                <w:sz w:val="24"/>
                <w:szCs w:val="24"/>
                <w:lang w:val="en-US" w:eastAsia="zh-CN"/>
              </w:rPr>
              <w:t>，</w:t>
            </w:r>
            <w:r>
              <w:rPr>
                <w:rFonts w:hint="default" w:ascii="Times New Roman" w:hAnsi="Times New Roman" w:eastAsia="宋体" w:cs="Times New Roman"/>
                <w:color w:val="000000"/>
                <w:sz w:val="24"/>
                <w:szCs w:val="24"/>
                <w:lang w:val="en-US" w:eastAsia="zh-CN"/>
              </w:rPr>
              <w:t>故不会对水环境造成影响。</w:t>
            </w:r>
          </w:p>
          <w:p w14:paraId="2BA53DB0">
            <w:pPr>
              <w:pStyle w:val="7"/>
              <w:keepNext w:val="0"/>
              <w:keepLines w:val="0"/>
              <w:pageBreakBefore w:val="0"/>
              <w:widowControl/>
              <w:numPr>
                <w:ilvl w:val="0"/>
                <w:numId w:val="0"/>
              </w:numPr>
              <w:tabs>
                <w:tab w:val="left" w:pos="6845"/>
              </w:tabs>
              <w:kinsoku/>
              <w:wordWrap/>
              <w:overflowPunct/>
              <w:topLinePunct w:val="0"/>
              <w:autoSpaceDE/>
              <w:autoSpaceDN/>
              <w:bidi w:val="0"/>
              <w:adjustRightInd/>
              <w:snapToGrid/>
              <w:spacing w:line="360" w:lineRule="auto"/>
              <w:ind w:left="0" w:leftChars="0" w:right="0" w:firstLine="480" w:firstLineChars="200"/>
              <w:jc w:val="both"/>
              <w:textAlignment w:val="auto"/>
              <w:rPr>
                <w:rFonts w:hint="default" w:ascii="Times New Roman" w:hAnsi="Times New Roman" w:eastAsia="宋体" w:cs="Times New Roman"/>
                <w:snapToGrid w:val="0"/>
                <w:color w:val="000000"/>
                <w:kern w:val="0"/>
                <w:sz w:val="24"/>
                <w:szCs w:val="24"/>
                <w:lang w:val="en-US" w:eastAsia="zh-CN"/>
              </w:rPr>
            </w:pPr>
            <w:r>
              <w:rPr>
                <w:rFonts w:hint="default" w:ascii="Times New Roman" w:hAnsi="Times New Roman" w:eastAsia="宋体" w:cs="Times New Roman"/>
                <w:snapToGrid w:val="0"/>
                <w:color w:val="000000"/>
                <w:kern w:val="0"/>
                <w:sz w:val="24"/>
                <w:szCs w:val="24"/>
                <w:lang w:val="en-US" w:eastAsia="zh-CN"/>
              </w:rPr>
              <w:t>（3）噪声：在工程施工过程中使用大量高噪声机械对周围居民有一定影响。因此，本项目选用低噪声施工机械和设备，加强设备的维修与管理，使用减振和隔声装置；避免多台高噪声的机械设备在同一工场和同一时间使用；施工生产区需离居民区至少200m，合理安排高噪声施工时间，禁止夜间22点至次日5点施工，将噪声对环境的影响降至最低。同时其对环境的影响也将随施工的结束而消失。</w:t>
            </w:r>
          </w:p>
          <w:p w14:paraId="18B817DE">
            <w:pPr>
              <w:keepNext w:val="0"/>
              <w:keepLines w:val="0"/>
              <w:pageBreakBefore w:val="0"/>
              <w:widowControl/>
              <w:kinsoku/>
              <w:wordWrap/>
              <w:overflowPunct/>
              <w:topLinePunct w:val="0"/>
              <w:autoSpaceDE/>
              <w:autoSpaceDN/>
              <w:bidi w:val="0"/>
              <w:adjustRightInd/>
              <w:snapToGrid/>
              <w:spacing w:line="360" w:lineRule="auto"/>
              <w:ind w:left="0" w:right="0" w:firstLine="496" w:firstLineChars="200"/>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4</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固体废物</w:t>
            </w:r>
            <w:r>
              <w:rPr>
                <w:rFonts w:hint="default" w:ascii="Times New Roman" w:hAnsi="Times New Roman" w:eastAsia="宋体" w:cs="Times New Roman"/>
                <w:snapToGrid w:val="0"/>
                <w:color w:val="000000"/>
                <w:spacing w:val="4"/>
                <w:kern w:val="0"/>
                <w:sz w:val="24"/>
                <w:szCs w:val="24"/>
                <w:lang w:val="en-US" w:eastAsia="zh-CN"/>
              </w:rPr>
              <w:t>：本工程固体废物主要为施工开挖的弃土（渣）、建筑垃圾和生活垃圾。主坝段弃渣、副坝段弃渣及放水涵洞弃渣先沿上游坝坡脚堆放，待土料场取土完成后，将弃渣运至土料场回填取土坑；建筑垃圾集中收集，与生活垃圾一同收集后送交由当地环卫部门处理；在生活区设置垃圾桶，集中收集后交由当地环卫部门处理，因此不会对环境造成影响。</w:t>
            </w:r>
          </w:p>
          <w:p w14:paraId="7F3B186B">
            <w:pPr>
              <w:pStyle w:val="7"/>
              <w:keepNext w:val="0"/>
              <w:keepLines w:val="0"/>
              <w:pageBreakBefore w:val="0"/>
              <w:widowControl/>
              <w:tabs>
                <w:tab w:val="left" w:pos="6845"/>
              </w:tabs>
              <w:kinsoku/>
              <w:wordWrap/>
              <w:overflowPunct/>
              <w:topLinePunct w:val="0"/>
              <w:autoSpaceDE/>
              <w:autoSpaceDN/>
              <w:bidi w:val="0"/>
              <w:adjustRightInd/>
              <w:snapToGrid/>
              <w:spacing w:line="360" w:lineRule="auto"/>
              <w:ind w:left="0" w:leftChars="0" w:right="0" w:firstLine="496" w:firstLineChars="200"/>
              <w:jc w:val="both"/>
              <w:textAlignment w:val="auto"/>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5</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生态</w:t>
            </w:r>
            <w:r>
              <w:rPr>
                <w:rFonts w:hint="default" w:ascii="Times New Roman" w:hAnsi="Times New Roman" w:eastAsia="宋体" w:cs="Times New Roman"/>
                <w:spacing w:val="4"/>
                <w:sz w:val="24"/>
                <w:szCs w:val="24"/>
                <w:lang w:val="en-US" w:eastAsia="zh-CN"/>
              </w:rPr>
              <w:t>环境</w:t>
            </w:r>
            <w:r>
              <w:rPr>
                <w:rFonts w:hint="default" w:ascii="Times New Roman" w:hAnsi="Times New Roman" w:eastAsia="宋体" w:cs="Times New Roman"/>
                <w:spacing w:val="4"/>
                <w:sz w:val="24"/>
                <w:szCs w:val="24"/>
              </w:rPr>
              <w:t>：</w:t>
            </w:r>
            <w:r>
              <w:rPr>
                <w:rFonts w:hint="default" w:ascii="Times New Roman" w:hAnsi="Times New Roman" w:eastAsia="宋体" w:cs="Times New Roman"/>
                <w:spacing w:val="4"/>
                <w:sz w:val="24"/>
                <w:szCs w:val="24"/>
                <w:lang w:val="en-US" w:eastAsia="zh-CN"/>
              </w:rPr>
              <w:t>本项目</w:t>
            </w:r>
            <w:r>
              <w:rPr>
                <w:rFonts w:hint="default" w:ascii="Times New Roman" w:hAnsi="Times New Roman" w:eastAsia="宋体" w:cs="Times New Roman"/>
                <w:snapToGrid w:val="0"/>
                <w:color w:val="000000"/>
                <w:spacing w:val="4"/>
                <w:kern w:val="0"/>
                <w:sz w:val="24"/>
                <w:szCs w:val="24"/>
                <w:lang w:val="en-US" w:eastAsia="zh-CN"/>
              </w:rPr>
              <w:t>对区域野生动物的影响不属于永久性和伤害性影响，只是造成短时间的“干扰”，随着项目进入运营期，对野生动物的干扰强度明显下降，动物有可能逐渐熟悉新的景观，野生动物种群和数量有可能逐渐恢复；施工期将加剧施工区域水土流失，随着施工期结束和绿化工程的实施水土流失能够得到抑制，区域生态环境得到改善。</w:t>
            </w:r>
          </w:p>
          <w:p w14:paraId="6B637663">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4运营期环境影响</w:t>
            </w:r>
          </w:p>
          <w:p w14:paraId="61003510">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工程为中水回用工程，工程实施后可将污水处理厂处理过的水经过调蓄用于绿化灌溉。本项目运营过程废水主要为储存污水处理站处理废水一级A标准废水，本工程无新增管理人员，管理人员来自污水处理厂调配。本项目在运营期间不会产生废气及固废等污染。运营期主要影响:①提水泵站产生的噪声影响;②中水储库发生溃坝时，中水储库中尾水下泄，影响周围生态系统、土壤环境等。</w:t>
            </w:r>
          </w:p>
          <w:p w14:paraId="5B302BA4">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1.噪声防治措施</w:t>
            </w:r>
          </w:p>
          <w:p w14:paraId="4820E159">
            <w:pPr>
              <w:pStyle w:val="40"/>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baseline"/>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本项目提水泵站中水泵、电机运行过程产生的机械噪声，其产生的噪声声级约为70-85dB（A），通过选用低噪声设备，采取减振、密闭、隔声等处理措施，可以有效的防治噪声污染。</w:t>
            </w:r>
          </w:p>
          <w:p w14:paraId="4EAB918A">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2.地下水、土壤防治措施</w:t>
            </w:r>
          </w:p>
          <w:p w14:paraId="7306EAB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bookmarkStart w:id="12" w:name="_GoBack"/>
            <w:r>
              <w:rPr>
                <w:rFonts w:hint="default" w:ascii="Times New Roman" w:hAnsi="Times New Roman" w:eastAsia="宋体" w:cs="Times New Roman"/>
                <w:color w:val="000000" w:themeColor="text1"/>
                <w:sz w:val="24"/>
                <w:szCs w:val="24"/>
                <w:lang w:val="en-US" w:eastAsia="zh-CN"/>
                <w14:textFill>
                  <w14:solidFill>
                    <w14:schemeClr w14:val="tx1"/>
                  </w14:solidFill>
                </w14:textFill>
              </w:rPr>
              <w:t>库盘和边坡采用复合土工膜防渗</w:t>
            </w:r>
            <w:bookmarkEnd w:id="12"/>
            <w:r>
              <w:rPr>
                <w:rFonts w:hint="default" w:ascii="Times New Roman" w:hAnsi="Times New Roman" w:eastAsia="宋体" w:cs="Times New Roman"/>
                <w:color w:val="000000" w:themeColor="text1"/>
                <w:sz w:val="24"/>
                <w:szCs w:val="24"/>
                <w:lang w:val="en-US" w:eastAsia="zh-CN"/>
                <w14:textFill>
                  <w14:solidFill>
                    <w14:schemeClr w14:val="tx1"/>
                  </w14:solidFill>
                </w14:textFill>
              </w:rPr>
              <w:t>，复合土工膜采用两布一膜，膜布分离，土工膜采用聚乙烯膜，厚0.5mm，单层布重250g/m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，土工膜上设0.8m厚覆土做为保护层。采取上述地下水防渗、漏措施后，结合项目所在地地质资料，可保证渗透系数不大于10</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cm/s，防渗工程合理，可以有效的防治地下水、土壤污染。</w:t>
            </w:r>
          </w:p>
          <w:p w14:paraId="3BE5C80E">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3.风险防范措施</w:t>
            </w:r>
          </w:p>
          <w:p w14:paraId="6367AB08">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（1）环境风险管理对策</w:t>
            </w:r>
          </w:p>
          <w:p w14:paraId="350CB31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为了确保中水储库运行期间的安全，延长中水储库的寿命，充分发挥效益，避免环境风险事故的发生。本次评价根据环境风险原因的分析结果，提出以下防范和应急措施：</w:t>
            </w:r>
          </w:p>
          <w:p w14:paraId="157E391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①制定严格的管理制度，加强运营期的管理。为防止发生中水储库大坝破坏和溃决，应依次做好勘测、设计、施工、验收、运行、鉴定、加固工作。</w:t>
            </w:r>
          </w:p>
          <w:p w14:paraId="39A1D7B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②加强工程施工质量管理和工程施工监理，组织工程质量监督、检查、评估和验收，做到施工工艺规范、施工用材合理和施工作业严格，并做好遗留尾工处理，保证工程质量。</w:t>
            </w:r>
          </w:p>
          <w:p w14:paraId="491B3AD1">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③针对可能发生的进水污染事故，进水水质达不到入库要求时，建立合适的事故处理程序、机制和措施。一旦发生事故，则采取相应的措施，将事故对环境的影响控制在最小或较小范围内。同时关闭中水储库近视口阀门，将事故废水排入调节池内进行收集，在事故及非正常工况结束后，对废水进行深度处理，达标后再排入中水储库。</w:t>
            </w:r>
          </w:p>
          <w:p w14:paraId="44625DB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④建设单位应编制完备的风险应急预案并加以演练，减少环境风险发生后的影响。</w:t>
            </w:r>
          </w:p>
          <w:p w14:paraId="4790A939">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（2）排水管网污染防治措施与对策</w:t>
            </w:r>
          </w:p>
          <w:p w14:paraId="0769905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①建立排水管网定期巡检制度，出现事故应及时修复，避免污水或再生水长期溢漏。</w:t>
            </w:r>
          </w:p>
          <w:p w14:paraId="0DF22B5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②进口流量和出口流量，每天必须定时测量并记录，发现流量误差应及时找出原因，及时处理。</w:t>
            </w:r>
          </w:p>
          <w:p w14:paraId="3E2F79D5">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③在水质控制方面，要定期化验，发现污染物超标，要立即向污水处理厂反馈信息，并做出相应的补救措施。</w:t>
            </w:r>
          </w:p>
          <w:p w14:paraId="00EE3EF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（3）风险应急预案</w:t>
            </w:r>
          </w:p>
          <w:p w14:paraId="3582CE6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z w:val="24"/>
                <w:szCs w:val="24"/>
                <w:lang w:val="en-US" w:eastAsia="zh-CN"/>
              </w:rPr>
              <w:t>建设单位应建立健全环境风险防控体系，制定环境风险应急预案，建设突发事件应急物资储备库，成立应急组织机构，与上级主管部门形成应急联动机制。</w:t>
            </w:r>
          </w:p>
          <w:p w14:paraId="3F83DD73">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b/>
                <w:bCs/>
                <w:spacing w:val="-5"/>
                <w:sz w:val="28"/>
                <w:szCs w:val="28"/>
                <w:lang w:eastAsia="zh-CN"/>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1.5结论</w:t>
            </w:r>
          </w:p>
          <w:p w14:paraId="7CFE5D07">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color w:val="000000"/>
                <w:spacing w:val="4"/>
                <w:kern w:val="0"/>
                <w:sz w:val="24"/>
                <w:szCs w:val="24"/>
                <w:lang w:val="en-US" w:eastAsia="zh-CN"/>
              </w:rPr>
              <w:t>本项目符合国家产业政策，施工期本项目占地及施工活动产生的扬尘、施工废水、噪声、固废，运营期产生的</w:t>
            </w:r>
            <w:r>
              <w:rPr>
                <w:rFonts w:hint="eastAsia" w:ascii="Times New Roman" w:hAnsi="Times New Roman" w:eastAsia="宋体" w:cs="Times New Roman"/>
                <w:snapToGrid w:val="0"/>
                <w:color w:val="000000"/>
                <w:spacing w:val="4"/>
                <w:kern w:val="0"/>
                <w:sz w:val="24"/>
                <w:szCs w:val="24"/>
                <w:lang w:val="en-US" w:eastAsia="zh-CN"/>
              </w:rPr>
              <w:t>噪声</w:t>
            </w:r>
            <w:r>
              <w:rPr>
                <w:rFonts w:hint="default" w:ascii="Times New Roman" w:hAnsi="Times New Roman" w:eastAsia="宋体" w:cs="Times New Roman"/>
                <w:snapToGrid w:val="0"/>
                <w:color w:val="000000"/>
                <w:spacing w:val="4"/>
                <w:kern w:val="0"/>
                <w:sz w:val="24"/>
                <w:szCs w:val="24"/>
                <w:lang w:val="en-US" w:eastAsia="zh-CN"/>
              </w:rPr>
              <w:t>等对区域水环境、生态等影响较小，环境效益显著，从环境保护角度分析，本项目的建设是可行的。</w:t>
            </w:r>
          </w:p>
        </w:tc>
      </w:tr>
    </w:tbl>
    <w:p w14:paraId="5DA03718">
      <w:pPr>
        <w:rPr>
          <w:rFonts w:hint="default" w:ascii="Times New Roman" w:hAnsi="Times New Roman" w:cs="Times New Roman"/>
        </w:rPr>
        <w:sectPr>
          <w:footerReference r:id="rId12"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tbl>
      <w:tblPr>
        <w:tblStyle w:val="28"/>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14:paraId="2C0C3FDD">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3139" w:hRule="atLeast"/>
        </w:trPr>
        <w:tc>
          <w:tcPr>
            <w:tcW w:w="9029" w:type="dxa"/>
            <w:vAlign w:val="top"/>
          </w:tcPr>
          <w:p w14:paraId="53831965">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i w:val="0"/>
                <w:iCs w:val="0"/>
                <w:spacing w:val="-5"/>
                <w:sz w:val="28"/>
                <w:szCs w:val="28"/>
                <w:highlight w:val="none"/>
              </w:rPr>
            </w:pPr>
            <w:r>
              <w:rPr>
                <w:rFonts w:hint="default" w:ascii="Times New Roman" w:hAnsi="Times New Roman" w:eastAsia="Times New Roman" w:cs="Times New Roman"/>
                <w:b/>
                <w:bCs/>
                <w:i w:val="0"/>
                <w:iCs w:val="0"/>
                <w:spacing w:val="-5"/>
                <w:sz w:val="28"/>
                <w:szCs w:val="28"/>
                <w:highlight w:val="none"/>
              </w:rPr>
              <w:t>6.2</w:t>
            </w:r>
            <w:r>
              <w:rPr>
                <w:rFonts w:hint="default" w:ascii="Times New Roman" w:hAnsi="Times New Roman" w:eastAsia="宋体" w:cs="Times New Roman"/>
                <w:b/>
                <w:bCs/>
                <w:i w:val="0"/>
                <w:iCs w:val="0"/>
                <w:spacing w:val="-5"/>
                <w:sz w:val="28"/>
                <w:szCs w:val="28"/>
                <w:highlight w:val="none"/>
                <w:lang w:val="en-US" w:eastAsia="zh-CN"/>
              </w:rPr>
              <w:t xml:space="preserve"> </w:t>
            </w:r>
            <w:r>
              <w:rPr>
                <w:rFonts w:hint="default" w:ascii="Times New Roman" w:hAnsi="Times New Roman" w:eastAsia="Times New Roman" w:cs="Times New Roman"/>
                <w:b/>
                <w:bCs/>
                <w:i w:val="0"/>
                <w:iCs w:val="0"/>
                <w:spacing w:val="-5"/>
                <w:sz w:val="28"/>
                <w:szCs w:val="28"/>
                <w:highlight w:val="none"/>
              </w:rPr>
              <w:t>各级环境保护行政主管部门的审批意见</w:t>
            </w:r>
            <w:r>
              <w:rPr>
                <w:rFonts w:hint="default" w:ascii="Times New Roman" w:hAnsi="Times New Roman" w:eastAsia="宋体" w:cs="Times New Roman"/>
                <w:b/>
                <w:bCs/>
                <w:i w:val="0"/>
                <w:iCs w:val="0"/>
                <w:spacing w:val="-5"/>
                <w:sz w:val="28"/>
                <w:szCs w:val="28"/>
                <w:highlight w:val="none"/>
                <w:lang w:eastAsia="zh-CN"/>
              </w:rPr>
              <w:t>（</w:t>
            </w:r>
            <w:r>
              <w:rPr>
                <w:rFonts w:hint="default" w:ascii="Times New Roman" w:hAnsi="Times New Roman" w:eastAsia="Times New Roman" w:cs="Times New Roman"/>
                <w:b/>
                <w:bCs/>
                <w:i w:val="0"/>
                <w:iCs w:val="0"/>
                <w:spacing w:val="-5"/>
                <w:sz w:val="28"/>
                <w:szCs w:val="28"/>
                <w:highlight w:val="none"/>
              </w:rPr>
              <w:t>国家、省、行业</w:t>
            </w:r>
            <w:r>
              <w:rPr>
                <w:rFonts w:hint="default" w:ascii="Times New Roman" w:hAnsi="Times New Roman" w:eastAsia="宋体" w:cs="Times New Roman"/>
                <w:b/>
                <w:bCs/>
                <w:i w:val="0"/>
                <w:iCs w:val="0"/>
                <w:spacing w:val="-5"/>
                <w:sz w:val="28"/>
                <w:szCs w:val="28"/>
                <w:highlight w:val="none"/>
                <w:lang w:eastAsia="zh-CN"/>
              </w:rPr>
              <w:t>）</w:t>
            </w:r>
          </w:p>
          <w:p w14:paraId="345AD009">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eastAsia="zh-CN"/>
              </w:rPr>
            </w:pPr>
          </w:p>
          <w:p w14:paraId="5B66D979">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eastAsia" w:ascii="Times New Roman" w:hAnsi="Times New Roman" w:eastAsia="宋体" w:cs="Times New Roman"/>
                <w:b/>
                <w:bCs/>
                <w:snapToGrid w:val="0"/>
                <w:color w:val="auto"/>
                <w:sz w:val="24"/>
                <w:szCs w:val="24"/>
                <w:lang w:val="en-US" w:eastAsia="zh-CN"/>
              </w:rPr>
              <w:t>第四师昆玉市</w:t>
            </w:r>
            <w:r>
              <w:rPr>
                <w:rFonts w:hint="default" w:ascii="Times New Roman" w:hAnsi="Times New Roman" w:eastAsia="宋体" w:cs="Times New Roman"/>
                <w:b/>
                <w:bCs/>
                <w:snapToGrid w:val="0"/>
                <w:color w:val="auto"/>
                <w:sz w:val="24"/>
                <w:szCs w:val="24"/>
                <w:lang w:val="en-US" w:eastAsia="zh-CN"/>
              </w:rPr>
              <w:t>生态环境局文件</w:t>
            </w:r>
          </w:p>
          <w:p w14:paraId="3358794F">
            <w:pPr>
              <w:keepNext w:val="0"/>
              <w:keepLines w:val="0"/>
              <w:pageBreakBefore w:val="0"/>
              <w:widowControl/>
              <w:kinsoku w:val="0"/>
              <w:wordWrap/>
              <w:overflowPunct/>
              <w:topLinePunct w:val="0"/>
              <w:autoSpaceDE w:val="0"/>
              <w:autoSpaceDN w:val="0"/>
              <w:bidi w:val="0"/>
              <w:adjustRightInd/>
              <w:snapToGrid/>
              <w:spacing w:after="0" w:line="360" w:lineRule="auto"/>
              <w:ind w:firstLine="480" w:firstLineChars="200"/>
              <w:jc w:val="center"/>
              <w:textAlignment w:val="baseline"/>
              <w:rPr>
                <w:rFonts w:hint="default" w:ascii="Times New Roman" w:hAnsi="Times New Roman" w:eastAsia="宋体" w:cs="Times New Roman"/>
                <w:snapToGrid w:val="0"/>
                <w:color w:val="auto"/>
                <w:sz w:val="24"/>
                <w:szCs w:val="24"/>
                <w:lang w:val="en-US"/>
              </w:rPr>
            </w:pPr>
            <w:r>
              <w:rPr>
                <w:rFonts w:hint="eastAsia" w:ascii="Times New Roman" w:hAnsi="Times New Roman" w:eastAsia="宋体" w:cs="Times New Roman"/>
                <w:snapToGrid w:val="0"/>
                <w:color w:val="auto"/>
                <w:sz w:val="24"/>
                <w:szCs w:val="24"/>
                <w:lang w:val="en-US" w:eastAsia="zh-CN"/>
              </w:rPr>
              <w:t>十四师</w:t>
            </w:r>
            <w:r>
              <w:rPr>
                <w:rFonts w:hint="default" w:ascii="Times New Roman" w:hAnsi="Times New Roman" w:eastAsia="宋体" w:cs="Times New Roman"/>
                <w:snapToGrid w:val="0"/>
                <w:color w:val="auto"/>
                <w:sz w:val="24"/>
                <w:szCs w:val="24"/>
                <w:lang w:val="en-US" w:eastAsia="zh-CN"/>
              </w:rPr>
              <w:t>环</w:t>
            </w:r>
            <w:r>
              <w:rPr>
                <w:rFonts w:hint="eastAsia" w:ascii="Times New Roman" w:hAnsi="Times New Roman" w:eastAsia="宋体" w:cs="Times New Roman"/>
                <w:snapToGrid w:val="0"/>
                <w:color w:val="auto"/>
                <w:sz w:val="24"/>
                <w:szCs w:val="24"/>
                <w:lang w:val="en-US" w:eastAsia="zh-CN"/>
              </w:rPr>
              <w:t>发</w:t>
            </w:r>
            <w:r>
              <w:rPr>
                <w:rFonts w:hint="default" w:ascii="Times New Roman" w:hAnsi="Times New Roman" w:eastAsia="宋体" w:cs="Times New Roman"/>
                <w:snapToGrid w:val="0"/>
                <w:color w:val="auto"/>
                <w:sz w:val="24"/>
                <w:szCs w:val="24"/>
              </w:rPr>
              <w:t>［20</w:t>
            </w:r>
            <w:r>
              <w:rPr>
                <w:rFonts w:hint="default" w:ascii="Times New Roman" w:hAnsi="Times New Roman" w:eastAsia="宋体" w:cs="Times New Roman"/>
                <w:snapToGrid w:val="0"/>
                <w:color w:val="auto"/>
                <w:sz w:val="24"/>
                <w:szCs w:val="24"/>
                <w:lang w:val="en-US" w:eastAsia="zh-CN"/>
              </w:rPr>
              <w:t>2</w:t>
            </w:r>
            <w:r>
              <w:rPr>
                <w:rFonts w:hint="eastAsia" w:ascii="Times New Roman" w:hAnsi="Times New Roman" w:eastAsia="宋体" w:cs="Times New Roman"/>
                <w:snapToGrid w:val="0"/>
                <w:color w:val="auto"/>
                <w:sz w:val="24"/>
                <w:szCs w:val="24"/>
                <w:lang w:val="en-US" w:eastAsia="zh-CN"/>
              </w:rPr>
              <w:t>2</w:t>
            </w:r>
            <w:r>
              <w:rPr>
                <w:rFonts w:hint="default" w:ascii="Times New Roman" w:hAnsi="Times New Roman" w:eastAsia="宋体" w:cs="Times New Roman"/>
                <w:snapToGrid w:val="0"/>
                <w:color w:val="auto"/>
                <w:sz w:val="24"/>
                <w:szCs w:val="24"/>
              </w:rPr>
              <w:t>］</w:t>
            </w:r>
            <w:r>
              <w:rPr>
                <w:rFonts w:hint="eastAsia" w:ascii="Times New Roman" w:hAnsi="Times New Roman" w:eastAsia="宋体" w:cs="Times New Roman"/>
                <w:snapToGrid w:val="0"/>
                <w:color w:val="auto"/>
                <w:sz w:val="24"/>
                <w:szCs w:val="24"/>
                <w:lang w:val="en-US" w:eastAsia="zh-CN"/>
              </w:rPr>
              <w:t>23</w:t>
            </w:r>
            <w:r>
              <w:rPr>
                <w:rFonts w:hint="default" w:ascii="Times New Roman" w:hAnsi="Times New Roman" w:eastAsia="宋体" w:cs="Times New Roman"/>
                <w:snapToGrid w:val="0"/>
                <w:color w:val="auto"/>
                <w:sz w:val="24"/>
                <w:szCs w:val="24"/>
              </w:rPr>
              <w:t>号</w:t>
            </w:r>
          </w:p>
          <w:p w14:paraId="762D0017">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rPr>
            </w:pPr>
            <w:r>
              <w:rPr>
                <w:rFonts w:hint="default" w:ascii="Times New Roman" w:hAnsi="Times New Roman" w:eastAsia="宋体" w:cs="Times New Roman"/>
                <w:b/>
                <w:bCs/>
                <w:snapToGrid w:val="0"/>
                <w:color w:val="auto"/>
                <w:sz w:val="24"/>
                <w:szCs w:val="24"/>
              </w:rPr>
              <w:t>关于</w:t>
            </w:r>
            <w:r>
              <w:rPr>
                <w:rFonts w:hint="default" w:ascii="Times New Roman" w:hAnsi="Times New Roman" w:eastAsia="宋体" w:cs="Times New Roman"/>
                <w:b/>
                <w:bCs/>
                <w:snapToGrid w:val="0"/>
                <w:color w:val="auto"/>
                <w:sz w:val="24"/>
                <w:szCs w:val="24"/>
                <w:lang w:val="en-US" w:eastAsia="zh-CN"/>
              </w:rPr>
              <w:t>对</w:t>
            </w:r>
            <w:r>
              <w:rPr>
                <w:rFonts w:hint="eastAsia" w:ascii="Times New Roman" w:hAnsi="Times New Roman" w:eastAsia="宋体" w:cs="Times New Roman"/>
                <w:b/>
                <w:bCs/>
                <w:snapToGrid w:val="0"/>
                <w:color w:val="auto"/>
                <w:sz w:val="24"/>
                <w:szCs w:val="24"/>
                <w:lang w:val="en-US" w:eastAsia="zh-CN"/>
              </w:rPr>
              <w:t>第十四师皮山农场污水资源化利用项目</w:t>
            </w:r>
            <w:r>
              <w:rPr>
                <w:rFonts w:hint="default" w:ascii="Times New Roman" w:hAnsi="Times New Roman" w:eastAsia="宋体" w:cs="Times New Roman"/>
                <w:b/>
                <w:bCs/>
                <w:snapToGrid w:val="0"/>
                <w:color w:val="auto"/>
                <w:sz w:val="24"/>
                <w:szCs w:val="24"/>
              </w:rPr>
              <w:t>环境影响报告表的批复</w:t>
            </w:r>
          </w:p>
          <w:p w14:paraId="1C4F3622">
            <w:pPr>
              <w:keepNext w:val="0"/>
              <w:keepLines w:val="0"/>
              <w:pageBreakBefore w:val="0"/>
              <w:widowControl/>
              <w:kinsoku w:val="0"/>
              <w:wordWrap/>
              <w:overflowPunct/>
              <w:topLinePunct w:val="0"/>
              <w:autoSpaceDE w:val="0"/>
              <w:autoSpaceDN w:val="0"/>
              <w:bidi w:val="0"/>
              <w:adjustRightInd/>
              <w:snapToGrid/>
              <w:spacing w:line="360" w:lineRule="auto"/>
              <w:ind w:left="0"/>
              <w:textAlignment w:val="baseline"/>
              <w:rPr>
                <w:rFonts w:hint="default" w:ascii="Times New Roman" w:hAnsi="Times New Roman" w:eastAsia="宋体" w:cs="Times New Roman"/>
                <w:sz w:val="24"/>
                <w:szCs w:val="24"/>
              </w:rPr>
            </w:pPr>
            <w:r>
              <w:rPr>
                <w:rFonts w:hint="eastAsia" w:ascii="宋体" w:hAnsi="宋体" w:eastAsia="宋体" w:cs="宋体"/>
                <w:color w:val="000000"/>
                <w:sz w:val="24"/>
                <w:szCs w:val="24"/>
                <w:lang w:val="en-US" w:eastAsia="zh-CN"/>
              </w:rPr>
              <w:t>第十四师水利工程管理服务中心</w:t>
            </w:r>
            <w:r>
              <w:rPr>
                <w:rFonts w:hint="default" w:ascii="Times New Roman" w:hAnsi="Times New Roman" w:eastAsia="宋体" w:cs="Times New Roman"/>
                <w:sz w:val="24"/>
                <w:szCs w:val="24"/>
              </w:rPr>
              <w:t>：</w:t>
            </w:r>
          </w:p>
          <w:p w14:paraId="52DB4C40">
            <w:pPr>
              <w:keepNext w:val="0"/>
              <w:keepLines w:val="0"/>
              <w:pageBreakBefore w:val="0"/>
              <w:widowControl/>
              <w:numPr>
                <w:ilvl w:val="0"/>
                <w:numId w:val="0"/>
              </w:numPr>
              <w:kinsoku w:val="0"/>
              <w:wordWrap/>
              <w:overflowPunct/>
              <w:topLinePunct w:val="0"/>
              <w:autoSpaceDE w:val="0"/>
              <w:autoSpaceDN w:val="0"/>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rPr>
              <w:t>你单位</w:t>
            </w:r>
            <w:r>
              <w:rPr>
                <w:rFonts w:hint="default" w:ascii="Times New Roman" w:hAnsi="Times New Roman" w:eastAsia="宋体" w:cs="Times New Roman"/>
                <w:spacing w:val="-4"/>
                <w:sz w:val="24"/>
                <w:szCs w:val="24"/>
                <w:lang w:val="en-US" w:eastAsia="zh-CN"/>
              </w:rPr>
              <w:t>报送的由</w:t>
            </w:r>
            <w:r>
              <w:rPr>
                <w:rFonts w:hint="eastAsia" w:ascii="Times New Roman" w:hAnsi="Times New Roman" w:eastAsia="宋体" w:cs="Times New Roman"/>
                <w:spacing w:val="-4"/>
                <w:sz w:val="24"/>
                <w:szCs w:val="24"/>
                <w:lang w:val="en-US" w:eastAsia="zh-CN"/>
              </w:rPr>
              <w:t>新疆祥达亿源环保科技有限公司</w:t>
            </w:r>
            <w:r>
              <w:rPr>
                <w:rFonts w:hint="default" w:ascii="Times New Roman" w:hAnsi="Times New Roman" w:eastAsia="宋体" w:cs="Times New Roman"/>
                <w:spacing w:val="-4"/>
                <w:sz w:val="24"/>
                <w:szCs w:val="24"/>
                <w:lang w:val="en-US" w:eastAsia="zh-CN"/>
              </w:rPr>
              <w:t>编制的《</w:t>
            </w:r>
            <w:r>
              <w:rPr>
                <w:rFonts w:hint="eastAsia" w:ascii="Times New Roman" w:hAnsi="Times New Roman" w:eastAsia="宋体" w:cs="Times New Roman"/>
                <w:spacing w:val="-4"/>
                <w:sz w:val="24"/>
                <w:szCs w:val="24"/>
                <w:lang w:val="en-US" w:eastAsia="zh-CN"/>
              </w:rPr>
              <w:t>第十四师皮山农场污水资源化利用项目</w:t>
            </w:r>
            <w:r>
              <w:rPr>
                <w:rFonts w:hint="default" w:ascii="Times New Roman" w:hAnsi="Times New Roman" w:eastAsia="宋体" w:cs="Times New Roman"/>
                <w:spacing w:val="-4"/>
                <w:sz w:val="24"/>
                <w:szCs w:val="24"/>
                <w:lang w:val="en-US" w:eastAsia="zh-CN"/>
              </w:rPr>
              <w:t>环境影响报告表》(以下简称《报告表》)及申请材料收悉。经研究，现批复如下</w:t>
            </w:r>
            <w:r>
              <w:rPr>
                <w:rFonts w:hint="eastAsia" w:ascii="Times New Roman" w:hAnsi="Times New Roman" w:eastAsia="宋体" w:cs="Times New Roman"/>
                <w:spacing w:val="-4"/>
                <w:sz w:val="24"/>
                <w:szCs w:val="24"/>
                <w:lang w:val="en-US" w:eastAsia="zh-CN"/>
              </w:rPr>
              <w:t>：</w:t>
            </w:r>
          </w:p>
          <w:p w14:paraId="3DEB6B97">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一、项目概况</w:t>
            </w:r>
          </w:p>
          <w:p w14:paraId="6D5E52E7">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项目名称</w:t>
            </w:r>
            <w:r>
              <w:rPr>
                <w:rFonts w:hint="eastAsia" w:ascii="Times New Roman" w:hAnsi="Times New Roman" w:eastAsia="宋体" w:cs="Times New Roman"/>
                <w:spacing w:val="-4"/>
                <w:sz w:val="24"/>
                <w:szCs w:val="24"/>
                <w:lang w:val="en-US" w:eastAsia="zh-CN"/>
              </w:rPr>
              <w:t>：第十四师皮山农场污水资源化利用项目</w:t>
            </w:r>
          </w:p>
          <w:p w14:paraId="7A5EDA01">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建设单位</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第十四师水利工程管理服务中心</w:t>
            </w:r>
          </w:p>
          <w:p w14:paraId="48952B5A">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建设地点</w:t>
            </w:r>
            <w:r>
              <w:rPr>
                <w:rFonts w:hint="eastAsia" w:ascii="Times New Roman" w:hAnsi="Times New Roman" w:eastAsia="宋体" w:cs="Times New Roman"/>
                <w:spacing w:val="-4"/>
                <w:sz w:val="24"/>
                <w:szCs w:val="24"/>
                <w:lang w:val="en-US" w:eastAsia="zh-CN"/>
              </w:rPr>
              <w:t>：项目位于</w:t>
            </w:r>
            <w:r>
              <w:rPr>
                <w:rFonts w:hint="default" w:ascii="Times New Roman" w:hAnsi="Times New Roman" w:eastAsia="宋体" w:cs="Times New Roman"/>
                <w:spacing w:val="-4"/>
                <w:sz w:val="24"/>
                <w:szCs w:val="24"/>
                <w:lang w:val="en-US" w:eastAsia="zh-CN"/>
              </w:rPr>
              <w:t>第十四师皮山</w:t>
            </w:r>
            <w:r>
              <w:rPr>
                <w:rFonts w:hint="eastAsia" w:ascii="Times New Roman" w:hAnsi="Times New Roman" w:eastAsia="宋体" w:cs="Times New Roman"/>
                <w:spacing w:val="-4"/>
                <w:sz w:val="24"/>
                <w:szCs w:val="24"/>
                <w:lang w:val="en-US" w:eastAsia="zh-CN"/>
              </w:rPr>
              <w:t>农场</w:t>
            </w:r>
          </w:p>
          <w:p w14:paraId="0162CDFD">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建设性质</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新建</w:t>
            </w:r>
          </w:p>
          <w:p w14:paraId="3A350836">
            <w:pPr>
              <w:keepNext w:val="0"/>
              <w:keepLines w:val="0"/>
              <w:pageBreakBefore w:val="0"/>
              <w:widowControl/>
              <w:suppressLineNumbers w:val="0"/>
              <w:kinsoku/>
              <w:wordWrap/>
              <w:overflowPunct/>
              <w:topLinePunct w:val="0"/>
              <w:autoSpaceDE/>
              <w:autoSpaceDN/>
              <w:bidi w:val="0"/>
              <w:adjustRightInd/>
              <w:snapToGrid/>
              <w:spacing w:line="360" w:lineRule="auto"/>
              <w:ind w:firstLine="464"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spacing w:val="-4"/>
                <w:sz w:val="24"/>
                <w:szCs w:val="24"/>
                <w:lang w:val="en-US" w:eastAsia="zh-CN"/>
              </w:rPr>
              <w:t>建设内容</w:t>
            </w:r>
            <w:r>
              <w:rPr>
                <w:rFonts w:hint="eastAsia" w:ascii="Times New Roman" w:hAnsi="Times New Roman" w:eastAsia="宋体" w:cs="Times New Roman"/>
                <w:spacing w:val="-4"/>
                <w:sz w:val="24"/>
                <w:szCs w:val="24"/>
                <w:lang w:val="en-US" w:eastAsia="zh-CN"/>
              </w:rPr>
              <w:t>：</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本次建设内容为新建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/s，新铺设输水管网21.514km。包括主体工程中水储库、库前引水管、提水泵站、输水管网以及辅助工程。</w:t>
            </w:r>
          </w:p>
          <w:p w14:paraId="6CDF24D1">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二、项目投资</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本项目总投资额</w:t>
            </w:r>
            <w:r>
              <w:rPr>
                <w:rFonts w:hint="eastAsia" w:ascii="Times New Roman" w:hAnsi="Times New Roman" w:eastAsia="宋体" w:cs="Times New Roman"/>
                <w:spacing w:val="-4"/>
                <w:sz w:val="24"/>
                <w:szCs w:val="24"/>
                <w:lang w:val="en-US" w:eastAsia="zh-CN"/>
              </w:rPr>
              <w:t>6030.78</w:t>
            </w:r>
            <w:r>
              <w:rPr>
                <w:rFonts w:hint="default" w:ascii="Times New Roman" w:hAnsi="Times New Roman" w:eastAsia="宋体" w:cs="Times New Roman"/>
                <w:spacing w:val="-4"/>
                <w:sz w:val="24"/>
                <w:szCs w:val="24"/>
                <w:lang w:val="en-US" w:eastAsia="zh-CN"/>
              </w:rPr>
              <w:t>万元、环保投资</w:t>
            </w:r>
            <w:r>
              <w:rPr>
                <w:rFonts w:hint="eastAsia" w:ascii="Times New Roman" w:hAnsi="Times New Roman" w:eastAsia="宋体" w:cs="Times New Roman"/>
                <w:spacing w:val="-4"/>
                <w:sz w:val="24"/>
                <w:szCs w:val="24"/>
                <w:lang w:val="en-US" w:eastAsia="zh-CN"/>
              </w:rPr>
              <w:t>2180</w:t>
            </w:r>
            <w:r>
              <w:rPr>
                <w:rFonts w:hint="default" w:ascii="Times New Roman" w:hAnsi="Times New Roman" w:eastAsia="宋体" w:cs="Times New Roman"/>
                <w:spacing w:val="-4"/>
                <w:sz w:val="24"/>
                <w:szCs w:val="24"/>
                <w:lang w:val="en-US" w:eastAsia="zh-CN"/>
              </w:rPr>
              <w:t>万元，环保投资占比</w:t>
            </w:r>
            <w:r>
              <w:rPr>
                <w:rFonts w:hint="eastAsia" w:ascii="Times New Roman" w:hAnsi="Times New Roman" w:eastAsia="宋体" w:cs="Times New Roman"/>
                <w:spacing w:val="-4"/>
                <w:sz w:val="24"/>
                <w:szCs w:val="24"/>
                <w:lang w:val="en-US" w:eastAsia="zh-CN"/>
              </w:rPr>
              <w:t>36.15</w:t>
            </w:r>
            <w:r>
              <w:rPr>
                <w:rFonts w:hint="default" w:ascii="Times New Roman" w:hAnsi="Times New Roman" w:eastAsia="宋体" w:cs="Times New Roman"/>
                <w:spacing w:val="-4"/>
                <w:sz w:val="24"/>
                <w:szCs w:val="24"/>
                <w:lang w:val="en-US" w:eastAsia="zh-CN"/>
              </w:rPr>
              <w:t>%。</w:t>
            </w:r>
          </w:p>
          <w:p w14:paraId="0769A34F">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三、本项目属于中水回用工程，根据国家《产业结构调整指导目录(2019年本)》，项目属</w:t>
            </w:r>
            <w:r>
              <w:rPr>
                <w:rFonts w:hint="eastAsia" w:ascii="宋体" w:hAnsi="宋体" w:eastAsia="宋体" w:cs="宋体"/>
                <w:spacing w:val="-4"/>
                <w:sz w:val="24"/>
                <w:szCs w:val="24"/>
                <w:lang w:val="en-US" w:eastAsia="zh-CN"/>
              </w:rPr>
              <w:t>于“鼓励类”中“二十二、城镇基础设施”中的“</w:t>
            </w:r>
            <w:r>
              <w:rPr>
                <w:rFonts w:hint="default" w:ascii="Times New Roman" w:hAnsi="Times New Roman" w:eastAsia="宋体" w:cs="Times New Roman"/>
                <w:spacing w:val="-4"/>
                <w:sz w:val="24"/>
                <w:szCs w:val="24"/>
                <w:lang w:val="en-US" w:eastAsia="zh-CN"/>
              </w:rPr>
              <w:t>12、再生水利用技术与工程</w:t>
            </w:r>
            <w:r>
              <w:rPr>
                <w:rFonts w:hint="eastAsia" w:ascii="宋体" w:hAnsi="宋体" w:eastAsia="宋体" w:cs="宋体"/>
                <w:spacing w:val="-4"/>
                <w:sz w:val="24"/>
                <w:szCs w:val="24"/>
                <w:lang w:val="en-US" w:eastAsia="zh-CN"/>
              </w:rPr>
              <w:t>”</w:t>
            </w:r>
            <w:r>
              <w:rPr>
                <w:rFonts w:hint="default" w:ascii="Times New Roman" w:hAnsi="Times New Roman" w:eastAsia="宋体" w:cs="Times New Roman"/>
                <w:spacing w:val="-4"/>
                <w:sz w:val="24"/>
                <w:szCs w:val="24"/>
                <w:lang w:val="en-US" w:eastAsia="zh-CN"/>
              </w:rPr>
              <w:t>，符合国家有关法律法规和政策的规定。</w:t>
            </w:r>
          </w:p>
          <w:p w14:paraId="70309485">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四、在项目实施中应认真落实报告</w:t>
            </w:r>
            <w:r>
              <w:rPr>
                <w:rFonts w:hint="eastAsia" w:ascii="Times New Roman" w:hAnsi="Times New Roman" w:eastAsia="宋体" w:cs="Times New Roman"/>
                <w:spacing w:val="-4"/>
                <w:sz w:val="24"/>
                <w:szCs w:val="24"/>
                <w:lang w:val="en-US" w:eastAsia="zh-CN"/>
              </w:rPr>
              <w:t>表</w:t>
            </w:r>
            <w:r>
              <w:rPr>
                <w:rFonts w:hint="default" w:ascii="Times New Roman" w:hAnsi="Times New Roman" w:eastAsia="宋体" w:cs="Times New Roman"/>
                <w:spacing w:val="-4"/>
                <w:sz w:val="24"/>
                <w:szCs w:val="24"/>
                <w:lang w:val="en-US" w:eastAsia="zh-CN"/>
              </w:rPr>
              <w:t>中提出的各项环境保护措施以及环保治理投资，确保污染物达标排放，严格执行环境保护设施与主体工程同时设计、同时施工、同时投产使用的环境保护“三同时”制度，按照环境影响报告</w:t>
            </w:r>
            <w:r>
              <w:rPr>
                <w:rFonts w:hint="eastAsia" w:ascii="Times New Roman" w:hAnsi="Times New Roman" w:eastAsia="宋体" w:cs="Times New Roman"/>
                <w:spacing w:val="-4"/>
                <w:sz w:val="24"/>
                <w:szCs w:val="24"/>
                <w:lang w:val="en-US" w:eastAsia="zh-CN"/>
              </w:rPr>
              <w:t>表</w:t>
            </w:r>
            <w:r>
              <w:rPr>
                <w:rFonts w:hint="default" w:ascii="Times New Roman" w:hAnsi="Times New Roman" w:eastAsia="宋体" w:cs="Times New Roman"/>
                <w:spacing w:val="-4"/>
                <w:sz w:val="24"/>
                <w:szCs w:val="24"/>
                <w:lang w:val="en-US" w:eastAsia="zh-CN"/>
              </w:rPr>
              <w:t>中提出的环保措施，做好污染预防和控制工作</w:t>
            </w:r>
            <w:r>
              <w:rPr>
                <w:rFonts w:hint="eastAsia" w:ascii="Times New Roman" w:hAnsi="Times New Roman" w:eastAsia="宋体" w:cs="Times New Roman"/>
                <w:spacing w:val="-4"/>
                <w:sz w:val="24"/>
                <w:szCs w:val="24"/>
                <w:lang w:val="en-US" w:eastAsia="zh-CN"/>
              </w:rPr>
              <w:t>：</w:t>
            </w:r>
          </w:p>
          <w:p w14:paraId="53069CD3">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(一)施工期</w:t>
            </w:r>
          </w:p>
          <w:p w14:paraId="06C871DD">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1.废气</w:t>
            </w:r>
          </w:p>
          <w:p w14:paraId="65F588FB">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做好合理规划，尽量缩短施工周期</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严格</w:t>
            </w:r>
            <w:r>
              <w:rPr>
                <w:rFonts w:hint="eastAsia" w:ascii="宋体" w:hAnsi="宋体" w:eastAsia="宋体" w:cs="宋体"/>
                <w:spacing w:val="-4"/>
                <w:sz w:val="24"/>
                <w:szCs w:val="24"/>
                <w:lang w:val="en-US" w:eastAsia="zh-CN"/>
              </w:rPr>
              <w:t>落实“六个百分之百”；施工运输车辆限速，密闭运输，及时洒水，路面保持湿润；加强机器设备维护保</w:t>
            </w:r>
            <w:r>
              <w:rPr>
                <w:rFonts w:hint="default" w:ascii="Times New Roman" w:hAnsi="Times New Roman" w:eastAsia="宋体" w:cs="Times New Roman"/>
                <w:spacing w:val="-4"/>
                <w:sz w:val="24"/>
                <w:szCs w:val="24"/>
                <w:lang w:val="en-US" w:eastAsia="zh-CN"/>
              </w:rPr>
              <w:t>养。</w:t>
            </w:r>
          </w:p>
          <w:p w14:paraId="7A48B9AE">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2.废水</w:t>
            </w:r>
          </w:p>
          <w:p w14:paraId="31D1DFB7">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eastAsia" w:ascii="宋体" w:hAnsi="宋体" w:eastAsia="宋体" w:cs="宋体"/>
                <w:spacing w:val="-4"/>
                <w:sz w:val="24"/>
                <w:szCs w:val="24"/>
                <w:lang w:val="en-US" w:eastAsia="zh-CN"/>
              </w:rPr>
            </w:pPr>
            <w:r>
              <w:rPr>
                <w:rFonts w:hint="eastAsia" w:ascii="宋体" w:hAnsi="宋体" w:eastAsia="宋体" w:cs="宋体"/>
                <w:spacing w:val="-4"/>
                <w:sz w:val="24"/>
                <w:szCs w:val="24"/>
                <w:lang w:val="en-US" w:eastAsia="zh-CN"/>
              </w:rPr>
              <w:t>设置废水处理设施:设置沉淀池，处理后合理利用，不得向外排放；施工生活污水处理措施，产生的生活污水排入污水管网中，不得乱排。</w:t>
            </w:r>
          </w:p>
          <w:p w14:paraId="09511DB2">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eastAsia" w:ascii="宋体" w:hAnsi="宋体" w:eastAsia="宋体" w:cs="宋体"/>
                <w:spacing w:val="-4"/>
                <w:sz w:val="24"/>
                <w:szCs w:val="24"/>
                <w:lang w:val="en-US" w:eastAsia="zh-CN"/>
              </w:rPr>
            </w:pPr>
            <w:r>
              <w:rPr>
                <w:rFonts w:hint="default" w:ascii="Times New Roman" w:hAnsi="Times New Roman" w:eastAsia="宋体" w:cs="Times New Roman"/>
                <w:spacing w:val="-4"/>
                <w:sz w:val="24"/>
                <w:szCs w:val="24"/>
                <w:lang w:val="en-US" w:eastAsia="zh-CN"/>
              </w:rPr>
              <w:t>3.</w:t>
            </w:r>
            <w:r>
              <w:rPr>
                <w:rFonts w:hint="eastAsia" w:ascii="宋体" w:hAnsi="宋体" w:eastAsia="宋体" w:cs="宋体"/>
                <w:spacing w:val="-4"/>
                <w:sz w:val="24"/>
                <w:szCs w:val="24"/>
                <w:lang w:val="en-US" w:eastAsia="zh-CN"/>
              </w:rPr>
              <w:t>噪声</w:t>
            </w:r>
          </w:p>
          <w:p w14:paraId="45517EB5">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尽可能选取噪声低、能耗小设备，避免长时间使用高噪声设备；加强施工设备的维护保养；加强对现场工作人员进行培训，严格按操作规范使用各类机械设备；加强对施工人员的个人防护，对高噪声机械设备附近工作的施工人员，配备耳塞、耳机、防声头盔等防噪用具。</w:t>
            </w:r>
          </w:p>
          <w:p w14:paraId="037CE3DF">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4.固体废物</w:t>
            </w:r>
          </w:p>
          <w:p w14:paraId="2518E49D">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弃土弃渣施工期间采取临时性防护措施，布设挡墙，施工结束后回填至弃土(渣)场</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设置截排水措施，在弃土(渣)场上游设置截水沟，周围和下游设置排水沟；在渣场内侧修建横向排水沟，末端接入土(渣)场周边截水沟；施工结束后，遵循“挖填平衡”的设计原则，对弃土(渣)场堆渣平台、坡面进行土地整治。</w:t>
            </w:r>
          </w:p>
          <w:p w14:paraId="5C30D71D">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5.生态环境</w:t>
            </w:r>
          </w:p>
          <w:p w14:paraId="31DAE76A">
            <w:pPr>
              <w:pStyle w:val="19"/>
              <w:keepNext w:val="0"/>
              <w:keepLines w:val="0"/>
              <w:pageBreakBefore w:val="0"/>
              <w:widowControl/>
              <w:kinsoku/>
              <w:wordWrap/>
              <w:overflowPunct/>
              <w:topLinePunct w:val="0"/>
              <w:autoSpaceDE/>
              <w:autoSpaceDN/>
              <w:bidi w:val="0"/>
              <w:spacing w:after="0" w:afterLines="0"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施工期间划定施工区域，强化施工管理，增强施工人员的环境保护意识，严格控制施工人员、施工机械的范围，严禁随意扩大扰动范围;施工作业结束后，及时平整各类施工迹地，恢复原有地貌，防止新增水土流失。</w:t>
            </w:r>
          </w:p>
          <w:p w14:paraId="70AF9205">
            <w:pPr>
              <w:pStyle w:val="19"/>
              <w:keepNext w:val="0"/>
              <w:keepLines w:val="0"/>
              <w:pageBreakBefore w:val="0"/>
              <w:widowControl/>
              <w:kinsoku/>
              <w:wordWrap/>
              <w:overflowPunct/>
              <w:topLinePunct w:val="0"/>
              <w:autoSpaceDE/>
              <w:autoSpaceDN/>
              <w:bidi w:val="0"/>
              <w:spacing w:after="0" w:afterLines="0"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(二)运营期污染防治措施</w:t>
            </w:r>
          </w:p>
          <w:p w14:paraId="237084E0">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工程为中水回用工程，工程实施后可将污水处理厂处理过的水经过调蓄用于绿化灌溉。本项目运营过程废水主要为储存污水处理站处理废水一级A标准废水，本工程无新增管理人员，管理人员来自污水处理厂调配。本项目在运营期间不会产生废气及固废等污染。运营期主要影响</w:t>
            </w:r>
            <w:r>
              <w:rPr>
                <w:rFonts w:hint="eastAsia" w:ascii="Times New Roman" w:hAnsi="Times New Roman" w:eastAsia="宋体" w:cs="Times New Roman"/>
                <w:snapToGrid w:val="0"/>
                <w:color w:val="000000"/>
                <w:spacing w:val="4"/>
                <w:kern w:val="0"/>
                <w:sz w:val="24"/>
                <w:szCs w:val="24"/>
                <w:lang w:val="en-US" w:eastAsia="zh-CN"/>
              </w:rPr>
              <w:t>：</w:t>
            </w:r>
            <w:r>
              <w:rPr>
                <w:rFonts w:hint="default" w:ascii="Times New Roman" w:hAnsi="Times New Roman" w:eastAsia="宋体" w:cs="Times New Roman"/>
                <w:snapToGrid w:val="0"/>
                <w:color w:val="000000"/>
                <w:spacing w:val="4"/>
                <w:kern w:val="0"/>
                <w:sz w:val="24"/>
                <w:szCs w:val="24"/>
                <w:lang w:val="en-US" w:eastAsia="zh-CN"/>
              </w:rPr>
              <w:t>①提水泵站产生的噪声影响</w:t>
            </w:r>
            <w:r>
              <w:rPr>
                <w:rFonts w:hint="eastAsia" w:ascii="Times New Roman" w:hAnsi="Times New Roman" w:eastAsia="宋体" w:cs="Times New Roman"/>
                <w:snapToGrid w:val="0"/>
                <w:color w:val="000000"/>
                <w:spacing w:val="4"/>
                <w:kern w:val="0"/>
                <w:sz w:val="24"/>
                <w:szCs w:val="24"/>
                <w:lang w:val="en-US" w:eastAsia="zh-CN"/>
              </w:rPr>
              <w:t>；</w:t>
            </w:r>
            <w:r>
              <w:rPr>
                <w:rFonts w:hint="default" w:ascii="Times New Roman" w:hAnsi="Times New Roman" w:eastAsia="宋体" w:cs="Times New Roman"/>
                <w:snapToGrid w:val="0"/>
                <w:color w:val="000000"/>
                <w:spacing w:val="4"/>
                <w:kern w:val="0"/>
                <w:sz w:val="24"/>
                <w:szCs w:val="24"/>
                <w:lang w:val="en-US" w:eastAsia="zh-CN"/>
              </w:rPr>
              <w:t>②中水储库发生溃坝时，中水储库中尾水下泄，影响周围生态系统、土壤环境等。</w:t>
            </w:r>
          </w:p>
          <w:p w14:paraId="00B931D4">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1.噪声防治措施</w:t>
            </w:r>
          </w:p>
          <w:p w14:paraId="28F42AFE">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通过选用低噪声设备，采取减振、密闭、隔声等处理措施，降低噪声对周围环境的影响。</w:t>
            </w:r>
          </w:p>
          <w:p w14:paraId="7E5CBEEA">
            <w:pPr>
              <w:pStyle w:val="20"/>
              <w:keepNext w:val="0"/>
              <w:keepLines w:val="0"/>
              <w:pageBreakBefore w:val="0"/>
              <w:widowControl/>
              <w:kinsoku/>
              <w:wordWrap/>
              <w:overflowPunct/>
              <w:topLinePunct w:val="0"/>
              <w:autoSpaceDE/>
              <w:autoSpaceDN/>
              <w:bidi w:val="0"/>
              <w:spacing w:after="0" w:line="360" w:lineRule="auto"/>
              <w:ind w:left="0" w:lef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2.</w:t>
            </w:r>
            <w:r>
              <w:rPr>
                <w:rFonts w:hint="eastAsia" w:ascii="Times New Roman" w:hAnsi="Times New Roman" w:eastAsia="宋体" w:cs="Times New Roman"/>
                <w:snapToGrid w:val="0"/>
                <w:color w:val="000000"/>
                <w:spacing w:val="4"/>
                <w:kern w:val="0"/>
                <w:sz w:val="24"/>
                <w:szCs w:val="24"/>
                <w:lang w:val="en-US" w:eastAsia="zh-CN"/>
              </w:rPr>
              <w:t>水</w:t>
            </w:r>
            <w:r>
              <w:rPr>
                <w:rFonts w:hint="default" w:ascii="Times New Roman" w:hAnsi="Times New Roman" w:eastAsia="宋体" w:cs="Times New Roman"/>
                <w:snapToGrid w:val="0"/>
                <w:color w:val="000000"/>
                <w:spacing w:val="4"/>
                <w:kern w:val="0"/>
                <w:sz w:val="24"/>
                <w:szCs w:val="24"/>
                <w:lang w:val="en-US" w:eastAsia="zh-CN"/>
              </w:rPr>
              <w:t>防治措施</w:t>
            </w:r>
          </w:p>
          <w:p w14:paraId="4D902C54">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采取合理的地下水防渗、漏措施，防治地下水、土壤污染。</w:t>
            </w:r>
          </w:p>
          <w:p w14:paraId="75E6F5CB">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3.风险防范措施</w:t>
            </w:r>
          </w:p>
          <w:p w14:paraId="3056ED4E">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确保中水储库运行期间的安全，制定严格的管理制度，加强运营期的管理，延长中水储库的寿命，充分发挥效益，避免环境风险事故的发生。</w:t>
            </w:r>
          </w:p>
          <w:p w14:paraId="548EE43C">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四、建设单位要严格执行“三同时制度”，项目完工后，必须按规定程序开展环境保护竣工验收，验收合格后方可正式投入运行。</w:t>
            </w:r>
          </w:p>
          <w:p w14:paraId="6795ADC4">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五、由皮山农场经济发展办公室负责组织该项目的环境执法现场监察和日常监督管理。</w:t>
            </w:r>
          </w:p>
          <w:p w14:paraId="4336732B">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六</w:t>
            </w:r>
            <w:r>
              <w:rPr>
                <w:rFonts w:hint="default" w:ascii="Times New Roman" w:hAnsi="Times New Roman" w:cs="Times New Roman"/>
                <w:sz w:val="24"/>
                <w:szCs w:val="24"/>
                <w:lang w:val="en-US" w:eastAsia="zh-CN"/>
              </w:rPr>
              <w:t>、项目的性质、规模、地点、采用的生产工艺或者防治污染、防治生态破坏的措施发生重大变动的，应当重新报批项目的环境影响评价文件</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自批准之日起满5年，建设项目方开工建设其环境影响评价文件须依法报我局重新审核。</w:t>
            </w:r>
          </w:p>
          <w:p w14:paraId="74BB06C5">
            <w:pPr>
              <w:pStyle w:val="20"/>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p>
          <w:p w14:paraId="59CFC448">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14:paraId="089CFBD6">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14:paraId="3CA35905">
            <w:pPr>
              <w:pStyle w:val="24"/>
              <w:rPr>
                <w:rFonts w:hint="default" w:ascii="Times New Roman" w:hAnsi="Times New Roman" w:eastAsia="宋体" w:cs="Times New Roman"/>
                <w:color w:val="000000"/>
                <w:sz w:val="24"/>
                <w:szCs w:val="24"/>
                <w:lang w:val="en-US" w:eastAsia="zh-CN"/>
              </w:rPr>
            </w:pPr>
          </w:p>
          <w:p w14:paraId="6128F2AC">
            <w:pPr>
              <w:rPr>
                <w:rFonts w:hint="default" w:ascii="Times New Roman" w:hAnsi="Times New Roman" w:eastAsia="宋体" w:cs="Times New Roman"/>
                <w:color w:val="000000"/>
                <w:sz w:val="24"/>
                <w:szCs w:val="24"/>
                <w:lang w:val="en-US" w:eastAsia="zh-CN"/>
              </w:rPr>
            </w:pPr>
          </w:p>
          <w:p w14:paraId="70D7C177">
            <w:pPr>
              <w:pStyle w:val="24"/>
              <w:rPr>
                <w:rFonts w:hint="default" w:ascii="Times New Roman" w:hAnsi="Times New Roman" w:eastAsia="宋体" w:cs="Times New Roman"/>
                <w:color w:val="000000"/>
                <w:sz w:val="24"/>
                <w:szCs w:val="24"/>
                <w:lang w:val="en-US" w:eastAsia="zh-CN"/>
              </w:rPr>
            </w:pPr>
          </w:p>
          <w:p w14:paraId="5BD7141B">
            <w:pPr>
              <w:rPr>
                <w:rFonts w:hint="default" w:ascii="Times New Roman" w:hAnsi="Times New Roman" w:eastAsia="宋体" w:cs="Times New Roman"/>
                <w:color w:val="000000"/>
                <w:sz w:val="24"/>
                <w:szCs w:val="24"/>
                <w:lang w:val="en-US" w:eastAsia="zh-CN"/>
              </w:rPr>
            </w:pPr>
          </w:p>
          <w:p w14:paraId="3C890623">
            <w:pPr>
              <w:pStyle w:val="24"/>
              <w:rPr>
                <w:rFonts w:hint="default" w:ascii="Times New Roman" w:hAnsi="Times New Roman" w:eastAsia="宋体" w:cs="Times New Roman"/>
                <w:color w:val="000000"/>
                <w:sz w:val="24"/>
                <w:szCs w:val="24"/>
                <w:lang w:val="en-US" w:eastAsia="zh-CN"/>
              </w:rPr>
            </w:pPr>
          </w:p>
          <w:p w14:paraId="437CF3E1">
            <w:pPr>
              <w:rPr>
                <w:rFonts w:hint="default"/>
                <w:lang w:val="en-US" w:eastAsia="zh-CN"/>
              </w:rPr>
            </w:pPr>
          </w:p>
          <w:p w14:paraId="7045C339">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4872" w:firstLineChars="21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4"/>
                <w:sz w:val="24"/>
                <w:szCs w:val="24"/>
                <w:lang w:val="en-US" w:eastAsia="zh-CN"/>
              </w:rPr>
              <w:t>第十四师</w:t>
            </w:r>
            <w:r>
              <w:rPr>
                <w:rFonts w:hint="eastAsia" w:ascii="Times New Roman" w:hAnsi="Times New Roman" w:eastAsia="宋体" w:cs="Times New Roman"/>
                <w:spacing w:val="-4"/>
                <w:sz w:val="24"/>
                <w:szCs w:val="24"/>
                <w:lang w:val="en-US" w:eastAsia="zh-CN"/>
              </w:rPr>
              <w:t>昆玉市</w:t>
            </w:r>
            <w:r>
              <w:rPr>
                <w:rFonts w:hint="default" w:ascii="Times New Roman" w:hAnsi="Times New Roman" w:eastAsia="宋体" w:cs="Times New Roman"/>
                <w:color w:val="000000"/>
                <w:sz w:val="24"/>
                <w:szCs w:val="24"/>
                <w:lang w:val="en-US" w:eastAsia="zh-CN"/>
              </w:rPr>
              <w:t>生态环境局</w:t>
            </w:r>
          </w:p>
          <w:p w14:paraId="7A82C4F4">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5280" w:firstLineChars="2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202</w:t>
            </w:r>
            <w:r>
              <w:rPr>
                <w:rFonts w:hint="eastAsia" w:ascii="Times New Roman" w:hAnsi="Times New Roman" w:eastAsia="宋体" w:cs="Times New Roman"/>
                <w:color w:val="000000"/>
                <w:sz w:val="24"/>
                <w:szCs w:val="24"/>
                <w:lang w:val="en-US" w:eastAsia="zh-CN"/>
              </w:rPr>
              <w:t>2</w:t>
            </w:r>
            <w:r>
              <w:rPr>
                <w:rFonts w:hint="default" w:ascii="Times New Roman" w:hAnsi="Times New Roman" w:eastAsia="宋体" w:cs="Times New Roman"/>
                <w:color w:val="000000"/>
                <w:sz w:val="24"/>
                <w:szCs w:val="24"/>
                <w:lang w:val="en-US" w:eastAsia="zh-CN"/>
              </w:rPr>
              <w:t>年</w:t>
            </w:r>
            <w:r>
              <w:rPr>
                <w:rFonts w:hint="eastAsia" w:ascii="Times New Roman" w:hAnsi="Times New Roman" w:eastAsia="宋体" w:cs="Times New Roman"/>
                <w:color w:val="000000"/>
                <w:sz w:val="24"/>
                <w:szCs w:val="24"/>
                <w:lang w:val="en-US" w:eastAsia="zh-CN"/>
              </w:rPr>
              <w:t>5</w:t>
            </w:r>
            <w:r>
              <w:rPr>
                <w:rFonts w:hint="default" w:ascii="Times New Roman" w:hAnsi="Times New Roman" w:eastAsia="宋体" w:cs="Times New Roman"/>
                <w:color w:val="000000"/>
                <w:sz w:val="24"/>
                <w:szCs w:val="24"/>
                <w:lang w:val="en-US" w:eastAsia="zh-CN"/>
              </w:rPr>
              <w:t>月</w:t>
            </w:r>
            <w:r>
              <w:rPr>
                <w:rFonts w:hint="eastAsia" w:ascii="Times New Roman" w:hAnsi="Times New Roman" w:eastAsia="宋体" w:cs="Times New Roman"/>
                <w:color w:val="000000"/>
                <w:sz w:val="24"/>
                <w:szCs w:val="24"/>
                <w:lang w:val="en-US" w:eastAsia="zh-CN"/>
              </w:rPr>
              <w:t>19</w:t>
            </w:r>
            <w:r>
              <w:rPr>
                <w:rFonts w:hint="default" w:ascii="Times New Roman" w:hAnsi="Times New Roman" w:eastAsia="宋体" w:cs="Times New Roman"/>
                <w:color w:val="000000"/>
                <w:sz w:val="24"/>
                <w:szCs w:val="24"/>
                <w:lang w:val="en-US" w:eastAsia="zh-CN"/>
              </w:rPr>
              <w:t>日</w:t>
            </w:r>
          </w:p>
        </w:tc>
      </w:tr>
    </w:tbl>
    <w:p w14:paraId="66B66E8D">
      <w:pPr>
        <w:rPr>
          <w:rFonts w:hint="default" w:ascii="Times New Roman" w:hAnsi="Times New Roman" w:cs="Times New Roman"/>
          <w:sz w:val="21"/>
        </w:rPr>
      </w:pPr>
    </w:p>
    <w:p w14:paraId="0F6AE274">
      <w:pPr>
        <w:rPr>
          <w:rFonts w:hint="default" w:ascii="Times New Roman" w:hAnsi="Times New Roman" w:cs="Times New Roman"/>
        </w:rPr>
        <w:sectPr>
          <w:footerReference r:id="rId13"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341DE02B">
      <w:pPr>
        <w:pStyle w:val="3"/>
        <w:bidi w:val="0"/>
        <w:rPr>
          <w:rFonts w:hint="default" w:ascii="Times New Roman" w:hAnsi="Times New Roman" w:cs="Times New Roman"/>
          <w:sz w:val="32"/>
          <w:szCs w:val="52"/>
        </w:rPr>
      </w:pPr>
      <w:bookmarkStart w:id="7" w:name="_Toc7541"/>
      <w:r>
        <w:rPr>
          <w:rFonts w:hint="default" w:ascii="Times New Roman" w:hAnsi="Times New Roman" w:cs="Times New Roman"/>
          <w:sz w:val="32"/>
          <w:szCs w:val="52"/>
        </w:rPr>
        <w:t>表七 环境保护措施执行情况</w:t>
      </w:r>
      <w:bookmarkEnd w:id="7"/>
    </w:p>
    <w:p w14:paraId="1D71729B">
      <w:pPr>
        <w:spacing w:line="74" w:lineRule="exact"/>
        <w:rPr>
          <w:rFonts w:hint="default" w:ascii="Times New Roman" w:hAnsi="Times New Roman" w:cs="Times New Roman"/>
        </w:rPr>
      </w:pPr>
    </w:p>
    <w:tbl>
      <w:tblPr>
        <w:tblStyle w:val="28"/>
        <w:tblW w:w="894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3"/>
        <w:gridCol w:w="613"/>
        <w:gridCol w:w="4110"/>
        <w:gridCol w:w="2550"/>
        <w:gridCol w:w="1110"/>
      </w:tblGrid>
      <w:tr w14:paraId="4B782D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47" w:hRule="atLeast"/>
          <w:jc w:val="center"/>
        </w:trPr>
        <w:tc>
          <w:tcPr>
            <w:tcW w:w="1176" w:type="dxa"/>
            <w:gridSpan w:val="2"/>
            <w:tcBorders>
              <w:tl2br w:val="single" w:color="000000" w:sz="2" w:space="0"/>
            </w:tcBorders>
            <w:vAlign w:val="top"/>
          </w:tcPr>
          <w:p w14:paraId="6510405F">
            <w:pPr>
              <w:keepNext w:val="0"/>
              <w:keepLines w:val="0"/>
              <w:pageBreakBefore w:val="0"/>
              <w:widowControl/>
              <w:kinsoku/>
              <w:wordWrap/>
              <w:overflowPunct/>
              <w:topLinePunct w:val="0"/>
              <w:autoSpaceDE/>
              <w:autoSpaceDN/>
              <w:bidi w:val="0"/>
              <w:adjustRightInd w:val="0"/>
              <w:snapToGrid w:val="0"/>
              <w:spacing w:line="514" w:lineRule="exact"/>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3"/>
                <w:sz w:val="21"/>
                <w:szCs w:val="21"/>
                <w14:textOutline w14:w="3831" w14:cap="flat" w14:cmpd="sng">
                  <w14:solidFill>
                    <w14:srgbClr w14:val="000000"/>
                  </w14:solidFill>
                  <w14:prstDash w14:val="solid"/>
                  <w14:miter w14:val="0"/>
                </w14:textOutline>
              </w:rPr>
              <w:t>项</w:t>
            </w:r>
            <w:r>
              <w:rPr>
                <w:rFonts w:hint="default" w:ascii="Times New Roman" w:hAnsi="Times New Roman" w:eastAsia="宋体" w:cs="Times New Roman"/>
                <w:spacing w:val="-2"/>
                <w:position w:val="23"/>
                <w:sz w:val="21"/>
                <w:szCs w:val="21"/>
                <w14:textOutline w14:w="3831" w14:cap="flat" w14:cmpd="sng">
                  <w14:solidFill>
                    <w14:srgbClr w14:val="000000"/>
                  </w14:solidFill>
                  <w14:prstDash w14:val="solid"/>
                  <w14:miter w14:val="0"/>
                </w14:textOutline>
              </w:rPr>
              <w:t>目</w:t>
            </w:r>
          </w:p>
          <w:p w14:paraId="02D97DDC">
            <w:pPr>
              <w:keepNext w:val="0"/>
              <w:keepLines w:val="0"/>
              <w:pageBreakBefore w:val="0"/>
              <w:widowControl/>
              <w:kinsoku/>
              <w:wordWrap/>
              <w:overflowPunct/>
              <w:topLinePunct w:val="0"/>
              <w:autoSpaceDE/>
              <w:autoSpaceDN/>
              <w:bidi w:val="0"/>
              <w:adjustRightInd w:val="0"/>
              <w:snapToGrid w:val="0"/>
              <w:spacing w:line="222"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14:textOutline w14:w="3831" w14:cap="flat" w14:cmpd="sng">
                  <w14:solidFill>
                    <w14:srgbClr w14:val="000000"/>
                  </w14:solidFill>
                  <w14:prstDash w14:val="solid"/>
                  <w14:miter w14:val="0"/>
                </w14:textOutline>
              </w:rPr>
              <w:t>阶</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段</w:t>
            </w:r>
          </w:p>
        </w:tc>
        <w:tc>
          <w:tcPr>
            <w:tcW w:w="4110" w:type="dxa"/>
            <w:vAlign w:val="center"/>
          </w:tcPr>
          <w:p w14:paraId="6105CD45">
            <w:pPr>
              <w:keepNext w:val="0"/>
              <w:keepLines w:val="0"/>
              <w:pageBreakBefore w:val="0"/>
              <w:widowControl/>
              <w:kinsoku/>
              <w:wordWrap/>
              <w:overflowPunct/>
              <w:topLinePunct w:val="0"/>
              <w:autoSpaceDE/>
              <w:autoSpaceDN/>
              <w:bidi w:val="0"/>
              <w:adjustRightInd w:val="0"/>
              <w:snapToGrid w:val="0"/>
              <w:spacing w:line="21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环境影响报告</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及审批文件中</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要求的环境保护措施</w:t>
            </w:r>
          </w:p>
        </w:tc>
        <w:tc>
          <w:tcPr>
            <w:tcW w:w="2550" w:type="dxa"/>
            <w:vAlign w:val="center"/>
          </w:tcPr>
          <w:p w14:paraId="03B93F7F">
            <w:pPr>
              <w:keepNext w:val="0"/>
              <w:keepLines w:val="0"/>
              <w:pageBreakBefore w:val="0"/>
              <w:widowControl/>
              <w:kinsoku/>
              <w:wordWrap/>
              <w:overflowPunct/>
              <w:topLinePunct w:val="0"/>
              <w:autoSpaceDE/>
              <w:autoSpaceDN/>
              <w:bidi w:val="0"/>
              <w:adjustRightInd w:val="0"/>
              <w:snapToGrid w:val="0"/>
              <w:spacing w:line="221"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保护措施落实情况</w:t>
            </w:r>
          </w:p>
        </w:tc>
        <w:tc>
          <w:tcPr>
            <w:tcW w:w="1110" w:type="dxa"/>
            <w:vAlign w:val="center"/>
          </w:tcPr>
          <w:p w14:paraId="17D87E81">
            <w:pPr>
              <w:keepNext w:val="0"/>
              <w:keepLines w:val="0"/>
              <w:pageBreakBefore w:val="0"/>
              <w:widowControl/>
              <w:kinsoku/>
              <w:wordWrap/>
              <w:overflowPunct/>
              <w:topLinePunct w:val="0"/>
              <w:autoSpaceDE/>
              <w:autoSpaceDN/>
              <w:bidi w:val="0"/>
              <w:adjustRightInd w:val="0"/>
              <w:snapToGrid w:val="0"/>
              <w:spacing w:line="222"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备</w:t>
            </w:r>
            <w:r>
              <w:rPr>
                <w:rFonts w:hint="default" w:ascii="Times New Roman" w:hAnsi="Times New Roman" w:eastAsia="宋体" w:cs="Times New Roman"/>
                <w:spacing w:val="-2"/>
                <w:sz w:val="21"/>
                <w:szCs w:val="21"/>
                <w14:textOutline w14:w="3831" w14:cap="flat" w14:cmpd="sng">
                  <w14:solidFill>
                    <w14:srgbClr w14:val="000000"/>
                  </w14:solidFill>
                  <w14:prstDash w14:val="solid"/>
                  <w14:miter w14:val="0"/>
                </w14:textOutline>
              </w:rPr>
              <w:t>注</w:t>
            </w:r>
          </w:p>
        </w:tc>
      </w:tr>
      <w:tr w14:paraId="5DE631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73" w:hRule="atLeast"/>
          <w:jc w:val="center"/>
        </w:trPr>
        <w:tc>
          <w:tcPr>
            <w:tcW w:w="563" w:type="dxa"/>
            <w:vMerge w:val="restart"/>
            <w:textDirection w:val="tbRlV"/>
            <w:vAlign w:val="center"/>
          </w:tcPr>
          <w:p w14:paraId="7B7A34BB">
            <w:pPr>
              <w:keepNext w:val="0"/>
              <w:keepLines w:val="0"/>
              <w:pageBreakBefore w:val="0"/>
              <w:widowControl/>
              <w:kinsoku/>
              <w:wordWrap/>
              <w:overflowPunct/>
              <w:topLinePunct w:val="0"/>
              <w:autoSpaceDE/>
              <w:autoSpaceDN/>
              <w:bidi w:val="0"/>
              <w:adjustRightInd w:val="0"/>
              <w:snapToGrid w:val="0"/>
              <w:spacing w:line="21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施工期</w:t>
            </w:r>
          </w:p>
        </w:tc>
        <w:tc>
          <w:tcPr>
            <w:tcW w:w="613" w:type="dxa"/>
            <w:textDirection w:val="tbRlV"/>
            <w:vAlign w:val="center"/>
          </w:tcPr>
          <w:p w14:paraId="48177672">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4110" w:type="dxa"/>
            <w:vAlign w:val="center"/>
          </w:tcPr>
          <w:p w14:paraId="32DE558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1</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认真做好施工计划，尽量缩短工期，安排好施工运输线路及时间顺序。</w:t>
            </w:r>
          </w:p>
          <w:p w14:paraId="05203BF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2</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）施工过程需做到“六个百分之百”，即工地周边百分百围挡、物料堆放百分百覆盖、工地百分百湿法作业、路面百分百硬化、出入车辆百分百清洗、渣土车辆百分百密闭。</w:t>
            </w:r>
          </w:p>
          <w:p w14:paraId="32CF937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3</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应在工程要求范围内尽量减少土方的开挖程度，将挖出的土方堆存在划定的建筑垃圾临时堆场，以减少土方占道。并定时洒水，保持土方的潮湿，以减少扬尘污染对周围环境的影响。</w:t>
            </w:r>
          </w:p>
          <w:p w14:paraId="19E0CE8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（4）建设单位在施工过程中尽量限制来往、进出施工场地车辆的车速，并在场地周围及运输道路上及时洒水，保持路面的潮湿，以减少由于车辆动力起尘对周围环境的影响。</w:t>
            </w:r>
          </w:p>
          <w:p w14:paraId="4B7832C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（5）禁止车辆带泥（尘）上路行驶。运输砂石、水泥、建筑垃圾等物质的车辆采取密闭运输。对运输车辆在驶离作业点时，对车身进行清洗；严禁车辆超载超速行驶，以防止运输中的二次扬尘产生。</w:t>
            </w:r>
          </w:p>
          <w:p w14:paraId="1F4FA0F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（6）对于工地内裸露地面，应采取下列防尘措施之一：a）覆盖防尘布或防尘网；b）做好绿化工作；c）定时定量洒水；d）其他有效的防尘措施；</w:t>
            </w:r>
          </w:p>
          <w:p w14:paraId="2F43058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加强对本项目施工期所使用的机械设备的维护及保养，保证其正常运行；</w:t>
            </w:r>
          </w:p>
          <w:p w14:paraId="650E112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（8）</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加强对施工人员的教育，提高设备原料利用率，不用设备时及时关闭，减少废气排放。</w:t>
            </w:r>
          </w:p>
          <w:p w14:paraId="6C8C8B2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eastAsia" w:ascii="Times New Roman" w:hAnsi="Times New Roman" w:cs="Times New Roman"/>
                <w:snapToGrid w:val="0"/>
                <w:color w:val="000000" w:themeColor="text1"/>
                <w:kern w:val="0"/>
                <w:sz w:val="21"/>
                <w:szCs w:val="21"/>
                <w:lang w:val="en-US" w:eastAsia="zh-CN"/>
                <w14:textFill>
                  <w14:solidFill>
                    <w14:schemeClr w14:val="tx1"/>
                  </w14:solidFill>
                </w14:textFill>
              </w:rPr>
              <w:t>9</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采用机械设备推土进行土料回填过程中，</w:t>
            </w:r>
            <w:r>
              <w:rPr>
                <w:rFonts w:hint="eastAsia" w:ascii="Times New Roman" w:hAnsi="Times New Roman" w:eastAsia="宋体" w:cs="Times New Roman"/>
                <w:color w:val="000000"/>
                <w:sz w:val="21"/>
                <w:szCs w:val="21"/>
                <w:highlight w:val="none"/>
                <w:lang w:val="en-US" w:eastAsia="zh-CN"/>
              </w:rPr>
              <w:t>进行洒水降尘，</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若有大风天气停止施工，减少扬尘污染</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550" w:type="dxa"/>
            <w:vAlign w:val="center"/>
          </w:tcPr>
          <w:p w14:paraId="0257FDBA">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施工期对大气环境影响主要为施工扬尘、施工机械设备运输车辆所产生的废气，选用符合国家标准的施工机械和运输工具，及采取洒水降尘、设置围挡、遮盖、密闭方式运输等措施，减少废气的产生量，并且其产生的响范围不大，施工结束影响即消失，对环境空气影响较小。</w:t>
            </w:r>
          </w:p>
        </w:tc>
        <w:tc>
          <w:tcPr>
            <w:tcW w:w="1110" w:type="dxa"/>
            <w:vAlign w:val="center"/>
          </w:tcPr>
          <w:p w14:paraId="7EB1FD19">
            <w:pPr>
              <w:keepNext w:val="0"/>
              <w:keepLines w:val="0"/>
              <w:pageBreakBefore w:val="0"/>
              <w:widowControl/>
              <w:kinsoku/>
              <w:wordWrap/>
              <w:overflowPunct/>
              <w:topLinePunct w:val="0"/>
              <w:autoSpaceDE/>
              <w:autoSpaceDN/>
              <w:bidi w:val="0"/>
              <w:adjustRightInd w:val="0"/>
              <w:snapToGrid w:val="0"/>
              <w:spacing w:line="221"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70D493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9" w:hRule="atLeast"/>
          <w:jc w:val="center"/>
        </w:trPr>
        <w:tc>
          <w:tcPr>
            <w:tcW w:w="563" w:type="dxa"/>
            <w:vMerge w:val="continue"/>
            <w:textDirection w:val="tbRlV"/>
            <w:vAlign w:val="center"/>
          </w:tcPr>
          <w:p w14:paraId="214285EA">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extDirection w:val="tbRlV"/>
            <w:vAlign w:val="center"/>
          </w:tcPr>
          <w:p w14:paraId="190EB26D">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7"/>
                <w:sz w:val="21"/>
                <w:szCs w:val="21"/>
              </w:rPr>
              <w:t>水 环 境</w:t>
            </w:r>
          </w:p>
        </w:tc>
        <w:tc>
          <w:tcPr>
            <w:tcW w:w="4110" w:type="dxa"/>
            <w:vAlign w:val="center"/>
          </w:tcPr>
          <w:p w14:paraId="021C0E4A">
            <w:pPr>
              <w:keepNext w:val="0"/>
              <w:keepLines w:val="0"/>
              <w:pageBreakBefore w:val="0"/>
              <w:widowControl/>
              <w:kinsoku/>
              <w:wordWrap/>
              <w:overflowPunct/>
              <w:topLinePunct w:val="0"/>
              <w:autoSpaceDE/>
              <w:autoSpaceDN/>
              <w:bidi w:val="0"/>
              <w:adjustRightInd/>
              <w:snapToGrid/>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5"/>
                <w:sz w:val="21"/>
                <w:szCs w:val="21"/>
                <w:lang w:eastAsia="zh-CN"/>
              </w:rPr>
              <w:t>（</w:t>
            </w:r>
            <w:r>
              <w:rPr>
                <w:rFonts w:hint="default" w:ascii="Times New Roman" w:hAnsi="Times New Roman" w:eastAsia="宋体" w:cs="Times New Roman"/>
                <w:spacing w:val="15"/>
                <w:sz w:val="21"/>
                <w:szCs w:val="21"/>
                <w:lang w:val="en-US" w:eastAsia="zh-CN"/>
              </w:rPr>
              <w:t>1</w:t>
            </w:r>
            <w:r>
              <w:rPr>
                <w:rFonts w:hint="default" w:ascii="Times New Roman" w:hAnsi="Times New Roman" w:eastAsia="宋体" w:cs="Times New Roman"/>
                <w:spacing w:val="15"/>
                <w:sz w:val="21"/>
                <w:szCs w:val="21"/>
                <w:lang w:eastAsia="zh-CN"/>
              </w:rPr>
              <w:t>）</w:t>
            </w:r>
            <w:r>
              <w:rPr>
                <w:rFonts w:hint="default" w:ascii="Times New Roman" w:hAnsi="Times New Roman" w:eastAsia="宋体" w:cs="Times New Roman"/>
                <w:spacing w:val="9"/>
                <w:sz w:val="21"/>
                <w:szCs w:val="21"/>
              </w:rPr>
              <w:t>施工期环境影响</w:t>
            </w:r>
          </w:p>
          <w:p w14:paraId="3F406E6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b w:val="0"/>
                <w:bCs/>
                <w:color w:val="000000" w:themeColor="text1"/>
                <w:kern w:val="0"/>
                <w:sz w:val="21"/>
                <w:szCs w:val="21"/>
                <w14:textFill>
                  <w14:solidFill>
                    <w14:schemeClr w14:val="tx1"/>
                  </w14:solidFill>
                </w14:textFill>
              </w:rPr>
            </w:pPr>
            <w:r>
              <w:rPr>
                <w:rFonts w:hint="eastAsia" w:ascii="Times New Roman" w:hAnsi="Times New Roman" w:eastAsia="宋体" w:cs="Times New Roman"/>
                <w:b w:val="0"/>
                <w:bCs/>
                <w:color w:val="000000" w:themeColor="text1"/>
                <w:kern w:val="0"/>
                <w:sz w:val="21"/>
                <w:szCs w:val="21"/>
                <w:lang w:val="en-US" w:eastAsia="zh-CN" w:bidi="ar"/>
                <w14:textFill>
                  <w14:solidFill>
                    <w14:schemeClr w14:val="tx1"/>
                  </w14:solidFill>
                </w14:textFill>
              </w:rPr>
              <w:t>1</w:t>
            </w:r>
            <w:r>
              <w:rPr>
                <w:rFonts w:hint="default" w:ascii="Times New Roman" w:hAnsi="Times New Roman" w:eastAsia="宋体" w:cs="Times New Roman"/>
                <w:b w:val="0"/>
                <w:bCs/>
                <w:color w:val="000000" w:themeColor="text1"/>
                <w:kern w:val="0"/>
                <w:sz w:val="21"/>
                <w:szCs w:val="21"/>
                <w:lang w:val="en-US" w:eastAsia="zh-CN" w:bidi="ar"/>
                <w14:textFill>
                  <w14:solidFill>
                    <w14:schemeClr w14:val="tx1"/>
                  </w14:solidFill>
                </w14:textFill>
              </w:rPr>
              <w:t>.1施工场地生产废水处理设施</w:t>
            </w:r>
          </w:p>
          <w:p w14:paraId="68A9D9FF">
            <w:pPr>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right="0" w:rightChars="0" w:firstLine="0" w:firstLineChars="0"/>
              <w:jc w:val="both"/>
              <w:textAlignment w:val="auto"/>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1）设置废水处理设施：在施工场地内及项目区设置沉淀池对收集的施工生产废水进行沉淀处理，处理水首先循环回用于施工生产，其余用于施工现场、临时堆土场的洒水防尘，不向外排放，沉淀池定期进行清理，沉淀物运至弃渣场。</w:t>
            </w:r>
          </w:p>
          <w:p w14:paraId="408C8781">
            <w:pPr>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right="0" w:rightChars="0" w:firstLine="0" w:firstLineChars="0"/>
              <w:jc w:val="both"/>
              <w:textAlignment w:val="auto"/>
              <w:rPr>
                <w:rFonts w:hint="default" w:ascii="Times New Roman" w:hAnsi="Times New Roman" w:eastAsia="宋体" w:cs="Times New Roman"/>
                <w:color w:val="000000" w:themeColor="text1"/>
                <w:kern w:val="2"/>
                <w:sz w:val="21"/>
                <w:szCs w:val="21"/>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w:t>
            </w:r>
            <w:r>
              <w:rPr>
                <w:rFonts w:hint="default" w:ascii="Times New Roman" w:hAnsi="Times New Roman" w:cs="Times New Roman"/>
                <w:color w:val="000000" w:themeColor="text1"/>
                <w:kern w:val="2"/>
                <w:sz w:val="21"/>
                <w:szCs w:val="21"/>
                <w:lang w:val="en-US" w:eastAsia="zh-CN" w:bidi="ar"/>
                <w14:textFill>
                  <w14:solidFill>
                    <w14:schemeClr w14:val="tx1"/>
                  </w14:solidFill>
                </w14:textFill>
              </w:rPr>
              <w:t>2</w:t>
            </w: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）尽量选用先进的设备、机械、以有效地减少跑、冒、滴、漏的数量及机械维修次数，从而减少含油污水的产生量。</w:t>
            </w:r>
          </w:p>
          <w:p w14:paraId="22323E04">
            <w:pPr>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right="0" w:rightChars="0" w:firstLine="0" w:firstLineChars="0"/>
              <w:jc w:val="both"/>
              <w:textAlignment w:val="auto"/>
              <w:rPr>
                <w:rFonts w:hint="default" w:ascii="Times New Roman" w:hAnsi="Times New Roman" w:eastAsia="宋体" w:cs="Times New Roman"/>
                <w:color w:val="000000" w:themeColor="text1"/>
                <w:kern w:val="2"/>
                <w:sz w:val="21"/>
                <w:szCs w:val="21"/>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w:t>
            </w:r>
            <w:r>
              <w:rPr>
                <w:rFonts w:hint="default" w:ascii="Times New Roman" w:hAnsi="Times New Roman" w:cs="Times New Roman"/>
                <w:color w:val="000000" w:themeColor="text1"/>
                <w:kern w:val="2"/>
                <w:sz w:val="21"/>
                <w:szCs w:val="21"/>
                <w:lang w:val="en-US" w:eastAsia="zh-CN" w:bidi="ar"/>
                <w14:textFill>
                  <w14:solidFill>
                    <w14:schemeClr w14:val="tx1"/>
                  </w14:solidFill>
                </w14:textFill>
              </w:rPr>
              <w:t>3</w:t>
            </w: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）机械、设备及运输车辆的维修保养依托周边汽车修理厂，不在项目区设置汽车修理及清洗场。</w:t>
            </w:r>
          </w:p>
          <w:p w14:paraId="0209A213">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both"/>
              <w:textAlignment w:val="auto"/>
              <w:outlineLvl w:val="9"/>
              <w:rPr>
                <w:rFonts w:hint="default" w:ascii="Times New Roman" w:hAnsi="Times New Roman" w:cs="Times New Roman"/>
                <w:color w:val="000000" w:themeColor="text1"/>
                <w:sz w:val="21"/>
                <w:szCs w:val="21"/>
                <w:shd w:val="clear" w:color="auto" w:fill="auto"/>
                <w14:textFill>
                  <w14:solidFill>
                    <w14:schemeClr w14:val="tx1"/>
                  </w14:solidFill>
                </w14:textFill>
              </w:rPr>
            </w:pPr>
            <w:r>
              <w:rPr>
                <w:rFonts w:hint="default" w:ascii="Times New Roman" w:hAnsi="Times New Roman" w:cs="Times New Roman"/>
                <w:color w:val="000000" w:themeColor="text1"/>
                <w:sz w:val="21"/>
                <w:szCs w:val="21"/>
                <w:shd w:val="clear" w:color="auto" w:fill="auto"/>
                <w14:textFill>
                  <w14:solidFill>
                    <w14:schemeClr w14:val="tx1"/>
                  </w14:solidFill>
                </w14:textFill>
              </w:rPr>
              <w:t>（</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4</w:t>
            </w:r>
            <w:r>
              <w:rPr>
                <w:rFonts w:hint="default" w:ascii="Times New Roman" w:hAnsi="Times New Roman" w:cs="Times New Roman"/>
                <w:color w:val="000000" w:themeColor="text1"/>
                <w:sz w:val="21"/>
                <w:szCs w:val="21"/>
                <w:shd w:val="clear" w:color="auto" w:fill="auto"/>
                <w14:textFill>
                  <w14:solidFill>
                    <w14:schemeClr w14:val="tx1"/>
                  </w14:solidFill>
                </w14:textFill>
              </w:rPr>
              <w:t>）施工单位对施工场地用水应严格管理，贯彻</w:t>
            </w:r>
            <w:r>
              <w:rPr>
                <w:rFonts w:hint="default" w:ascii="Times New Roman" w:hAnsi="Times New Roman" w:cs="Times New Roman"/>
                <w:color w:val="000000" w:themeColor="text1"/>
                <w:sz w:val="21"/>
                <w:szCs w:val="21"/>
                <w:shd w:val="clear" w:color="auto" w:fill="auto"/>
                <w:lang w:eastAsia="zh-CN"/>
                <w14:textFill>
                  <w14:solidFill>
                    <w14:schemeClr w14:val="tx1"/>
                  </w14:solidFill>
                </w14:textFill>
              </w:rPr>
              <w:t>“</w:t>
            </w:r>
            <w:r>
              <w:rPr>
                <w:rFonts w:hint="default" w:ascii="Times New Roman" w:hAnsi="Times New Roman" w:cs="Times New Roman"/>
                <w:color w:val="000000" w:themeColor="text1"/>
                <w:sz w:val="21"/>
                <w:szCs w:val="21"/>
                <w:shd w:val="clear" w:color="auto" w:fill="auto"/>
                <w14:textFill>
                  <w14:solidFill>
                    <w14:schemeClr w14:val="tx1"/>
                  </w14:solidFill>
                </w14:textFill>
              </w:rPr>
              <w:t>一水多用、重复利用、节约用水</w:t>
            </w:r>
            <w:r>
              <w:rPr>
                <w:rFonts w:hint="default" w:ascii="Times New Roman" w:hAnsi="Times New Roman" w:cs="Times New Roman"/>
                <w:color w:val="000000" w:themeColor="text1"/>
                <w:sz w:val="21"/>
                <w:szCs w:val="21"/>
                <w:shd w:val="clear" w:color="auto" w:fill="auto"/>
                <w:lang w:eastAsia="zh-CN"/>
                <w14:textFill>
                  <w14:solidFill>
                    <w14:schemeClr w14:val="tx1"/>
                  </w14:solidFill>
                </w14:textFill>
              </w:rPr>
              <w:t>”</w:t>
            </w:r>
            <w:r>
              <w:rPr>
                <w:rFonts w:hint="default" w:ascii="Times New Roman" w:hAnsi="Times New Roman" w:cs="Times New Roman"/>
                <w:color w:val="000000" w:themeColor="text1"/>
                <w:sz w:val="21"/>
                <w:szCs w:val="21"/>
                <w:shd w:val="clear" w:color="auto" w:fill="auto"/>
                <w14:textFill>
                  <w14:solidFill>
                    <w14:schemeClr w14:val="tx1"/>
                  </w14:solidFill>
                </w14:textFill>
              </w:rPr>
              <w:t>的原则，尽量减少废水的排放量，减轻废水排放对周围环境的影响。</w:t>
            </w:r>
          </w:p>
          <w:p w14:paraId="47FDC5E2">
            <w:pPr>
              <w:pStyle w:val="4"/>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left="0" w:leftChars="0" w:right="0" w:rightChars="0" w:firstLine="0" w:firstLineChars="0"/>
              <w:jc w:val="both"/>
              <w:textAlignment w:val="baseline"/>
              <w:rPr>
                <w:rFonts w:hint="default" w:ascii="Times New Roman" w:hAnsi="Times New Roman" w:eastAsia="宋体" w:cs="Times New Roman"/>
                <w:b w:val="0"/>
                <w:bCs w:val="0"/>
                <w:color w:val="000000" w:themeColor="text1"/>
                <w:kern w:val="2"/>
                <w:sz w:val="21"/>
                <w:szCs w:val="21"/>
                <w:vertAlign w:val="baseline"/>
                <w14:textFill>
                  <w14:solidFill>
                    <w14:schemeClr w14:val="tx1"/>
                  </w14:solidFill>
                </w14:textFill>
              </w:rPr>
            </w:pPr>
            <w:r>
              <w:rPr>
                <w:rFonts w:hint="eastAsia" w:cs="Times New Roman"/>
                <w:b w:val="0"/>
                <w:bCs w:val="0"/>
                <w:color w:val="000000" w:themeColor="text1"/>
                <w:kern w:val="2"/>
                <w:sz w:val="21"/>
                <w:szCs w:val="21"/>
                <w:vertAlign w:val="baseline"/>
                <w:lang w:val="en-US" w:eastAsia="zh-CN"/>
                <w14:textFill>
                  <w14:solidFill>
                    <w14:schemeClr w14:val="tx1"/>
                  </w14:solidFill>
                </w14:textFill>
              </w:rPr>
              <w:t>1</w:t>
            </w:r>
            <w:r>
              <w:rPr>
                <w:rFonts w:hint="default" w:ascii="Times New Roman" w:hAnsi="Times New Roman" w:eastAsia="宋体" w:cs="Times New Roman"/>
                <w:b w:val="0"/>
                <w:bCs w:val="0"/>
                <w:color w:val="000000" w:themeColor="text1"/>
                <w:kern w:val="2"/>
                <w:sz w:val="21"/>
                <w:szCs w:val="21"/>
                <w:vertAlign w:val="baseline"/>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kern w:val="2"/>
                <w:sz w:val="21"/>
                <w:szCs w:val="21"/>
                <w:vertAlign w:val="baseline"/>
                <w14:textFill>
                  <w14:solidFill>
                    <w14:schemeClr w14:val="tx1"/>
                  </w14:solidFill>
                </w14:textFill>
              </w:rPr>
              <w:t>施工生活污水处理措施</w:t>
            </w:r>
          </w:p>
          <w:p w14:paraId="7AFACDFC">
            <w:pPr>
              <w:pStyle w:val="18"/>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both"/>
              <w:textAlignment w:val="auto"/>
              <w:rPr>
                <w:rFonts w:hint="default" w:ascii="Times New Roman" w:hAnsi="Times New Roman" w:eastAsia="宋体" w:cs="Times New Roman"/>
                <w:spacing w:val="-16"/>
                <w:sz w:val="21"/>
                <w:szCs w:val="21"/>
                <w:lang w:val="en-US" w:eastAsia="zh-CN"/>
              </w:rPr>
            </w:pPr>
            <w:r>
              <w:rPr>
                <w:rFonts w:hint="default" w:ascii="Times New Roman" w:hAnsi="Times New Roman" w:cs="Times New Roman"/>
                <w:color w:val="000000" w:themeColor="text1"/>
                <w:sz w:val="21"/>
                <w:szCs w:val="21"/>
                <w:shd w:val="clear" w:color="auto" w:fill="auto"/>
                <w14:textFill>
                  <w14:solidFill>
                    <w14:schemeClr w14:val="tx1"/>
                  </w14:solidFill>
                </w14:textFill>
              </w:rPr>
              <w:t>施工方</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在施工期租赁皮山农场场部已有房屋用做生活区，</w:t>
            </w:r>
            <w:r>
              <w:rPr>
                <w:rFonts w:hint="default" w:ascii="Times New Roman" w:hAnsi="Times New Roman" w:cs="Times New Roman"/>
                <w:color w:val="000000" w:themeColor="text1"/>
                <w:sz w:val="21"/>
                <w:szCs w:val="21"/>
                <w:shd w:val="clear" w:color="auto" w:fill="auto"/>
                <w14:textFill>
                  <w14:solidFill>
                    <w14:schemeClr w14:val="tx1"/>
                  </w14:solidFill>
                </w14:textFill>
              </w:rPr>
              <w:t>产生的生活污水</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排入污水管网中，最终进入皮山农场污水处理厂处理</w:t>
            </w:r>
            <w:r>
              <w:rPr>
                <w:rFonts w:hint="default" w:ascii="Times New Roman" w:hAnsi="Times New Roman" w:cs="Times New Roman"/>
                <w:color w:val="000000" w:themeColor="text1"/>
                <w:sz w:val="21"/>
                <w:szCs w:val="21"/>
                <w:shd w:val="clear" w:color="auto" w:fill="auto"/>
                <w:lang w:eastAsia="zh-CN"/>
                <w14:textFill>
                  <w14:solidFill>
                    <w14:schemeClr w14:val="tx1"/>
                  </w14:solidFill>
                </w14:textFill>
              </w:rPr>
              <w:t>。</w:t>
            </w:r>
          </w:p>
        </w:tc>
        <w:tc>
          <w:tcPr>
            <w:tcW w:w="2550" w:type="dxa"/>
            <w:vAlign w:val="center"/>
          </w:tcPr>
          <w:p w14:paraId="58C49043">
            <w:pPr>
              <w:keepNext w:val="0"/>
              <w:keepLines w:val="0"/>
              <w:pageBreakBefore w:val="0"/>
              <w:widowControl/>
              <w:numPr>
                <w:ilvl w:val="0"/>
                <w:numId w:val="0"/>
              </w:numPr>
              <w:kinsoku/>
              <w:wordWrap/>
              <w:overflowPunct/>
              <w:topLinePunct w:val="0"/>
              <w:autoSpaceDE/>
              <w:autoSpaceDN/>
              <w:bidi w:val="0"/>
              <w:adjustRightInd/>
              <w:snapToGrid/>
              <w:spacing w:line="240" w:lineRule="auto"/>
              <w:ind w:right="0" w:rightChars="0" w:firstLine="0" w:firstLineChars="0"/>
              <w:jc w:val="both"/>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经调查，本项目的施工废水主要为</w:t>
            </w:r>
            <w:r>
              <w:rPr>
                <w:rFonts w:hint="default" w:ascii="Times New Roman" w:hAnsi="Times New Roman" w:cs="Times New Roman"/>
                <w:color w:val="000000" w:themeColor="text1"/>
                <w:sz w:val="21"/>
                <w:szCs w:val="21"/>
                <w14:textFill>
                  <w14:solidFill>
                    <w14:schemeClr w14:val="tx1"/>
                  </w14:solidFill>
                </w14:textFill>
              </w:rPr>
              <w:t>施工废水</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管道试压废水以及</w:t>
            </w:r>
            <w:r>
              <w:rPr>
                <w:rFonts w:hint="default" w:ascii="Times New Roman" w:hAnsi="Times New Roman" w:cs="Times New Roman"/>
                <w:color w:val="000000" w:themeColor="text1"/>
                <w:sz w:val="21"/>
                <w:szCs w:val="21"/>
                <w14:textFill>
                  <w14:solidFill>
                    <w14:schemeClr w14:val="tx1"/>
                  </w14:solidFill>
                </w14:textFill>
              </w:rPr>
              <w:t>施工人员生活废水</w:t>
            </w:r>
            <w:r>
              <w:rPr>
                <w:rFonts w:hint="default" w:ascii="Times New Roman" w:hAnsi="Times New Roman" w:eastAsia="宋体" w:cs="Times New Roman"/>
                <w:spacing w:val="-16"/>
                <w:sz w:val="21"/>
                <w:szCs w:val="21"/>
                <w:lang w:val="en-US" w:eastAsia="zh-CN"/>
              </w:rPr>
              <w:t>等，</w:t>
            </w:r>
            <w:r>
              <w:rPr>
                <w:rFonts w:hint="default" w:ascii="Times New Roman" w:hAnsi="Times New Roman" w:cs="Times New Roman"/>
                <w:color w:val="000000" w:themeColor="text1"/>
                <w:sz w:val="21"/>
                <w:szCs w:val="21"/>
                <w14:textFill>
                  <w14:solidFill>
                    <w14:schemeClr w14:val="tx1"/>
                  </w14:solidFill>
                </w14:textFill>
              </w:rPr>
              <w:t>施工废水</w:t>
            </w:r>
            <w:r>
              <w:rPr>
                <w:rFonts w:hint="default" w:ascii="Times New Roman" w:hAnsi="Times New Roman" w:eastAsia="宋体" w:cs="Times New Roman"/>
                <w:spacing w:val="-16"/>
                <w:sz w:val="21"/>
                <w:szCs w:val="21"/>
                <w:lang w:val="en-US" w:eastAsia="zh-CN"/>
              </w:rPr>
              <w:t>经沉淀池处理后，</w:t>
            </w:r>
            <w:r>
              <w:rPr>
                <w:rFonts w:hint="default" w:ascii="Times New Roman" w:hAnsi="Times New Roman" w:cs="Times New Roman"/>
                <w:color w:val="000000" w:themeColor="text1"/>
                <w:sz w:val="21"/>
                <w:szCs w:val="21"/>
                <w:lang w:val="en-US" w:eastAsia="zh-CN"/>
                <w14:textFill>
                  <w14:solidFill>
                    <w14:schemeClr w14:val="tx1"/>
                  </w14:solidFill>
                </w14:textFill>
              </w:rPr>
              <w:t>管道试压废水</w:t>
            </w:r>
            <w:r>
              <w:rPr>
                <w:rFonts w:hint="default" w:ascii="Times New Roman" w:hAnsi="Times New Roman" w:eastAsia="宋体" w:cs="Times New Roman"/>
                <w:spacing w:val="-16"/>
                <w:sz w:val="21"/>
                <w:szCs w:val="21"/>
                <w:lang w:val="en-US" w:eastAsia="zh-CN"/>
              </w:rPr>
              <w:t>回用于场地洒水抑尘，不外排；</w:t>
            </w:r>
            <w:r>
              <w:rPr>
                <w:rFonts w:hint="default" w:ascii="Times New Roman" w:hAnsi="Times New Roman" w:cs="Times New Roman"/>
                <w:color w:val="000000" w:themeColor="text1"/>
                <w:sz w:val="21"/>
                <w:szCs w:val="21"/>
                <w:shd w:val="clear" w:color="auto" w:fill="auto"/>
                <w14:textFill>
                  <w14:solidFill>
                    <w14:schemeClr w14:val="tx1"/>
                  </w14:solidFill>
                </w14:textFill>
              </w:rPr>
              <w:t>生活污水</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排入污水管网中，最终进入皮山农场污水处理厂处理</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施工现场</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已</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平整；临时工程已经拆除</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p>
        </w:tc>
        <w:tc>
          <w:tcPr>
            <w:tcW w:w="1110" w:type="dxa"/>
            <w:vAlign w:val="center"/>
          </w:tcPr>
          <w:p w14:paraId="11B5198A">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已落实</w:t>
            </w:r>
          </w:p>
        </w:tc>
      </w:tr>
      <w:tr w14:paraId="7767DA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4" w:hRule="atLeast"/>
          <w:jc w:val="center"/>
        </w:trPr>
        <w:tc>
          <w:tcPr>
            <w:tcW w:w="563" w:type="dxa"/>
            <w:vMerge w:val="continue"/>
            <w:textDirection w:val="tbRlV"/>
            <w:vAlign w:val="center"/>
          </w:tcPr>
          <w:p w14:paraId="3EA7CF63">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extDirection w:val="tbRlV"/>
            <w:vAlign w:val="center"/>
          </w:tcPr>
          <w:p w14:paraId="2F476783">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4110" w:type="dxa"/>
            <w:vAlign w:val="center"/>
          </w:tcPr>
          <w:p w14:paraId="3A2F930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（1）</w:t>
            </w:r>
            <w:r>
              <w:rPr>
                <w:rFonts w:hint="default" w:ascii="Times New Roman" w:hAnsi="Times New Roman" w:cs="Times New Roman"/>
                <w:color w:val="000000" w:themeColor="text1"/>
                <w:sz w:val="21"/>
                <w:szCs w:val="21"/>
                <w:highlight w:val="none"/>
                <w14:textFill>
                  <w14:solidFill>
                    <w14:schemeClr w14:val="tx1"/>
                  </w14:solidFill>
                </w14:textFill>
              </w:rPr>
              <w:t>合理安排施工时间，尽量缩短施工期；</w:t>
            </w:r>
          </w:p>
          <w:p w14:paraId="7C5179B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施工设备选型时，在满足施工需要的前提下，尽可能选取噪声低、振动小、能耗小的先进设备，并避免长时间使用高噪声设备；</w:t>
            </w:r>
          </w:p>
          <w:p w14:paraId="4DBC8AE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加强施工设备的维护保养，发生故障应及时维修，保持润滑、紧固各部件，减少运行振动噪声；施工机械设备应安放稳固，并与地面保持良好接触，有条件的应使用减振机座。加强施工管理、文明施工，杜绝施工机械在运行过程中因维护不当而产生的其他噪声；</w:t>
            </w:r>
          </w:p>
          <w:p w14:paraId="5DE370C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（4）</w:t>
            </w:r>
            <w:r>
              <w:rPr>
                <w:rFonts w:hint="default" w:ascii="Times New Roman" w:hAnsi="Times New Roman" w:cs="Times New Roman"/>
                <w:color w:val="000000" w:themeColor="text1"/>
                <w:kern w:val="24"/>
                <w:sz w:val="21"/>
                <w:szCs w:val="21"/>
                <w:highlight w:val="none"/>
                <w:lang w:val="zh-CN"/>
                <w14:textFill>
                  <w14:solidFill>
                    <w14:schemeClr w14:val="tx1"/>
                  </w14:solidFill>
                </w14:textFill>
              </w:rPr>
              <w:t>加强对现场工作人员进行培训，严格按操作规范使用各类机械设备</w:t>
            </w:r>
            <w:r>
              <w:rPr>
                <w:rFonts w:hint="default" w:ascii="Times New Roman" w:hAnsi="Times New Roman" w:cs="Times New Roman"/>
                <w:color w:val="000000" w:themeColor="text1"/>
                <w:sz w:val="21"/>
                <w:szCs w:val="21"/>
                <w:highlight w:val="none"/>
                <w14:textFill>
                  <w14:solidFill>
                    <w14:schemeClr w14:val="tx1"/>
                  </w14:solidFill>
                </w14:textFill>
              </w:rPr>
              <w:t>；</w:t>
            </w:r>
          </w:p>
          <w:p w14:paraId="5AE4BBF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（5）</w:t>
            </w:r>
            <w:r>
              <w:rPr>
                <w:rFonts w:hint="default" w:ascii="Times New Roman" w:hAnsi="Times New Roman" w:cs="Times New Roman"/>
                <w:color w:val="000000" w:themeColor="text1"/>
                <w:sz w:val="21"/>
                <w:szCs w:val="21"/>
                <w:highlight w:val="none"/>
                <w14:textFill>
                  <w14:solidFill>
                    <w14:schemeClr w14:val="tx1"/>
                  </w14:solidFill>
                </w14:textFill>
              </w:rPr>
              <w:t>为保护施工人员的健康，施工单位要合理安排工作人员，轮流操作高强度噪声的施工机械，减少接触高噪声施工机械的时间，或穿插安排操作高噪声和低噪声施</w:t>
            </w:r>
            <w:r>
              <w:rPr>
                <w:rFonts w:hint="default" w:ascii="Times New Roman" w:hAnsi="Times New Roman" w:cs="Times New Roman"/>
                <w:color w:val="000000" w:themeColor="text1"/>
                <w:sz w:val="21"/>
                <w:szCs w:val="21"/>
                <w14:textFill>
                  <w14:solidFill>
                    <w14:schemeClr w14:val="tx1"/>
                  </w14:solidFill>
                </w14:textFill>
              </w:rPr>
              <w:t>工机械的工作。加强对施工人员的个人防护，对高噪声机械设备附近工作的施工人员，可采取配备耳塞、耳机、防声头盔等防噪用具</w:t>
            </w:r>
            <w:r>
              <w:rPr>
                <w:rFonts w:hint="default" w:ascii="Times New Roman" w:hAnsi="Times New Roman" w:cs="Times New Roman"/>
                <w:color w:val="000000" w:themeColor="text1"/>
                <w:sz w:val="21"/>
                <w:szCs w:val="21"/>
                <w:lang w:eastAsia="zh-CN"/>
                <w14:textFill>
                  <w14:solidFill>
                    <w14:schemeClr w14:val="tx1"/>
                  </w14:solidFill>
                </w14:textFill>
              </w:rPr>
              <w:t>；</w:t>
            </w:r>
          </w:p>
          <w:p w14:paraId="201436C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snapToGrid w:val="0"/>
                <w:color w:val="000000" w:themeColor="text1"/>
                <w:kern w:val="0"/>
                <w:sz w:val="21"/>
                <w:szCs w:val="21"/>
                <w14:textFill>
                  <w14:solidFill>
                    <w14:schemeClr w14:val="tx1"/>
                  </w14:solidFill>
                </w14:textFill>
              </w:rPr>
              <w:t>（6）</w:t>
            </w:r>
            <w:r>
              <w:rPr>
                <w:rFonts w:hint="default" w:ascii="Times New Roman" w:hAnsi="Times New Roman" w:cs="Times New Roman"/>
                <w:color w:val="000000" w:themeColor="text1"/>
                <w:sz w:val="21"/>
                <w:szCs w:val="21"/>
                <w14:textFill>
                  <w14:solidFill>
                    <w14:schemeClr w14:val="tx1"/>
                  </w14:solidFill>
                </w14:textFill>
              </w:rPr>
              <w:t>加强施工期间道路交通的管理，保持道路畅通也是减缓施工期噪声影响的重要手段</w:t>
            </w:r>
            <w:r>
              <w:rPr>
                <w:rFonts w:hint="default" w:ascii="Times New Roman" w:hAnsi="Times New Roman" w:cs="Times New Roman"/>
                <w:color w:val="000000" w:themeColor="text1"/>
                <w:sz w:val="21"/>
                <w:szCs w:val="21"/>
                <w:lang w:eastAsia="zh-CN"/>
                <w14:textFill>
                  <w14:solidFill>
                    <w14:schemeClr w14:val="tx1"/>
                  </w14:solidFill>
                </w14:textFill>
              </w:rPr>
              <w:t>；</w:t>
            </w:r>
          </w:p>
          <w:p w14:paraId="45EF846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7）</w:t>
            </w:r>
            <w:r>
              <w:rPr>
                <w:rFonts w:hint="default" w:ascii="Times New Roman" w:hAnsi="Times New Roman" w:cs="Times New Roman"/>
                <w:b w:val="0"/>
                <w:bCs w:val="0"/>
                <w:color w:val="000000" w:themeColor="text1"/>
                <w:sz w:val="21"/>
                <w:szCs w:val="21"/>
                <w14:textFill>
                  <w14:solidFill>
                    <w14:schemeClr w14:val="tx1"/>
                  </w14:solidFill>
                </w14:textFill>
              </w:rPr>
              <w:t>施工期间在施工场地周围采用移动式声屏障，以尽量降低施工噪声对周边居民的影响</w:t>
            </w:r>
            <w:r>
              <w:rPr>
                <w:rFonts w:hint="default" w:ascii="Times New Roman" w:hAnsi="Times New Roman" w:cs="Times New Roman"/>
                <w:b w:val="0"/>
                <w:bCs w:val="0"/>
                <w:color w:val="000000" w:themeColor="text1"/>
                <w:sz w:val="21"/>
                <w:szCs w:val="21"/>
                <w:lang w:eastAsia="zh-CN"/>
                <w14:textFill>
                  <w14:solidFill>
                    <w14:schemeClr w14:val="tx1"/>
                  </w14:solidFill>
                </w14:textFill>
              </w:rPr>
              <w:t>。</w:t>
            </w:r>
            <w:r>
              <w:rPr>
                <w:rFonts w:hint="default" w:ascii="Times New Roman" w:hAnsi="Times New Roman" w:eastAsia="宋体" w:cs="Times New Roman"/>
                <w:spacing w:val="-16"/>
                <w:sz w:val="21"/>
                <w:szCs w:val="21"/>
                <w:lang w:val="en-US" w:eastAsia="zh-CN"/>
              </w:rPr>
              <w:t>满足《建筑施工场界环境噪声排放标准》（GB12523-2011）规定的施工场界噪声限值。</w:t>
            </w:r>
          </w:p>
        </w:tc>
        <w:tc>
          <w:tcPr>
            <w:tcW w:w="2550" w:type="dxa"/>
            <w:vAlign w:val="center"/>
          </w:tcPr>
          <w:p w14:paraId="0D873932">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经调查，施工期合理安排了施工时间，严格按照规范进行操作；采用了低噪声施工机械和设备，对高噪声设施采取了减振、隔声的措施；并且定期对设备进行维修。</w:t>
            </w:r>
            <w:r>
              <w:rPr>
                <w:rFonts w:hint="eastAsia" w:ascii="Times New Roman" w:hAnsi="Times New Roman" w:eastAsia="宋体" w:cs="Times New Roman"/>
                <w:spacing w:val="-16"/>
                <w:sz w:val="21"/>
                <w:szCs w:val="21"/>
                <w:lang w:val="en-US" w:eastAsia="zh-CN"/>
              </w:rPr>
              <w:t>没</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有噪声扰民投诉现象</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spacing w:val="-16"/>
                <w:sz w:val="21"/>
                <w:szCs w:val="21"/>
                <w:lang w:val="en-US" w:eastAsia="zh-CN"/>
              </w:rPr>
              <w:t>满足《建筑施工场界环境噪声排放标准》（GB12523-2011）规定的施工场界噪声限值。</w:t>
            </w:r>
          </w:p>
        </w:tc>
        <w:tc>
          <w:tcPr>
            <w:tcW w:w="1110" w:type="dxa"/>
            <w:vAlign w:val="center"/>
          </w:tcPr>
          <w:p w14:paraId="49F2FB90">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0565AA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563" w:type="dxa"/>
            <w:vMerge w:val="continue"/>
            <w:textDirection w:val="tbRlV"/>
            <w:vAlign w:val="center"/>
          </w:tcPr>
          <w:p w14:paraId="710EAF88">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extDirection w:val="tbRlV"/>
            <w:vAlign w:val="center"/>
          </w:tcPr>
          <w:p w14:paraId="6716078A">
            <w:pPr>
              <w:keepNext w:val="0"/>
              <w:keepLines w:val="0"/>
              <w:pageBreakBefore w:val="0"/>
              <w:widowControl/>
              <w:kinsoku/>
              <w:wordWrap/>
              <w:overflowPunct/>
              <w:topLinePunct w:val="0"/>
              <w:autoSpaceDE/>
              <w:autoSpaceDN/>
              <w:bidi w:val="0"/>
              <w:adjustRightInd w:val="0"/>
              <w:snapToGrid w:val="0"/>
              <w:spacing w:line="21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4110" w:type="dxa"/>
            <w:vAlign w:val="center"/>
          </w:tcPr>
          <w:p w14:paraId="1FCCC958">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弃土弃渣施工期间采取临时性防护措施，布设挡墙，施工结束后回填至弃土(渣)场</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设置截排水措施，在弃土(渣)场上游设置截水沟，周围和下游设置排水沟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在渣场内侧修建横向排水沟，末端接入土(渣)场周边截水沟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施工结束后，遵循</w:t>
            </w:r>
            <w:r>
              <w:rPr>
                <w:rFonts w:hint="eastAsia" w:ascii="宋体" w:hAnsi="宋体" w:eastAsia="宋体" w:cs="宋体"/>
                <w:spacing w:val="-16"/>
                <w:sz w:val="21"/>
                <w:szCs w:val="21"/>
                <w:lang w:val="en-US" w:eastAsia="zh-CN"/>
              </w:rPr>
              <w:t>“挖填平衡”</w:t>
            </w:r>
            <w:r>
              <w:rPr>
                <w:rFonts w:hint="default" w:ascii="Times New Roman" w:hAnsi="Times New Roman" w:eastAsia="宋体" w:cs="Times New Roman"/>
                <w:spacing w:val="-16"/>
                <w:sz w:val="21"/>
                <w:szCs w:val="21"/>
                <w:lang w:val="en-US" w:eastAsia="zh-CN"/>
              </w:rPr>
              <w:t>的设计原则，对弃土(渣)场堆渣平台、坡面进行土地整治。</w:t>
            </w:r>
          </w:p>
        </w:tc>
        <w:tc>
          <w:tcPr>
            <w:tcW w:w="2550" w:type="dxa"/>
            <w:vAlign w:val="center"/>
          </w:tcPr>
          <w:p w14:paraId="2082A92F">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经调查，本工程固体废物主要为施工开挖的弃土（渣）、建筑垃圾和生活垃圾。弃土弃渣施工期间采取临时性防护措施，布设挡墙，施工结束后回填至弃土(渣)场</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设置截排水措施，在弃土(渣)场上游设置截水沟，周围和下游设置排水沟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在渣场内侧修建横向排水沟，末端接入土(渣)场周边截水沟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施工结束后，遵循“挖填平衡”的设计原则，对弃土(渣)场堆渣平台、坡面进行土地整治，</w:t>
            </w:r>
            <w:r>
              <w:rPr>
                <w:rFonts w:hint="eastAsia" w:ascii="Times New Roman" w:hAnsi="Times New Roman" w:eastAsia="宋体" w:cs="Times New Roman"/>
                <w:spacing w:val="-16"/>
                <w:sz w:val="21"/>
                <w:szCs w:val="21"/>
                <w:lang w:val="en-US" w:eastAsia="zh-CN"/>
              </w:rPr>
              <w:t>现场无遗留弃</w:t>
            </w:r>
            <w:r>
              <w:rPr>
                <w:rFonts w:hint="default" w:ascii="Times New Roman" w:hAnsi="Times New Roman" w:eastAsia="宋体" w:cs="Times New Roman"/>
                <w:spacing w:val="-16"/>
                <w:sz w:val="21"/>
                <w:szCs w:val="21"/>
                <w:lang w:val="en-US" w:eastAsia="zh-CN"/>
              </w:rPr>
              <w:t>。</w:t>
            </w:r>
          </w:p>
        </w:tc>
        <w:tc>
          <w:tcPr>
            <w:tcW w:w="1110" w:type="dxa"/>
            <w:vAlign w:val="center"/>
          </w:tcPr>
          <w:p w14:paraId="5B0CEBA7">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45FFBA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tcBorders>
              <w:bottom w:val="single" w:color="auto" w:sz="4" w:space="0"/>
            </w:tcBorders>
            <w:vAlign w:val="center"/>
          </w:tcPr>
          <w:p w14:paraId="2A8F40D3">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cBorders>
              <w:bottom w:val="single" w:color="auto" w:sz="4" w:space="0"/>
            </w:tcBorders>
            <w:textDirection w:val="tbRlV"/>
            <w:vAlign w:val="center"/>
          </w:tcPr>
          <w:p w14:paraId="7DFE4853">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1"/>
                <w:szCs w:val="21"/>
              </w:rPr>
              <w:t>生 态 环 境</w:t>
            </w:r>
          </w:p>
        </w:tc>
        <w:tc>
          <w:tcPr>
            <w:tcW w:w="4110" w:type="dxa"/>
            <w:tcBorders>
              <w:bottom w:val="single" w:color="auto" w:sz="4" w:space="0"/>
            </w:tcBorders>
            <w:vAlign w:val="center"/>
          </w:tcPr>
          <w:p w14:paraId="631285EF">
            <w:pPr>
              <w:pStyle w:val="19"/>
              <w:keepNext w:val="0"/>
              <w:keepLines w:val="0"/>
              <w:pageBreakBefore w:val="0"/>
              <w:widowControl/>
              <w:kinsoku/>
              <w:wordWrap/>
              <w:overflowPunct/>
              <w:topLinePunct w:val="0"/>
              <w:autoSpaceDE/>
              <w:autoSpaceDN/>
              <w:bidi w:val="0"/>
              <w:spacing w:after="0" w:afterLines="0" w:line="240" w:lineRule="auto"/>
              <w:ind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z w:val="21"/>
                <w:szCs w:val="21"/>
                <w:lang w:val="en-US" w:eastAsia="zh-CN"/>
              </w:rPr>
              <w:t>施工期间划定施工区域，强化施工管理，增强施工人员的环境保护意识，严格控制施工人员、施工机械的范围，严禁随意扩大扰动范围</w:t>
            </w:r>
            <w:r>
              <w:rPr>
                <w:rFonts w:hint="eastAsia" w:eastAsia="宋体" w:cs="Times New Roman"/>
                <w:sz w:val="21"/>
                <w:szCs w:val="21"/>
                <w:lang w:val="en-US" w:eastAsia="zh-CN"/>
              </w:rPr>
              <w:t>；</w:t>
            </w:r>
            <w:r>
              <w:rPr>
                <w:rFonts w:hint="default" w:ascii="Times New Roman" w:hAnsi="Times New Roman" w:eastAsia="宋体" w:cs="Times New Roman"/>
                <w:sz w:val="21"/>
                <w:szCs w:val="21"/>
                <w:lang w:val="en-US" w:eastAsia="zh-CN"/>
              </w:rPr>
              <w:t>施工作业结束后，及时平整各类施工迹地，恢复原有地貌，防止新增水土流失。</w:t>
            </w:r>
          </w:p>
        </w:tc>
        <w:tc>
          <w:tcPr>
            <w:tcW w:w="2550" w:type="dxa"/>
            <w:tcBorders>
              <w:bottom w:val="single" w:color="auto" w:sz="4" w:space="0"/>
            </w:tcBorders>
            <w:vAlign w:val="center"/>
          </w:tcPr>
          <w:p w14:paraId="5008369E">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在建设过程中，加强对施工机械和人员的管理，合理优化施工场地的布置，减少活动范围，规定施工车辆及人员进出场地的路线；对废弃土料地平整覆盖，植被绿化；固体废物处置妥当，未随意乱排、乱丢。</w:t>
            </w:r>
          </w:p>
          <w:p w14:paraId="35260D04">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在项目区设有栅栏和沙障，对临时堆土也采用了防尘网苫盖，防治水土流失。</w:t>
            </w:r>
          </w:p>
        </w:tc>
        <w:tc>
          <w:tcPr>
            <w:tcW w:w="1110" w:type="dxa"/>
            <w:tcBorders>
              <w:bottom w:val="single" w:color="auto" w:sz="4" w:space="0"/>
            </w:tcBorders>
            <w:vAlign w:val="center"/>
          </w:tcPr>
          <w:p w14:paraId="5595EDE6">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78CD92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restart"/>
            <w:vAlign w:val="center"/>
          </w:tcPr>
          <w:p w14:paraId="3591468E">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r>
              <w:rPr>
                <w:rFonts w:hint="default" w:ascii="Times New Roman" w:hAnsi="Times New Roman" w:eastAsia="宋体" w:cs="Times New Roman"/>
                <w:b/>
                <w:bCs/>
                <w:sz w:val="21"/>
                <w:lang w:val="en-US" w:eastAsia="zh-CN"/>
              </w:rPr>
              <w:t>运</w:t>
            </w:r>
          </w:p>
          <w:p w14:paraId="74FCD391">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r>
              <w:rPr>
                <w:rFonts w:hint="default" w:ascii="Times New Roman" w:hAnsi="Times New Roman" w:eastAsia="宋体" w:cs="Times New Roman"/>
                <w:b/>
                <w:bCs/>
                <w:sz w:val="21"/>
                <w:lang w:val="en-US" w:eastAsia="zh-CN"/>
              </w:rPr>
              <w:t>营</w:t>
            </w:r>
          </w:p>
          <w:p w14:paraId="295559B0">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r>
              <w:rPr>
                <w:rFonts w:hint="default" w:ascii="Times New Roman" w:hAnsi="Times New Roman" w:eastAsia="宋体" w:cs="Times New Roman"/>
                <w:b/>
                <w:bCs/>
                <w:sz w:val="21"/>
                <w:lang w:val="en-US" w:eastAsia="zh-CN"/>
              </w:rPr>
              <w:t>期</w:t>
            </w:r>
          </w:p>
        </w:tc>
        <w:tc>
          <w:tcPr>
            <w:tcW w:w="613" w:type="dxa"/>
            <w:textDirection w:val="tbRlV"/>
            <w:vAlign w:val="center"/>
          </w:tcPr>
          <w:p w14:paraId="4EF2B530">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8"/>
                <w:sz w:val="21"/>
                <w:szCs w:val="21"/>
                <w:lang w:val="en-US" w:eastAsia="zh-CN"/>
              </w:rPr>
              <w:t>生态环境</w:t>
            </w:r>
          </w:p>
        </w:tc>
        <w:tc>
          <w:tcPr>
            <w:tcW w:w="4110" w:type="dxa"/>
            <w:vAlign w:val="center"/>
          </w:tcPr>
          <w:p w14:paraId="70A6179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pacing w:val="-16"/>
                <w:sz w:val="21"/>
                <w:szCs w:val="21"/>
                <w:lang w:val="en-US" w:eastAsia="zh-CN"/>
              </w:rPr>
              <w:t>对临时占地范围恢复的植被及土壤进行管理</w:t>
            </w:r>
            <w:r>
              <w:rPr>
                <w:rFonts w:hint="eastAsia" w:ascii="Times New Roman" w:hAnsi="Times New Roman" w:eastAsia="宋体" w:cs="Times New Roman"/>
                <w:spacing w:val="-16"/>
                <w:sz w:val="21"/>
                <w:szCs w:val="21"/>
                <w:lang w:val="en-US" w:eastAsia="zh-CN"/>
              </w:rPr>
              <w:t>。</w:t>
            </w:r>
          </w:p>
        </w:tc>
        <w:tc>
          <w:tcPr>
            <w:tcW w:w="2550" w:type="dxa"/>
            <w:vAlign w:val="center"/>
          </w:tcPr>
          <w:p w14:paraId="5F993C9F">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firstLine="0" w:firstLineChars="0"/>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pacing w:val="-16"/>
                <w:sz w:val="21"/>
                <w:szCs w:val="21"/>
                <w:lang w:val="en-US" w:eastAsia="zh-CN"/>
              </w:rPr>
              <w:t>项目建成后，在水库四周进行围挡，防止无关人员进入，并加强对水库生态环境的管理、保护、巡护工作，</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对临时占地范围恢复的植被及土壤</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已</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进行管理</w:t>
            </w:r>
            <w:r>
              <w:rPr>
                <w:rFonts w:hint="default" w:ascii="Times New Roman" w:hAnsi="Times New Roman" w:eastAsia="宋体" w:cs="Times New Roman"/>
                <w:spacing w:val="-16"/>
                <w:sz w:val="21"/>
                <w:szCs w:val="21"/>
                <w:lang w:val="en-US" w:eastAsia="zh-CN"/>
              </w:rPr>
              <w:t>。</w:t>
            </w:r>
          </w:p>
        </w:tc>
        <w:tc>
          <w:tcPr>
            <w:tcW w:w="1110" w:type="dxa"/>
            <w:vAlign w:val="center"/>
          </w:tcPr>
          <w:p w14:paraId="5E6BC875">
            <w:pPr>
              <w:keepNext w:val="0"/>
              <w:keepLines w:val="0"/>
              <w:pageBreakBefore w:val="0"/>
              <w:widowControl/>
              <w:kinsoku/>
              <w:wordWrap/>
              <w:overflowPunct/>
              <w:topLinePunct w:val="0"/>
              <w:autoSpaceDE/>
              <w:autoSpaceDN/>
              <w:bidi w:val="0"/>
              <w:adjustRightInd w:val="0"/>
              <w:snapToGrid w:val="0"/>
              <w:spacing w:line="221" w:lineRule="auto"/>
              <w:ind w:left="0" w:leftChars="0"/>
              <w:textAlignment w:val="baseline"/>
              <w:rPr>
                <w:rFonts w:hint="default" w:ascii="Times New Roman" w:hAnsi="Times New Roman" w:eastAsia="宋体" w:cs="Times New Roman"/>
                <w:snapToGrid w:val="0"/>
                <w:color w:val="000000"/>
                <w:kern w:val="0"/>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1F3B91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72" w:hRule="atLeast"/>
          <w:jc w:val="center"/>
        </w:trPr>
        <w:tc>
          <w:tcPr>
            <w:tcW w:w="563" w:type="dxa"/>
            <w:vMerge w:val="continue"/>
            <w:vAlign w:val="center"/>
          </w:tcPr>
          <w:p w14:paraId="03AEF9EB">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p>
        </w:tc>
        <w:tc>
          <w:tcPr>
            <w:tcW w:w="613" w:type="dxa"/>
            <w:tcBorders>
              <w:bottom w:val="single" w:color="auto" w:sz="4" w:space="0"/>
            </w:tcBorders>
            <w:textDirection w:val="tbRlV"/>
            <w:vAlign w:val="center"/>
          </w:tcPr>
          <w:p w14:paraId="502C276B">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pacing w:val="-20"/>
                <w:sz w:val="21"/>
                <w:szCs w:val="21"/>
              </w:rPr>
            </w:pPr>
            <w:r>
              <w:rPr>
                <w:rFonts w:hint="default" w:ascii="Times New Roman" w:hAnsi="Times New Roman" w:eastAsia="宋体" w:cs="Times New Roman"/>
                <w:spacing w:val="-17"/>
                <w:sz w:val="21"/>
                <w:szCs w:val="21"/>
              </w:rPr>
              <w:t>水 环 境</w:t>
            </w:r>
          </w:p>
        </w:tc>
        <w:tc>
          <w:tcPr>
            <w:tcW w:w="4110" w:type="dxa"/>
            <w:tcBorders>
              <w:bottom w:val="single" w:color="auto" w:sz="4" w:space="0"/>
            </w:tcBorders>
            <w:vAlign w:val="center"/>
          </w:tcPr>
          <w:p w14:paraId="6E391DA0">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val="en-US" w:eastAsia="zh-CN"/>
              </w:rPr>
              <w:t>采取合理的地下水防渗、漏措施，防治地下水、土壤污染。</w:t>
            </w:r>
          </w:p>
        </w:tc>
        <w:tc>
          <w:tcPr>
            <w:tcW w:w="2550" w:type="dxa"/>
            <w:tcBorders>
              <w:bottom w:val="single" w:color="auto" w:sz="4" w:space="0"/>
            </w:tcBorders>
            <w:vAlign w:val="center"/>
          </w:tcPr>
          <w:p w14:paraId="4B9BCDEE">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spacing w:val="-16"/>
                <w:sz w:val="21"/>
                <w:szCs w:val="21"/>
                <w:lang w:val="en-US" w:eastAsia="zh-CN"/>
              </w:rPr>
            </w:pPr>
            <w:r>
              <w:rPr>
                <w:rFonts w:hint="eastAsia" w:ascii="宋体" w:hAnsi="宋体" w:eastAsia="宋体" w:cs="宋体"/>
                <w:sz w:val="21"/>
                <w:szCs w:val="21"/>
                <w:lang w:val="en-US" w:eastAsia="zh-CN"/>
              </w:rPr>
              <w:t>采取了合理的地下水防渗、漏措施，防治地下水、土壤污染。</w:t>
            </w:r>
          </w:p>
        </w:tc>
        <w:tc>
          <w:tcPr>
            <w:tcW w:w="1110" w:type="dxa"/>
            <w:tcBorders>
              <w:bottom w:val="single" w:color="auto" w:sz="4" w:space="0"/>
            </w:tcBorders>
            <w:vAlign w:val="center"/>
          </w:tcPr>
          <w:p w14:paraId="372B47E9">
            <w:pPr>
              <w:keepNext w:val="0"/>
              <w:keepLines w:val="0"/>
              <w:pageBreakBefore w:val="0"/>
              <w:widowControl/>
              <w:kinsoku/>
              <w:wordWrap/>
              <w:overflowPunct/>
              <w:topLinePunct w:val="0"/>
              <w:autoSpaceDE/>
              <w:autoSpaceDN/>
              <w:bidi w:val="0"/>
              <w:adjustRightInd w:val="0"/>
              <w:snapToGrid w:val="0"/>
              <w:spacing w:line="221" w:lineRule="auto"/>
              <w:ind w:left="0" w:leftChars="0"/>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7E074A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0" w:hRule="atLeast"/>
          <w:jc w:val="center"/>
        </w:trPr>
        <w:tc>
          <w:tcPr>
            <w:tcW w:w="563" w:type="dxa"/>
            <w:vMerge w:val="continue"/>
            <w:vAlign w:val="center"/>
          </w:tcPr>
          <w:p w14:paraId="7E16868C">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p>
        </w:tc>
        <w:tc>
          <w:tcPr>
            <w:tcW w:w="613" w:type="dxa"/>
            <w:tcBorders>
              <w:bottom w:val="single" w:color="auto" w:sz="4" w:space="0"/>
            </w:tcBorders>
            <w:textDirection w:val="tbRlV"/>
            <w:vAlign w:val="center"/>
          </w:tcPr>
          <w:p w14:paraId="5B883DE0">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4110" w:type="dxa"/>
            <w:tcBorders>
              <w:bottom w:val="single" w:color="auto" w:sz="4" w:space="0"/>
            </w:tcBorders>
            <w:vAlign w:val="center"/>
          </w:tcPr>
          <w:p w14:paraId="6B4DE6BA">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spacing w:val="-16"/>
                <w:sz w:val="21"/>
                <w:szCs w:val="21"/>
                <w:lang w:val="en-US" w:eastAsia="zh-CN"/>
              </w:rPr>
            </w:pPr>
            <w:r>
              <w:rPr>
                <w:rFonts w:hint="eastAsia" w:ascii="宋体" w:hAnsi="宋体" w:eastAsia="宋体" w:cs="宋体"/>
                <w:color w:val="000000" w:themeColor="text1"/>
                <w:sz w:val="21"/>
                <w:szCs w:val="21"/>
                <w:lang w:val="en-US" w:eastAsia="zh-CN"/>
                <w14:textFill>
                  <w14:solidFill>
                    <w14:schemeClr w14:val="tx1"/>
                  </w14:solidFill>
                </w14:textFill>
              </w:rPr>
              <w:t>通过选用低噪声设备，采取减振、密闭、隔声等处理措施，降低噪声对周围环境的影响。</w:t>
            </w:r>
          </w:p>
        </w:tc>
        <w:tc>
          <w:tcPr>
            <w:tcW w:w="2550" w:type="dxa"/>
            <w:tcBorders>
              <w:bottom w:val="single" w:color="auto" w:sz="4" w:space="0"/>
            </w:tcBorders>
            <w:vAlign w:val="center"/>
          </w:tcPr>
          <w:p w14:paraId="2C411576">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spacing w:val="-16"/>
                <w:sz w:val="21"/>
                <w:szCs w:val="21"/>
                <w:lang w:val="en-US" w:eastAsia="zh-CN"/>
              </w:rPr>
            </w:pPr>
            <w:r>
              <w:rPr>
                <w:rFonts w:hint="eastAsia" w:ascii="宋体" w:hAnsi="宋体" w:eastAsia="宋体" w:cs="宋体"/>
                <w:color w:val="000000" w:themeColor="text1"/>
                <w:sz w:val="21"/>
                <w:szCs w:val="21"/>
                <w:lang w:val="en-US" w:eastAsia="zh-CN"/>
                <w14:textFill>
                  <w14:solidFill>
                    <w14:schemeClr w14:val="tx1"/>
                  </w14:solidFill>
                </w14:textFill>
              </w:rPr>
              <w:t>选用低噪声设备，采取减振、密闭、隔声等处理措施，降低噪声对周围环境的影响。</w:t>
            </w:r>
          </w:p>
        </w:tc>
        <w:tc>
          <w:tcPr>
            <w:tcW w:w="1110" w:type="dxa"/>
            <w:tcBorders>
              <w:bottom w:val="single" w:color="auto" w:sz="4" w:space="0"/>
            </w:tcBorders>
            <w:vAlign w:val="center"/>
          </w:tcPr>
          <w:p w14:paraId="7872280C">
            <w:pPr>
              <w:keepNext w:val="0"/>
              <w:keepLines w:val="0"/>
              <w:pageBreakBefore w:val="0"/>
              <w:widowControl/>
              <w:kinsoku/>
              <w:wordWrap/>
              <w:overflowPunct/>
              <w:topLinePunct w:val="0"/>
              <w:autoSpaceDE/>
              <w:autoSpaceDN/>
              <w:bidi w:val="0"/>
              <w:adjustRightInd w:val="0"/>
              <w:snapToGrid w:val="0"/>
              <w:spacing w:line="221" w:lineRule="auto"/>
              <w:ind w:left="0" w:leftChars="0"/>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bl>
    <w:p w14:paraId="0E76D373">
      <w:pPr>
        <w:rPr>
          <w:rFonts w:hint="default" w:ascii="Times New Roman" w:hAnsi="Times New Roman" w:cs="Times New Roman"/>
          <w:sz w:val="21"/>
        </w:rPr>
      </w:pPr>
    </w:p>
    <w:p w14:paraId="1D95CE7A">
      <w:pPr>
        <w:rPr>
          <w:rFonts w:hint="default" w:ascii="Times New Roman" w:hAnsi="Times New Roman" w:cs="Times New Roman"/>
        </w:rPr>
        <w:sectPr>
          <w:footerReference r:id="rId14"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04761185">
      <w:pPr>
        <w:pStyle w:val="3"/>
        <w:bidi w:val="0"/>
        <w:rPr>
          <w:rFonts w:hint="default" w:ascii="Times New Roman" w:hAnsi="Times New Roman" w:cs="Times New Roman"/>
          <w:sz w:val="32"/>
          <w:szCs w:val="52"/>
        </w:rPr>
      </w:pPr>
      <w:bookmarkStart w:id="8" w:name="_Toc5742"/>
      <w:r>
        <w:rPr>
          <w:rFonts w:hint="default" w:ascii="Times New Roman" w:hAnsi="Times New Roman" w:cs="Times New Roman"/>
          <w:sz w:val="32"/>
          <w:szCs w:val="52"/>
        </w:rPr>
        <w:t>表八 环境影响调查</w:t>
      </w:r>
      <w:bookmarkEnd w:id="8"/>
    </w:p>
    <w:tbl>
      <w:tblPr>
        <w:tblStyle w:val="28"/>
        <w:tblW w:w="906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78"/>
        <w:gridCol w:w="610"/>
        <w:gridCol w:w="7773"/>
      </w:tblGrid>
      <w:tr w14:paraId="572AE5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8" w:hRule="atLeast"/>
          <w:jc w:val="center"/>
        </w:trPr>
        <w:tc>
          <w:tcPr>
            <w:tcW w:w="678" w:type="dxa"/>
            <w:vMerge w:val="restart"/>
            <w:vAlign w:val="center"/>
          </w:tcPr>
          <w:p w14:paraId="2F83D601">
            <w:pPr>
              <w:spacing w:before="68" w:line="221" w:lineRule="auto"/>
              <w:jc w:val="both"/>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施工期</w:t>
            </w:r>
          </w:p>
        </w:tc>
        <w:tc>
          <w:tcPr>
            <w:tcW w:w="610" w:type="dxa"/>
            <w:vAlign w:val="center"/>
          </w:tcPr>
          <w:p w14:paraId="5D80DD51">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top"/>
          </w:tcPr>
          <w:p w14:paraId="5640456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lang w:eastAsia="zh-CN"/>
                <w14:textFill>
                  <w14:solidFill>
                    <w14:schemeClr w14:val="tx1"/>
                  </w14:solidFill>
                </w14:textFill>
              </w:rPr>
              <w:t>本项目</w:t>
            </w:r>
            <w:r>
              <w:rPr>
                <w:rFonts w:hint="default" w:ascii="Times New Roman" w:hAnsi="Times New Roman" w:cs="Times New Roman"/>
                <w:color w:val="000000" w:themeColor="text1"/>
                <w:sz w:val="24"/>
                <w14:textFill>
                  <w14:solidFill>
                    <w14:schemeClr w14:val="tx1"/>
                  </w14:solidFill>
                </w14:textFill>
              </w:rPr>
              <w:t>施工期临时用地</w:t>
            </w:r>
            <w:r>
              <w:rPr>
                <w:rFonts w:hint="default" w:ascii="Times New Roman" w:hAnsi="Times New Roman" w:cs="Times New Roman"/>
                <w:color w:val="000000" w:themeColor="text1"/>
                <w:sz w:val="24"/>
                <w:lang w:eastAsia="zh-CN"/>
                <w14:textFill>
                  <w14:solidFill>
                    <w14:schemeClr w14:val="tx1"/>
                  </w14:solidFill>
                </w14:textFill>
              </w:rPr>
              <w:t>主要为</w:t>
            </w:r>
            <w:r>
              <w:rPr>
                <w:rFonts w:hint="default" w:ascii="Times New Roman" w:hAnsi="Times New Roman" w:cs="Times New Roman"/>
                <w:color w:val="000000" w:themeColor="text1"/>
                <w:sz w:val="24"/>
                <w:lang w:val="en-US" w:eastAsia="zh-CN"/>
                <w14:textFill>
                  <w14:solidFill>
                    <w14:schemeClr w14:val="tx1"/>
                  </w14:solidFill>
                </w14:textFill>
              </w:rPr>
              <w:t>施工营地及</w:t>
            </w:r>
            <w:r>
              <w:rPr>
                <w:rFonts w:hint="default" w:ascii="Times New Roman" w:hAnsi="Times New Roman" w:cs="Times New Roman"/>
                <w:color w:val="000000" w:themeColor="text1"/>
                <w:sz w:val="24"/>
                <w:lang w:eastAsia="zh-CN"/>
                <w14:textFill>
                  <w14:solidFill>
                    <w14:schemeClr w14:val="tx1"/>
                  </w14:solidFill>
                </w14:textFill>
              </w:rPr>
              <w:t>施工便道等</w:t>
            </w:r>
            <w:r>
              <w:rPr>
                <w:rFonts w:hint="default" w:ascii="Times New Roman" w:hAnsi="Times New Roman" w:cs="Times New Roman"/>
                <w:color w:val="000000" w:themeColor="text1"/>
                <w:sz w:val="24"/>
                <w14:textFill>
                  <w14:solidFill>
                    <w14:schemeClr w14:val="tx1"/>
                  </w14:solidFill>
                </w14:textFill>
              </w:rPr>
              <w:t>，</w:t>
            </w:r>
            <w:r>
              <w:rPr>
                <w:rFonts w:hint="default" w:ascii="Times New Roman" w:hAnsi="Times New Roman" w:cs="Times New Roman"/>
                <w:color w:val="000000" w:themeColor="text1"/>
                <w:sz w:val="24"/>
                <w:lang w:eastAsia="zh-CN"/>
                <w14:textFill>
                  <w14:solidFill>
                    <w14:schemeClr w14:val="tx1"/>
                  </w14:solidFill>
                </w14:textFill>
              </w:rPr>
              <w:t>临时用地的使用</w:t>
            </w:r>
            <w:r>
              <w:rPr>
                <w:rFonts w:hint="default" w:ascii="Times New Roman" w:hAnsi="Times New Roman" w:cs="Times New Roman"/>
                <w:color w:val="000000" w:themeColor="text1"/>
                <w:sz w:val="24"/>
                <w:lang w:val="en-US" w:eastAsia="zh-CN"/>
                <w14:textFill>
                  <w14:solidFill>
                    <w14:schemeClr w14:val="tx1"/>
                  </w14:solidFill>
                </w14:textFill>
              </w:rPr>
              <w:t>将会使</w:t>
            </w:r>
            <w:r>
              <w:rPr>
                <w:rFonts w:hint="default" w:ascii="Times New Roman" w:hAnsi="Times New Roman" w:cs="Times New Roman"/>
                <w:color w:val="000000" w:themeColor="text1"/>
                <w:sz w:val="24"/>
                <w14:textFill>
                  <w14:solidFill>
                    <w14:schemeClr w14:val="tx1"/>
                  </w14:solidFill>
                </w14:textFill>
              </w:rPr>
              <w:t>原有地表植被遭到破坏。因施工作业影响而引起的这些土地的地表植被破坏，这种影响是暂时的，可以</w:t>
            </w:r>
            <w:r>
              <w:rPr>
                <w:rFonts w:hint="default" w:ascii="Times New Roman" w:hAnsi="Times New Roman" w:cs="Times New Roman"/>
                <w:color w:val="000000" w:themeColor="text1"/>
                <w:sz w:val="24"/>
                <w:lang w:val="en-US" w:eastAsia="zh-CN"/>
                <w14:textFill>
                  <w14:solidFill>
                    <w14:schemeClr w14:val="tx1"/>
                  </w14:solidFill>
                </w14:textFill>
              </w:rPr>
              <w:t>通过后期水土保持措施进行恢复</w:t>
            </w:r>
            <w:r>
              <w:rPr>
                <w:rFonts w:hint="default" w:ascii="Times New Roman" w:hAnsi="Times New Roman" w:cs="Times New Roman"/>
                <w:color w:val="000000" w:themeColor="text1"/>
                <w:sz w:val="24"/>
                <w14:textFill>
                  <w14:solidFill>
                    <w14:schemeClr w14:val="tx1"/>
                  </w14:solidFill>
                </w14:textFill>
              </w:rPr>
              <w:t>。施工期由于材料运输、机械碾压及施工人员践踏，使施工作业区周围土地的部分植被被破坏。施工期结束后</w:t>
            </w:r>
            <w:r>
              <w:rPr>
                <w:rFonts w:hint="default" w:ascii="Times New Roman" w:hAnsi="Times New Roman" w:cs="Times New Roman"/>
                <w:color w:val="000000" w:themeColor="text1"/>
                <w:sz w:val="24"/>
                <w:lang w:val="en-US" w:eastAsia="zh-CN"/>
                <w14:textFill>
                  <w14:solidFill>
                    <w14:schemeClr w14:val="tx1"/>
                  </w14:solidFill>
                </w14:textFill>
              </w:rPr>
              <w:t>也</w:t>
            </w:r>
            <w:r>
              <w:rPr>
                <w:rFonts w:hint="default" w:ascii="Times New Roman" w:hAnsi="Times New Roman" w:cs="Times New Roman"/>
                <w:color w:val="000000" w:themeColor="text1"/>
                <w:sz w:val="24"/>
                <w14:textFill>
                  <w14:solidFill>
                    <w14:schemeClr w14:val="tx1"/>
                  </w14:solidFill>
                </w14:textFill>
              </w:rPr>
              <w:t>应及时进行</w:t>
            </w:r>
            <w:r>
              <w:rPr>
                <w:rFonts w:hint="default" w:ascii="Times New Roman" w:hAnsi="Times New Roman" w:cs="Times New Roman"/>
                <w:color w:val="000000" w:themeColor="text1"/>
                <w:sz w:val="24"/>
                <w:lang w:val="en-US" w:eastAsia="zh-CN"/>
                <w14:textFill>
                  <w14:solidFill>
                    <w14:schemeClr w14:val="tx1"/>
                  </w14:solidFill>
                </w14:textFill>
              </w:rPr>
              <w:t>生态</w:t>
            </w:r>
            <w:r>
              <w:rPr>
                <w:rFonts w:hint="default" w:ascii="Times New Roman" w:hAnsi="Times New Roman" w:cs="Times New Roman"/>
                <w:color w:val="000000" w:themeColor="text1"/>
                <w:sz w:val="24"/>
                <w14:textFill>
                  <w14:solidFill>
                    <w14:schemeClr w14:val="tx1"/>
                  </w14:solidFill>
                </w14:textFill>
              </w:rPr>
              <w:t>恢复工作</w:t>
            </w:r>
            <w:r>
              <w:rPr>
                <w:rFonts w:hint="default"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lang w:val="en-US" w:eastAsia="zh-CN"/>
                <w14:textFill>
                  <w14:solidFill>
                    <w14:schemeClr w14:val="tx1"/>
                  </w14:solidFill>
                </w14:textFill>
              </w:rPr>
              <w:t>可在临时工程所在地撒播草籽，尽量使临时工程占用区域恢复原貌</w:t>
            </w:r>
            <w:r>
              <w:rPr>
                <w:rFonts w:hint="default" w:ascii="Times New Roman" w:hAnsi="Times New Roman" w:cs="Times New Roman"/>
                <w:color w:val="000000" w:themeColor="text1"/>
                <w:sz w:val="24"/>
                <w14:textFill>
                  <w14:solidFill>
                    <w14:schemeClr w14:val="tx1"/>
                  </w14:solidFill>
                </w14:textFill>
              </w:rPr>
              <w:t>。</w:t>
            </w:r>
          </w:p>
          <w:p w14:paraId="54DBF24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color w:val="000000" w:themeColor="text1"/>
                <w:sz w:val="24"/>
                <w:szCs w:val="22"/>
                <w:lang w:val="en-US" w:eastAsia="zh-CN"/>
                <w14:textFill>
                  <w14:solidFill>
                    <w14:schemeClr w14:val="tx1"/>
                  </w14:solidFill>
                </w14:textFill>
              </w:rPr>
            </w:pPr>
            <w:r>
              <w:rPr>
                <w:rFonts w:hint="eastAsia" w:ascii="Times New Roman" w:hAnsi="Times New Roman" w:cs="Times New Roman"/>
                <w:b/>
                <w:bCs/>
                <w:color w:val="000000" w:themeColor="text1"/>
                <w:sz w:val="24"/>
                <w:szCs w:val="22"/>
                <w:lang w:val="en-US" w:eastAsia="zh-CN"/>
                <w14:textFill>
                  <w14:solidFill>
                    <w14:schemeClr w14:val="tx1"/>
                  </w14:solidFill>
                </w14:textFill>
              </w:rPr>
              <w:t>8</w:t>
            </w:r>
            <w:r>
              <w:rPr>
                <w:rFonts w:hint="default" w:ascii="Times New Roman" w:hAnsi="Times New Roman" w:cs="Times New Roman"/>
                <w:b/>
                <w:bCs/>
                <w:color w:val="000000" w:themeColor="text1"/>
                <w:sz w:val="24"/>
                <w:szCs w:val="22"/>
                <w:lang w:val="en-US" w:eastAsia="zh-CN"/>
                <w14:textFill>
                  <w14:solidFill>
                    <w14:schemeClr w14:val="tx1"/>
                  </w14:solidFill>
                </w14:textFill>
              </w:rPr>
              <w:t>.1工程施工对土壤、植被的影响</w:t>
            </w:r>
          </w:p>
          <w:p w14:paraId="61A756B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工程的建设以修建</w:t>
            </w:r>
            <w:r>
              <w:rPr>
                <w:rFonts w:hint="eastAsia" w:cs="Times New Roman"/>
                <w:color w:val="000000" w:themeColor="text1"/>
                <w:sz w:val="24"/>
                <w:lang w:val="en-US" w:eastAsia="zh-CN"/>
                <w14:textFill>
                  <w14:solidFill>
                    <w14:schemeClr w14:val="tx1"/>
                  </w14:solidFill>
                </w14:textFill>
              </w:rPr>
              <w:t>中水储库</w:t>
            </w:r>
            <w:r>
              <w:rPr>
                <w:rFonts w:hint="default" w:ascii="Times New Roman" w:hAnsi="Times New Roman" w:cs="Times New Roman"/>
                <w:color w:val="000000" w:themeColor="text1"/>
                <w:sz w:val="24"/>
                <w:lang w:val="en-US" w:eastAsia="zh-CN"/>
                <w14:textFill>
                  <w14:solidFill>
                    <w14:schemeClr w14:val="tx1"/>
                  </w14:solidFill>
                </w14:textFill>
              </w:rPr>
              <w:t>、输水管道</w:t>
            </w:r>
            <w:r>
              <w:rPr>
                <w:rFonts w:hint="default" w:ascii="Times New Roman" w:hAnsi="Times New Roman" w:cs="Times New Roman"/>
                <w:color w:val="000000" w:themeColor="text1"/>
                <w:sz w:val="24"/>
                <w:lang w:eastAsia="zh-CN"/>
                <w14:textFill>
                  <w14:solidFill>
                    <w14:schemeClr w14:val="tx1"/>
                  </w14:solidFill>
                </w14:textFill>
              </w:rPr>
              <w:t>及</w:t>
            </w:r>
            <w:r>
              <w:rPr>
                <w:rFonts w:hint="default" w:ascii="Times New Roman" w:hAnsi="Times New Roman" w:cs="Times New Roman"/>
                <w:color w:val="000000" w:themeColor="text1"/>
                <w:sz w:val="24"/>
                <w:lang w:val="en-US" w:eastAsia="zh-CN"/>
                <w14:textFill>
                  <w14:solidFill>
                    <w14:schemeClr w14:val="tx1"/>
                  </w14:solidFill>
                </w14:textFill>
              </w:rPr>
              <w:t>提升泵站</w:t>
            </w:r>
            <w:r>
              <w:rPr>
                <w:rFonts w:hint="default" w:ascii="Times New Roman" w:hAnsi="Times New Roman" w:cs="Times New Roman"/>
                <w:color w:val="000000" w:themeColor="text1"/>
                <w:sz w:val="24"/>
                <w14:textFill>
                  <w14:solidFill>
                    <w14:schemeClr w14:val="tx1"/>
                  </w14:solidFill>
                </w14:textFill>
              </w:rPr>
              <w:t>为主。在施工期影响主要为车辆对地表的扰动和占用，清基、施工</w:t>
            </w:r>
            <w:r>
              <w:rPr>
                <w:rFonts w:hint="default" w:ascii="Times New Roman" w:hAnsi="Times New Roman" w:cs="Times New Roman"/>
                <w:color w:val="000000" w:themeColor="text1"/>
                <w:sz w:val="24"/>
                <w:lang w:eastAsia="zh-CN"/>
                <w14:textFill>
                  <w14:solidFill>
                    <w14:schemeClr w14:val="tx1"/>
                  </w14:solidFill>
                </w14:textFill>
              </w:rPr>
              <w:t>生产、</w:t>
            </w:r>
            <w:r>
              <w:rPr>
                <w:rFonts w:hint="default" w:ascii="Times New Roman" w:hAnsi="Times New Roman" w:cs="Times New Roman"/>
                <w:color w:val="000000" w:themeColor="text1"/>
                <w:sz w:val="24"/>
                <w14:textFill>
                  <w14:solidFill>
                    <w14:schemeClr w14:val="tx1"/>
                  </w14:solidFill>
                </w14:textFill>
              </w:rPr>
              <w:t>生活区等对土壤、植被的一次性破坏影响：为了工程的安全运行和施工方便，施工区域内的各项占地均要清理表层土壤和植被，并要将地表压实、夯平。工程施工建设对表层土壤和植被的破坏将进一步对土壤的结构和理化性质产生有不利影响：土壤内有机质的分解作用加强，将使土壤内有机质含量进一步降低，不利于植被的自然恢复和重新栽培其它植物。施工破坏和机械挖运将使土壤有机质富集过程受阻。而施工破坏了地面植被，一旦破坏很难重新恢复。而施工和挖运，干扰了土壤有机物的富集过程，严重影响植被对灰分元素的吸收与富集。“生物自肥”途径也被阻断，阻断了生物与土壤间的物质交换。</w:t>
            </w:r>
          </w:p>
          <w:p w14:paraId="3FA218FB">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color w:val="000000" w:themeColor="text1"/>
                <w:sz w:val="24"/>
                <w:szCs w:val="22"/>
                <w:lang w:val="en-US" w:eastAsia="zh-CN"/>
                <w14:textFill>
                  <w14:solidFill>
                    <w14:schemeClr w14:val="tx1"/>
                  </w14:solidFill>
                </w14:textFill>
              </w:rPr>
            </w:pPr>
            <w:r>
              <w:rPr>
                <w:rFonts w:hint="eastAsia" w:ascii="Times New Roman" w:hAnsi="Times New Roman" w:cs="Times New Roman"/>
                <w:b/>
                <w:bCs/>
                <w:color w:val="000000" w:themeColor="text1"/>
                <w:sz w:val="24"/>
                <w:szCs w:val="22"/>
                <w:lang w:val="en-US" w:eastAsia="zh-CN"/>
                <w14:textFill>
                  <w14:solidFill>
                    <w14:schemeClr w14:val="tx1"/>
                  </w14:solidFill>
                </w14:textFill>
              </w:rPr>
              <w:t>8</w:t>
            </w:r>
            <w:r>
              <w:rPr>
                <w:rFonts w:hint="default" w:ascii="Times New Roman" w:hAnsi="Times New Roman" w:cs="Times New Roman"/>
                <w:b/>
                <w:bCs/>
                <w:color w:val="000000" w:themeColor="text1"/>
                <w:sz w:val="24"/>
                <w:szCs w:val="22"/>
                <w:lang w:val="en-US" w:eastAsia="zh-CN"/>
                <w14:textFill>
                  <w14:solidFill>
                    <w14:schemeClr w14:val="tx1"/>
                  </w14:solidFill>
                </w14:textFill>
              </w:rPr>
              <w:t>.2对野生动物的影响</w:t>
            </w:r>
          </w:p>
          <w:p w14:paraId="0809BB5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施工区内的野生动物个体少、密度小，其中只有爬行类、</w:t>
            </w:r>
            <w:r>
              <w:rPr>
                <w:rFonts w:hint="default" w:ascii="Times New Roman" w:hAnsi="Times New Roman" w:cs="Times New Roman"/>
                <w:color w:val="000000" w:themeColor="text1"/>
                <w:sz w:val="24"/>
                <w:highlight w:val="none"/>
                <w14:textFill>
                  <w14:solidFill>
                    <w14:schemeClr w14:val="tx1"/>
                  </w14:solidFill>
                </w14:textFill>
              </w:rPr>
              <w:t>啮齿类动物等小型动物受工程施工建设的影响明显，主要表现在其活动范围缩小，个体在施工区内较易受到运输车辆的危害等。总的来说，工程施工期对施工区内野生动物不会产生较大的有害影响。</w:t>
            </w:r>
          </w:p>
          <w:p w14:paraId="09AC431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color w:val="000000" w:themeColor="text1"/>
                <w:sz w:val="24"/>
                <w:szCs w:val="22"/>
                <w:lang w:val="en-US" w:eastAsia="zh-CN"/>
                <w14:textFill>
                  <w14:solidFill>
                    <w14:schemeClr w14:val="tx1"/>
                  </w14:solidFill>
                </w14:textFill>
              </w:rPr>
            </w:pPr>
            <w:r>
              <w:rPr>
                <w:rFonts w:hint="eastAsia" w:ascii="Times New Roman" w:hAnsi="Times New Roman" w:cs="Times New Roman"/>
                <w:b/>
                <w:bCs/>
                <w:color w:val="000000" w:themeColor="text1"/>
                <w:sz w:val="24"/>
                <w:szCs w:val="22"/>
                <w:lang w:val="en-US" w:eastAsia="zh-CN"/>
                <w14:textFill>
                  <w14:solidFill>
                    <w14:schemeClr w14:val="tx1"/>
                  </w14:solidFill>
                </w14:textFill>
              </w:rPr>
              <w:t>8</w:t>
            </w:r>
            <w:r>
              <w:rPr>
                <w:rFonts w:hint="default" w:ascii="Times New Roman" w:hAnsi="Times New Roman" w:cs="Times New Roman"/>
                <w:b/>
                <w:bCs/>
                <w:color w:val="000000" w:themeColor="text1"/>
                <w:sz w:val="24"/>
                <w:szCs w:val="22"/>
                <w:lang w:val="en-US" w:eastAsia="zh-CN"/>
                <w14:textFill>
                  <w14:solidFill>
                    <w14:schemeClr w14:val="tx1"/>
                  </w14:solidFill>
                </w14:textFill>
              </w:rPr>
              <w:t>.3施工期人群健康</w:t>
            </w:r>
          </w:p>
          <w:p w14:paraId="393B660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施工期间尤其是施工高峰季节，特别是夏季，施工区人群集中，加之卫生条件相对较差，极易导致传染病（如痢疾、肝炎等）的发生和流行，因此必须加强施工区尤其是生活区的环境卫生保护工作，防止垃圾、废弃物、污水随意排放，防止蚊蝇滋生，传染疾病。</w:t>
            </w:r>
          </w:p>
          <w:p w14:paraId="2B84F93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snapToGrid w:val="0"/>
                <w:color w:val="000000" w:themeColor="text1"/>
                <w:kern w:val="0"/>
                <w:sz w:val="24"/>
                <w:szCs w:val="24"/>
                <w:highlight w:val="none"/>
                <w:lang w:val="en-US" w:eastAsia="zh-CN"/>
                <w14:textFill>
                  <w14:solidFill>
                    <w14:schemeClr w14:val="tx1"/>
                  </w14:solidFill>
                </w14:textFill>
              </w:rPr>
            </w:pPr>
            <w:r>
              <w:rPr>
                <w:rFonts w:hint="eastAsia" w:ascii="Times New Roman" w:hAnsi="Times New Roman" w:cs="Times New Roman"/>
                <w:b/>
                <w:bCs/>
                <w:snapToGrid w:val="0"/>
                <w:color w:val="000000" w:themeColor="text1"/>
                <w:kern w:val="0"/>
                <w:sz w:val="24"/>
                <w:szCs w:val="24"/>
                <w:highlight w:val="none"/>
                <w:lang w:val="en-US" w:eastAsia="zh-CN"/>
                <w14:textFill>
                  <w14:solidFill>
                    <w14:schemeClr w14:val="tx1"/>
                  </w14:solidFill>
                </w14:textFill>
              </w:rPr>
              <w:t>8.4</w:t>
            </w:r>
            <w:r>
              <w:rPr>
                <w:rFonts w:hint="default" w:ascii="Times New Roman" w:hAnsi="Times New Roman" w:cs="Times New Roman"/>
                <w:b/>
                <w:bCs/>
                <w:snapToGrid w:val="0"/>
                <w:color w:val="000000" w:themeColor="text1"/>
                <w:kern w:val="0"/>
                <w:sz w:val="24"/>
                <w:szCs w:val="24"/>
                <w:highlight w:val="none"/>
                <w:lang w:val="en-US" w:eastAsia="zh-CN"/>
                <w14:textFill>
                  <w14:solidFill>
                    <w14:schemeClr w14:val="tx1"/>
                  </w14:solidFill>
                </w14:textFill>
              </w:rPr>
              <w:t>工程占地对项目区的影响</w:t>
            </w:r>
          </w:p>
          <w:p w14:paraId="36F7678D">
            <w:pPr>
              <w:keepNext w:val="0"/>
              <w:keepLines w:val="0"/>
              <w:pageBreakBefore w:val="0"/>
              <w:widowControl/>
              <w:kinsoku/>
              <w:wordWrap/>
              <w:overflowPunct/>
              <w:topLinePunct w:val="0"/>
              <w:autoSpaceDE/>
              <w:autoSpaceDN/>
              <w:bidi w:val="0"/>
              <w:adjustRightInd/>
              <w:snapToGrid/>
              <w:spacing w:line="360" w:lineRule="auto"/>
              <w:ind w:left="0" w:leftChars="0" w:right="0" w:rightChars="0"/>
              <w:jc w:val="both"/>
              <w:textAlignment w:val="auto"/>
              <w:outlineLvl w:val="9"/>
              <w:rPr>
                <w:rFonts w:hint="default" w:ascii="Times New Roman" w:hAnsi="Times New Roman" w:eastAsia="宋体" w:cs="Times New Roman"/>
                <w:snapToGrid w:val="0"/>
                <w:color w:val="000000" w:themeColor="text1"/>
                <w:kern w:val="0"/>
                <w:sz w:val="24"/>
                <w:szCs w:val="24"/>
                <w:highlight w:val="none"/>
                <w:lang w:val="en-US" w:eastAsia="zh-CN"/>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本工程占地主要为永久占地和临时占地</w:t>
            </w:r>
            <w:r>
              <w:rPr>
                <w:rFonts w:hint="eastAsia" w:cs="Times New Roman"/>
                <w:snapToGrid w:val="0"/>
                <w:color w:val="000000" w:themeColor="text1"/>
                <w:kern w:val="0"/>
                <w:sz w:val="24"/>
                <w:szCs w:val="24"/>
                <w:highlight w:val="none"/>
                <w:lang w:eastAsia="zh-CN"/>
                <w14:textFill>
                  <w14:solidFill>
                    <w14:schemeClr w14:val="tx1"/>
                  </w14:solidFill>
                </w14:textFill>
              </w:rPr>
              <w:t>，</w:t>
            </w:r>
            <w:r>
              <w:rPr>
                <w:rFonts w:hint="eastAsia" w:cs="Times New Roman"/>
                <w:snapToGrid w:val="0"/>
                <w:color w:val="000000" w:themeColor="text1"/>
                <w:kern w:val="0"/>
                <w:sz w:val="24"/>
                <w:szCs w:val="24"/>
                <w:highlight w:val="none"/>
                <w:lang w:val="en-US" w:eastAsia="zh-CN"/>
                <w14:textFill>
                  <w14:solidFill>
                    <w14:schemeClr w14:val="tx1"/>
                  </w14:solidFill>
                </w14:textFill>
              </w:rPr>
              <w:t>项目占地情况见下表。</w:t>
            </w:r>
          </w:p>
          <w:p w14:paraId="008E92C6">
            <w:pPr>
              <w:keepNext w:val="0"/>
              <w:keepLines w:val="0"/>
              <w:suppressLineNumbers w:val="0"/>
              <w:bidi w:val="0"/>
              <w:spacing w:before="0" w:beforeAutospacing="0" w:after="0" w:afterAutospacing="0" w:line="240" w:lineRule="auto"/>
              <w:ind w:left="0" w:right="0" w:firstLine="0" w:firstLineChars="0"/>
              <w:jc w:val="center"/>
              <w:rPr>
                <w:rFonts w:hint="default"/>
              </w:rPr>
            </w:pPr>
            <w:r>
              <w:rPr>
                <w:rFonts w:hint="default" w:ascii="Times New Roman" w:hAnsi="Times New Roman" w:cs="Times New Roman"/>
                <w:b/>
                <w:bCs/>
                <w:color w:val="000000" w:themeColor="text1"/>
                <w:sz w:val="21"/>
                <w:highlight w:val="none"/>
                <w:lang w:val="en-US" w:eastAsia="zh-CN"/>
                <w14:textFill>
                  <w14:solidFill>
                    <w14:schemeClr w14:val="tx1"/>
                  </w14:solidFill>
                </w14:textFill>
              </w:rPr>
              <w:t>表</w:t>
            </w:r>
            <w:r>
              <w:rPr>
                <w:rFonts w:hint="eastAsia" w:ascii="Times New Roman" w:hAnsi="Times New Roman" w:cs="Times New Roman"/>
                <w:b/>
                <w:bCs/>
                <w:color w:val="000000" w:themeColor="text1"/>
                <w:sz w:val="21"/>
                <w:highlight w:val="none"/>
                <w:lang w:val="en-US" w:eastAsia="zh-CN"/>
                <w14:textFill>
                  <w14:solidFill>
                    <w14:schemeClr w14:val="tx1"/>
                  </w14:solidFill>
                </w14:textFill>
              </w:rPr>
              <w:t>8-1</w:t>
            </w:r>
            <w:r>
              <w:rPr>
                <w:rFonts w:hint="default" w:ascii="Times New Roman" w:hAnsi="Times New Roman" w:cs="Times New Roman"/>
                <w:b/>
                <w:bCs/>
                <w:color w:val="000000" w:themeColor="text1"/>
                <w:sz w:val="21"/>
                <w:highlight w:val="none"/>
                <w:lang w:val="en-US" w:eastAsia="zh-CN"/>
                <w14:textFill>
                  <w14:solidFill>
                    <w14:schemeClr w14:val="tx1"/>
                  </w14:solidFill>
                </w14:textFill>
              </w:rPr>
              <w:t xml:space="preserve">  </w:t>
            </w:r>
            <w:r>
              <w:rPr>
                <w:rFonts w:hint="eastAsia" w:cs="Times New Roman"/>
                <w:b/>
                <w:bCs/>
                <w:color w:val="000000" w:themeColor="text1"/>
                <w:sz w:val="21"/>
                <w:highlight w:val="none"/>
                <w:lang w:val="en-US" w:eastAsia="zh-CN"/>
                <w14:textFill>
                  <w14:solidFill>
                    <w14:schemeClr w14:val="tx1"/>
                  </w14:solidFill>
                </w14:textFill>
              </w:rPr>
              <w:t>占地情况一览表</w:t>
            </w:r>
            <w:r>
              <w:rPr>
                <w:rFonts w:hint="default" w:ascii="Times New Roman" w:hAnsi="Times New Roman" w:cs="Times New Roman"/>
                <w:b/>
                <w:bCs/>
                <w:color w:val="000000" w:themeColor="text1"/>
                <w:sz w:val="21"/>
                <w:highlight w:val="none"/>
                <w:lang w:val="en-US" w:eastAsia="zh-CN"/>
                <w14:textFill>
                  <w14:solidFill>
                    <w14:schemeClr w14:val="tx1"/>
                  </w14:solidFill>
                </w14:textFill>
              </w:rPr>
              <w:t xml:space="preserve">  单位：dB（A）</w:t>
            </w:r>
          </w:p>
          <w:tbl>
            <w:tblPr>
              <w:tblStyle w:val="22"/>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86"/>
              <w:gridCol w:w="2790"/>
              <w:gridCol w:w="2589"/>
            </w:tblGrid>
            <w:tr w14:paraId="3E9DD3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36" w:type="pct"/>
                  <w:tcBorders>
                    <w:tl2br w:val="nil"/>
                    <w:tr2bl w:val="nil"/>
                  </w:tcBorders>
                </w:tcPr>
                <w:p w14:paraId="162A04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占地类别</w:t>
                  </w:r>
                </w:p>
              </w:tc>
              <w:tc>
                <w:tcPr>
                  <w:tcW w:w="1796" w:type="pct"/>
                  <w:tcBorders>
                    <w:tl2br w:val="nil"/>
                    <w:tr2bl w:val="nil"/>
                  </w:tcBorders>
                </w:tcPr>
                <w:p w14:paraId="12016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占地面积</w:t>
                  </w:r>
                </w:p>
              </w:tc>
              <w:tc>
                <w:tcPr>
                  <w:tcW w:w="1666" w:type="pct"/>
                  <w:tcBorders>
                    <w:tl2br w:val="nil"/>
                    <w:tr2bl w:val="nil"/>
                  </w:tcBorders>
                </w:tcPr>
                <w:p w14:paraId="3DE3CD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占地类型</w:t>
                  </w:r>
                </w:p>
              </w:tc>
            </w:tr>
            <w:tr w14:paraId="1F3938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36" w:type="pct"/>
                  <w:tcBorders>
                    <w:tl2br w:val="nil"/>
                    <w:tr2bl w:val="nil"/>
                  </w:tcBorders>
                </w:tcPr>
                <w:p w14:paraId="4EC7E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永久占地</w:t>
                  </w:r>
                </w:p>
              </w:tc>
              <w:tc>
                <w:tcPr>
                  <w:tcW w:w="1796" w:type="pct"/>
                  <w:tcBorders>
                    <w:tl2br w:val="nil"/>
                    <w:tr2bl w:val="nil"/>
                  </w:tcBorders>
                </w:tcPr>
                <w:p w14:paraId="73CFF7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269335m</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2</w:t>
                  </w:r>
                </w:p>
              </w:tc>
              <w:tc>
                <w:tcPr>
                  <w:tcW w:w="1666" w:type="pct"/>
                  <w:tcBorders>
                    <w:tl2br w:val="nil"/>
                    <w:tr2bl w:val="nil"/>
                  </w:tcBorders>
                </w:tcPr>
                <w:p w14:paraId="1AAB29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沙地（荒地）</w:t>
                  </w:r>
                </w:p>
              </w:tc>
            </w:tr>
            <w:tr w14:paraId="38A4E7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36" w:type="pct"/>
                  <w:tcBorders>
                    <w:tl2br w:val="nil"/>
                    <w:tr2bl w:val="nil"/>
                  </w:tcBorders>
                </w:tcPr>
                <w:p w14:paraId="09AFB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临时占地</w:t>
                  </w:r>
                </w:p>
              </w:tc>
              <w:tc>
                <w:tcPr>
                  <w:tcW w:w="1796" w:type="pct"/>
                  <w:tcBorders>
                    <w:tl2br w:val="nil"/>
                    <w:tr2bl w:val="nil"/>
                  </w:tcBorders>
                </w:tcPr>
                <w:p w14:paraId="523F0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4020m</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2</w:t>
                  </w:r>
                </w:p>
              </w:tc>
              <w:tc>
                <w:tcPr>
                  <w:tcW w:w="1666" w:type="pct"/>
                  <w:tcBorders>
                    <w:tl2br w:val="nil"/>
                    <w:tr2bl w:val="nil"/>
                  </w:tcBorders>
                </w:tcPr>
                <w:p w14:paraId="4AD06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沙地（荒地）</w:t>
                  </w:r>
                </w:p>
              </w:tc>
            </w:tr>
          </w:tbl>
          <w:p w14:paraId="47D3FB98">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pPr>
            <w:r>
              <w:rPr>
                <w:rFonts w:hint="eastAsia"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（1）</w:t>
            </w:r>
            <w:r>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永久占地</w:t>
            </w:r>
          </w:p>
          <w:p w14:paraId="53FD551B">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本项目主要是中水回用工程，新建一座</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及其他设施，</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容积为70万m</w:t>
            </w:r>
            <w:r>
              <w:rPr>
                <w:rFonts w:hint="default" w:ascii="Times New Roman" w:hAnsi="Times New Roman" w:cs="Times New Roman"/>
                <w:snapToGrid w:val="0"/>
                <w:color w:val="000000" w:themeColor="text1"/>
                <w:kern w:val="0"/>
                <w:sz w:val="24"/>
                <w:szCs w:val="24"/>
                <w:vertAlign w:val="superscript"/>
                <w:lang w:val="en-US" w:eastAsia="zh-CN" w:bidi="ar-SA"/>
                <w14:textFill>
                  <w14:solidFill>
                    <w14:schemeClr w14:val="tx1"/>
                  </w14:solidFill>
                </w14:textFill>
              </w:rPr>
              <w:t>3</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w:t>
            </w:r>
            <w:r>
              <w:rPr>
                <w:rFonts w:hint="eastAsia" w:ascii="Times New Roman" w:hAnsi="Times New Roman" w:cs="Times New Roman"/>
                <w:snapToGrid w:val="0"/>
                <w:color w:val="000000" w:themeColor="text1"/>
                <w:kern w:val="0"/>
                <w:sz w:val="24"/>
                <w:szCs w:val="24"/>
                <w:lang w:val="en-US" w:eastAsia="zh-CN" w:bidi="ar-SA"/>
                <w14:textFill>
                  <w14:solidFill>
                    <w14:schemeClr w14:val="tx1"/>
                  </w14:solidFill>
                </w14:textFill>
              </w:rPr>
              <w:t>项目区</w:t>
            </w:r>
            <w:r>
              <w:rPr>
                <w:rFonts w:hint="default" w:ascii="Times New Roman" w:hAnsi="Times New Roman" w:cs="Times New Roman"/>
                <w:color w:val="000000" w:themeColor="text1"/>
                <w:sz w:val="24"/>
                <w:szCs w:val="24"/>
                <w:highlight w:val="none"/>
                <w:lang w:eastAsia="zh-CN"/>
                <w14:textFill>
                  <w14:solidFill>
                    <w14:schemeClr w14:val="tx1"/>
                  </w14:solidFill>
                </w14:textFill>
              </w:rPr>
              <w:t>永久占地面积</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269335</w:t>
            </w:r>
            <w:r>
              <w:rPr>
                <w:rFonts w:hint="default" w:ascii="Times New Roman" w:hAnsi="Times New Roman" w:cs="Times New Roman"/>
                <w:color w:val="000000" w:themeColor="text1"/>
                <w:sz w:val="24"/>
                <w:szCs w:val="24"/>
                <w:lang w:val="en-US"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zCs w:val="24"/>
                <w:highlight w:val="none"/>
                <w:lang w:eastAsia="zh-CN"/>
                <w14:textFill>
                  <w14:solidFill>
                    <w14:schemeClr w14:val="tx1"/>
                  </w14:solidFill>
                </w14:textFill>
              </w:rPr>
              <w:t>占地类型均为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荒</w:t>
            </w:r>
            <w:r>
              <w:rPr>
                <w:rFonts w:hint="default" w:ascii="Times New Roman" w:hAnsi="Times New Roman" w:cs="Times New Roman"/>
                <w:color w:val="000000" w:themeColor="text1"/>
                <w:sz w:val="24"/>
                <w:szCs w:val="24"/>
                <w:highlight w:val="none"/>
                <w:lang w:eastAsia="zh-CN"/>
                <w14:textFill>
                  <w14:solidFill>
                    <w14:schemeClr w14:val="tx1"/>
                  </w14:solidFill>
                </w14:textFill>
              </w:rPr>
              <w:t>地，</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项目</w:t>
            </w:r>
            <w:r>
              <w:rPr>
                <w:rFonts w:hint="default" w:ascii="Times New Roman" w:hAnsi="Times New Roman" w:cs="Times New Roman"/>
                <w:color w:val="000000" w:themeColor="text1"/>
                <w:sz w:val="24"/>
                <w:szCs w:val="24"/>
                <w:highlight w:val="none"/>
                <w:lang w:eastAsia="zh-CN"/>
                <w14:textFill>
                  <w14:solidFill>
                    <w14:schemeClr w14:val="tx1"/>
                  </w14:solidFill>
                </w14:textFill>
              </w:rPr>
              <w:t>的建设不会对土地利用格局造成不利影响</w:t>
            </w:r>
            <w:r>
              <w:rPr>
                <w:rFonts w:hint="default" w:ascii="Times New Roman" w:hAnsi="Times New Roman" w:cs="Times New Roman"/>
                <w:color w:val="000000" w:themeColor="text1"/>
                <w:sz w:val="24"/>
                <w:szCs w:val="24"/>
                <w:highlight w:val="none"/>
                <w14:textFill>
                  <w14:solidFill>
                    <w14:schemeClr w14:val="tx1"/>
                  </w14:solidFill>
                </w14:textFill>
              </w:rPr>
              <w:t>。</w:t>
            </w:r>
          </w:p>
          <w:p w14:paraId="6C49B3C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480" w:firstLineChars="200"/>
              <w:jc w:val="both"/>
              <w:textAlignment w:val="auto"/>
              <w:outlineLvl w:val="9"/>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pPr>
            <w:r>
              <w:rPr>
                <w:rFonts w:hint="eastAsia"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（2）</w:t>
            </w:r>
            <w:r>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临时占地</w:t>
            </w:r>
          </w:p>
          <w:p w14:paraId="6608F8C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1</w:t>
            </w:r>
            <w:r>
              <w:rPr>
                <w:rFonts w:hint="eastAsia" w:ascii="Times New Roman" w:hAnsi="Times New Roman" w:cs="Times New Roman"/>
                <w:b w:val="0"/>
                <w:bCs w:val="0"/>
                <w:color w:val="000000" w:themeColor="text1"/>
                <w:sz w:val="24"/>
                <w:highlight w:val="none"/>
                <w:lang w:val="en-US" w:eastAsia="zh-CN"/>
                <w14:textFill>
                  <w14:solidFill>
                    <w14:schemeClr w14:val="tx1"/>
                  </w14:solidFill>
                </w14:textFill>
              </w:rPr>
              <w:t>）</w:t>
            </w: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施工营地</w:t>
            </w:r>
            <w:r>
              <w:rPr>
                <w:rFonts w:hint="default" w:ascii="Times New Roman" w:hAnsi="Times New Roman" w:cs="Times New Roman"/>
                <w:b w:val="0"/>
                <w:bCs w:val="0"/>
                <w:color w:val="000000" w:themeColor="text1"/>
                <w:sz w:val="24"/>
                <w:highlight w:val="none"/>
                <w:lang w:eastAsia="zh-CN"/>
                <w14:textFill>
                  <w14:solidFill>
                    <w14:schemeClr w14:val="tx1"/>
                  </w14:solidFill>
                </w14:textFill>
              </w:rPr>
              <w:t>、施工便道</w:t>
            </w:r>
          </w:p>
          <w:p w14:paraId="1127D095">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cs="Times New Roman"/>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本项目全线</w:t>
            </w:r>
            <w:r>
              <w:rPr>
                <w:rFonts w:hint="default" w:ascii="Times New Roman" w:hAnsi="Times New Roman" w:cs="Times New Roman"/>
                <w:color w:val="000000" w:themeColor="text1"/>
                <w:sz w:val="24"/>
                <w:szCs w:val="24"/>
                <w:lang w:eastAsia="zh-CN"/>
                <w14:textFill>
                  <w14:solidFill>
                    <w14:schemeClr w14:val="tx1"/>
                  </w14:solidFill>
                </w14:textFill>
              </w:rPr>
              <w:t>共设置</w:t>
            </w:r>
            <w:r>
              <w:rPr>
                <w:rFonts w:hint="default" w:ascii="Times New Roman" w:hAnsi="Times New Roman" w:cs="Times New Roman"/>
                <w:color w:val="000000" w:themeColor="text1"/>
                <w:sz w:val="24"/>
                <w:szCs w:val="24"/>
                <w:lang w:val="en-US" w:eastAsia="zh-CN"/>
                <w14:textFill>
                  <w14:solidFill>
                    <w14:schemeClr w14:val="tx1"/>
                  </w14:solidFill>
                </w14:textFill>
              </w:rPr>
              <w:t>1</w:t>
            </w:r>
            <w:r>
              <w:rPr>
                <w:rFonts w:hint="default" w:ascii="Times New Roman" w:hAnsi="Times New Roman" w:cs="Times New Roman"/>
                <w:color w:val="000000" w:themeColor="text1"/>
                <w:sz w:val="24"/>
                <w:szCs w:val="24"/>
                <w:lang w:eastAsia="zh-CN"/>
                <w14:textFill>
                  <w14:solidFill>
                    <w14:schemeClr w14:val="tx1"/>
                  </w14:solidFill>
                </w14:textFill>
              </w:rPr>
              <w:t>处</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cs="Times New Roman"/>
                <w:color w:val="000000" w:themeColor="text1"/>
                <w:sz w:val="24"/>
                <w:szCs w:val="24"/>
                <w:lang w:eastAsia="zh-CN"/>
                <w14:textFill>
                  <w14:solidFill>
                    <w14:schemeClr w14:val="tx1"/>
                  </w14:solidFill>
                </w14:textFill>
              </w:rPr>
              <w:t>（包括临时堆场、设备用房及搅拌区</w:t>
            </w:r>
            <w:r>
              <w:rPr>
                <w:rFonts w:hint="eastAsia" w:ascii="Times New Roman" w:hAnsi="Times New Roman" w:cs="Times New Roman"/>
                <w:color w:val="000000" w:themeColor="text1"/>
                <w:sz w:val="24"/>
                <w:szCs w:val="24"/>
                <w:lang w:val="en-US" w:eastAsia="zh-CN"/>
                <w14:textFill>
                  <w14:solidFill>
                    <w14:schemeClr w14:val="tx1"/>
                  </w14:solidFill>
                </w14:textFill>
              </w:rPr>
              <w:t>等</w:t>
            </w:r>
            <w:r>
              <w:rPr>
                <w:rFonts w:hint="default"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位于</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color w:val="000000" w:themeColor="text1"/>
                <w:sz w:val="24"/>
                <w:szCs w:val="24"/>
                <w:lang w:val="en-US" w:eastAsia="zh-CN"/>
                <w14:textFill>
                  <w14:solidFill>
                    <w14:schemeClr w14:val="tx1"/>
                  </w14:solidFill>
                </w14:textFill>
              </w:rPr>
              <w:t>东侧200m处，</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所处位置为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荒地，</w:t>
            </w:r>
            <w:r>
              <w:rPr>
                <w:rFonts w:hint="default" w:ascii="Times New Roman" w:hAnsi="Times New Roman" w:cs="Times New Roman"/>
                <w:b w:val="0"/>
                <w:bCs/>
                <w:color w:val="000000" w:themeColor="text1"/>
                <w:kern w:val="0"/>
                <w:sz w:val="24"/>
                <w:szCs w:val="24"/>
                <w14:textFill>
                  <w14:solidFill>
                    <w14:schemeClr w14:val="tx1"/>
                  </w14:solidFill>
                </w14:textFill>
              </w:rPr>
              <w:t>地势</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较为</w:t>
            </w:r>
            <w:r>
              <w:rPr>
                <w:rFonts w:hint="default" w:ascii="Times New Roman" w:hAnsi="Times New Roman" w:cs="Times New Roman"/>
                <w:b w:val="0"/>
                <w:bCs/>
                <w:color w:val="000000" w:themeColor="text1"/>
                <w:kern w:val="0"/>
                <w:sz w:val="24"/>
                <w:szCs w:val="24"/>
                <w14:textFill>
                  <w14:solidFill>
                    <w14:schemeClr w14:val="tx1"/>
                  </w14:solidFill>
                </w14:textFill>
              </w:rPr>
              <w:t>平坦</w:t>
            </w:r>
            <w:r>
              <w:rPr>
                <w:rFonts w:hint="default" w:ascii="Times New Roman" w:hAnsi="Times New Roman" w:cs="Times New Roman"/>
                <w:color w:val="000000" w:themeColor="text1"/>
                <w:sz w:val="24"/>
                <w:szCs w:val="24"/>
                <w:lang w:eastAsia="zh-CN"/>
                <w14:textFill>
                  <w14:solidFill>
                    <w14:schemeClr w14:val="tx1"/>
                  </w14:solidFill>
                </w14:textFill>
              </w:rPr>
              <w:t>，并与施工便道相连（施工便道为</w:t>
            </w:r>
            <w:r>
              <w:rPr>
                <w:rFonts w:hint="default" w:ascii="Times New Roman" w:hAnsi="Times New Roman" w:cs="Times New Roman"/>
                <w:color w:val="000000" w:themeColor="text1"/>
                <w:sz w:val="24"/>
                <w:szCs w:val="24"/>
                <w:lang w:val="en-US" w:eastAsia="zh-CN"/>
                <w14:textFill>
                  <w14:solidFill>
                    <w14:schemeClr w14:val="tx1"/>
                  </w14:solidFill>
                </w14:textFill>
              </w:rPr>
              <w:t>0.5km</w:t>
            </w:r>
            <w:r>
              <w:rPr>
                <w:rFonts w:hint="default" w:ascii="Times New Roman" w:hAnsi="Times New Roman" w:cs="Times New Roman"/>
                <w:color w:val="000000" w:themeColor="text1"/>
                <w:sz w:val="24"/>
                <w:szCs w:val="24"/>
                <w:lang w:eastAsia="zh-CN"/>
                <w14:textFill>
                  <w14:solidFill>
                    <w14:schemeClr w14:val="tx1"/>
                  </w14:solidFill>
                </w14:textFill>
              </w:rPr>
              <w:t>），交通运输便利。施工</w:t>
            </w:r>
            <w:r>
              <w:rPr>
                <w:rFonts w:hint="default" w:ascii="Times New Roman" w:hAnsi="Times New Roman" w:cs="Times New Roman"/>
                <w:color w:val="000000" w:themeColor="text1"/>
                <w:sz w:val="24"/>
                <w:szCs w:val="24"/>
                <w:lang w:val="en-US" w:eastAsia="zh-CN"/>
                <w14:textFill>
                  <w14:solidFill>
                    <w14:schemeClr w14:val="tx1"/>
                  </w14:solidFill>
                </w14:textFill>
              </w:rPr>
              <w:t>营地</w:t>
            </w:r>
            <w:r>
              <w:rPr>
                <w:rFonts w:hint="default" w:ascii="Times New Roman" w:hAnsi="Times New Roman" w:cs="Times New Roman"/>
                <w:color w:val="000000" w:themeColor="text1"/>
                <w:sz w:val="24"/>
                <w:szCs w:val="24"/>
                <w:lang w:eastAsia="zh-CN"/>
                <w14:textFill>
                  <w14:solidFill>
                    <w14:schemeClr w14:val="tx1"/>
                  </w14:solidFill>
                </w14:textFill>
              </w:rPr>
              <w:t>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4020</w:t>
            </w:r>
            <w:r>
              <w:rPr>
                <w:rFonts w:hint="default" w:ascii="Times New Roman" w:hAnsi="Times New Roman" w:cs="Times New Roman"/>
                <w:color w:val="000000" w:themeColor="text1"/>
                <w:sz w:val="24"/>
                <w:szCs w:val="24"/>
                <w:lang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，施工便道占地</w:t>
            </w:r>
            <w:r>
              <w:rPr>
                <w:rFonts w:hint="default" w:ascii="Times New Roman" w:hAnsi="Times New Roman" w:cs="Times New Roman"/>
                <w:color w:val="000000" w:themeColor="text1"/>
                <w:sz w:val="24"/>
                <w:szCs w:val="24"/>
                <w:lang w:val="en-US" w:eastAsia="zh-CN"/>
                <w14:textFill>
                  <w14:solidFill>
                    <w14:schemeClr w14:val="tx1"/>
                  </w14:solidFill>
                </w14:textFill>
              </w:rPr>
              <w:t>0.3hm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），占地类型主要为</w:t>
            </w:r>
            <w:r>
              <w:rPr>
                <w:rFonts w:hint="default" w:ascii="Times New Roman" w:hAnsi="Times New Roman" w:cs="Times New Roman"/>
                <w:color w:val="000000" w:themeColor="text1"/>
                <w:sz w:val="24"/>
                <w:szCs w:val="24"/>
                <w:lang w:val="en-US" w:eastAsia="zh-CN"/>
                <w14:textFill>
                  <w14:solidFill>
                    <w14:schemeClr w14:val="tx1"/>
                  </w14:solidFill>
                </w14:textFill>
              </w:rPr>
              <w:t>荒地</w:t>
            </w:r>
            <w:r>
              <w:rPr>
                <w:rFonts w:hint="default" w:ascii="Times New Roman" w:hAnsi="Times New Roman" w:cs="Times New Roman"/>
                <w:color w:val="000000" w:themeColor="text1"/>
                <w:sz w:val="24"/>
                <w:szCs w:val="24"/>
                <w:lang w:eastAsia="zh-CN"/>
                <w14:textFill>
                  <w14:solidFill>
                    <w14:schemeClr w14:val="tx1"/>
                  </w14:solidFill>
                </w14:textFill>
              </w:rPr>
              <w:t>。</w:t>
            </w:r>
          </w:p>
          <w:p w14:paraId="5F423482">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cs="Times New Roman"/>
                <w:color w:val="000000" w:themeColor="text1"/>
                <w:sz w:val="24"/>
                <w:szCs w:val="24"/>
                <w:lang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根据业主单位提供的资料，本项目</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位于</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东侧200m处，占地面积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，所在区域无重要保护文物、风景名胜区等，无其他制约性因子，地表覆盖植被较为稀疏，选址基本合理。</w:t>
            </w:r>
          </w:p>
          <w:p w14:paraId="5B1F22B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eastAsia="宋体" w:cs="Times New Roman"/>
                <w:b w:val="0"/>
                <w:bCs w:val="0"/>
                <w:color w:val="000000" w:themeColor="text1"/>
                <w:sz w:val="24"/>
                <w:szCs w:val="24"/>
                <w14:textFill>
                  <w14:solidFill>
                    <w14:schemeClr w14:val="tx1"/>
                  </w14:solidFill>
                </w14:textFill>
              </w:rPr>
            </w:pP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2</w:t>
            </w:r>
            <w:r>
              <w:rPr>
                <w:rFonts w:hint="eastAsia" w:ascii="Times New Roman" w:hAnsi="Times New Roman" w:cs="Times New Roman"/>
                <w:b w:val="0"/>
                <w:bCs w:val="0"/>
                <w:color w:val="000000" w:themeColor="text1"/>
                <w:sz w:val="24"/>
                <w:highlight w:val="none"/>
                <w:lang w:val="en-US" w:eastAsia="zh-CN"/>
                <w14:textFill>
                  <w14:solidFill>
                    <w14:schemeClr w14:val="tx1"/>
                  </w14:solidFill>
                </w14:textFill>
              </w:rPr>
              <w:t>）</w:t>
            </w: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临时占地生态影响</w:t>
            </w:r>
          </w:p>
          <w:p w14:paraId="337C7D4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cs="Times New Roman"/>
                <w:color w:val="000000" w:themeColor="text1"/>
                <w:sz w:val="24"/>
                <w:szCs w:val="24"/>
                <w14:textFill>
                  <w14:solidFill>
                    <w14:schemeClr w14:val="tx1"/>
                  </w14:solidFill>
                </w14:textFill>
              </w:rPr>
              <w:t>施工场地对环境的影响主要为占地、破坏植被和污染物排放。占地可以通过设置</w:t>
            </w:r>
            <w:r>
              <w:rPr>
                <w:rFonts w:hint="default" w:ascii="Times New Roman" w:hAnsi="Times New Roman" w:cs="Times New Roman"/>
                <w:color w:val="000000" w:themeColor="text1"/>
                <w:sz w:val="24"/>
                <w:szCs w:val="24"/>
                <w:lang w:eastAsia="zh-CN"/>
                <w14:textFill>
                  <w14:solidFill>
                    <w14:schemeClr w14:val="tx1"/>
                  </w14:solidFill>
                </w14:textFill>
              </w:rPr>
              <w:t>在</w:t>
            </w:r>
            <w:r>
              <w:rPr>
                <w:rFonts w:hint="default" w:ascii="Times New Roman" w:hAnsi="Times New Roman" w:cs="Times New Roman"/>
                <w:color w:val="000000" w:themeColor="text1"/>
                <w:sz w:val="24"/>
                <w:szCs w:val="24"/>
                <w14:textFill>
                  <w14:solidFill>
                    <w14:schemeClr w14:val="tx1"/>
                  </w14:solidFill>
                </w14:textFill>
              </w:rPr>
              <w:t>永久占地内等措施减少占地数量而降低影响，合理选址，避免占用基本农田、经济作物区、林地等敏感区域，尽量占用荒地、废弃地或难利用地，则可以进一步降低影响，使用后进行清理和复耕，一般影响不大。破坏植被与选址有很大关系，应尽量避免占用发育良好的自然植被。</w:t>
            </w:r>
            <w:r>
              <w:rPr>
                <w:rFonts w:hint="default" w:ascii="Times New Roman" w:hAnsi="Times New Roman" w:cs="Times New Roman"/>
                <w:color w:val="000000" w:themeColor="text1"/>
                <w:sz w:val="24"/>
                <w:szCs w:val="24"/>
                <w:lang w:eastAsia="zh-CN"/>
                <w14:textFill>
                  <w14:solidFill>
                    <w14:schemeClr w14:val="tx1"/>
                  </w14:solidFill>
                </w14:textFill>
              </w:rPr>
              <w:t>本项目</w:t>
            </w:r>
            <w:r>
              <w:rPr>
                <w:rFonts w:hint="default" w:ascii="Times New Roman" w:hAnsi="Times New Roman" w:cs="Times New Roman"/>
                <w:color w:val="000000" w:themeColor="text1"/>
                <w:sz w:val="24"/>
                <w:szCs w:val="24"/>
                <w14:textFill>
                  <w14:solidFill>
                    <w14:schemeClr w14:val="tx1"/>
                  </w14:solidFill>
                </w14:textFill>
              </w:rPr>
              <w:t>污染物排放主要是有限的生活污水和生活垃圾，生活垃圾需集中收集并合理处置，生活污水数量不大，经临时污水设施处理达标排放后并合理设置最终去向，一般不会造成污染事故，影响不大。</w:t>
            </w:r>
            <w:r>
              <w:rPr>
                <w:rFonts w:hint="default" w:ascii="Times New Roman" w:hAnsi="Times New Roman" w:cs="Times New Roman"/>
                <w:color w:val="000000" w:themeColor="text1"/>
                <w:sz w:val="24"/>
                <w:szCs w:val="24"/>
                <w:lang w:val="en-US" w:eastAsia="zh-CN"/>
                <w14:textFill>
                  <w14:solidFill>
                    <w14:schemeClr w14:val="tx1"/>
                  </w14:solidFill>
                </w14:textFill>
              </w:rPr>
              <w:t>施工期结束后采用对临时工程进行拆除、平整场地、撒播草籽等方式进行生态恢复，该部分占地不对对周边生态环境产生不利影响。</w:t>
            </w:r>
          </w:p>
        </w:tc>
      </w:tr>
      <w:tr w14:paraId="082AA7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02" w:hRule="atLeast"/>
          <w:jc w:val="center"/>
        </w:trPr>
        <w:tc>
          <w:tcPr>
            <w:tcW w:w="678" w:type="dxa"/>
            <w:vMerge w:val="continue"/>
            <w:vAlign w:val="center"/>
          </w:tcPr>
          <w:p w14:paraId="67BC2D5C">
            <w:pPr>
              <w:jc w:val="center"/>
              <w:rPr>
                <w:rFonts w:hint="default" w:ascii="Times New Roman" w:hAnsi="Times New Roman" w:cs="Times New Roman"/>
                <w:sz w:val="21"/>
              </w:rPr>
            </w:pPr>
          </w:p>
        </w:tc>
        <w:tc>
          <w:tcPr>
            <w:tcW w:w="610" w:type="dxa"/>
            <w:vAlign w:val="center"/>
          </w:tcPr>
          <w:p w14:paraId="21DA0B23">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14:paraId="4121BC95">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（1）大气环境影响调查</w:t>
            </w:r>
          </w:p>
          <w:p w14:paraId="1478223C">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期大气污染物主要为施工扬尘与施工车辆尾气。根据调查，施工期间在场地四周设置有2m的围挡，混凝土拌合站采取封闭式拌合站方式、道路洒水降尘，定期清扫等，在装卸和运输过程中采用喷淋、遮盖、密闭式运输等措施。</w:t>
            </w:r>
          </w:p>
          <w:p w14:paraId="71D8992D">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工程对项目区大气环境影响较小，施工结束后，污染也随之消失。</w:t>
            </w:r>
          </w:p>
          <w:p w14:paraId="5D53DEC0">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（2）水环境影响调查</w:t>
            </w:r>
          </w:p>
          <w:p w14:paraId="6021373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在施工场地内及项目区设置沉淀池对收集的施工生产废水进行沉淀处理，处理水首先循环回用于施工生产，其余用于施工现场、临时堆土场的洒水防尘，不向外排放，沉淀池定期进行清理，沉淀物运至弃渣场。</w:t>
            </w:r>
            <w:r>
              <w:rPr>
                <w:rFonts w:hint="default" w:ascii="Times New Roman" w:hAnsi="Times New Roman" w:cs="Times New Roman"/>
                <w:color w:val="000000" w:themeColor="text1"/>
                <w:sz w:val="24"/>
                <w:shd w:val="clear" w:color="auto" w:fill="auto"/>
                <w14:textFill>
                  <w14:solidFill>
                    <w14:schemeClr w14:val="tx1"/>
                  </w14:solidFill>
                </w14:textFill>
              </w:rPr>
              <w:t>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排入污水管网中，最终进入皮山农场污水处理厂处理</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w:t>
            </w:r>
          </w:p>
          <w:p w14:paraId="4DAAA2BC">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（3）噪声环境影响调查</w:t>
            </w:r>
          </w:p>
          <w:p w14:paraId="694F4FDE">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项目噪声源主要声源在施工过程中各类机械设备和物料运输的交通噪声。施工噪声对周围环境影响不大，施工期结束后施工噪声影响随之消失。</w:t>
            </w:r>
          </w:p>
          <w:p w14:paraId="28F46DE8">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）固体废物环境影响调查</w:t>
            </w:r>
          </w:p>
          <w:p w14:paraId="405890AF">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eastAsia="zh-CN"/>
              </w:rPr>
              <w:t>施工期合理堆放开挖的土方，</w:t>
            </w:r>
            <w:r>
              <w:rPr>
                <w:rFonts w:hint="default" w:ascii="Times New Roman" w:hAnsi="Times New Roman" w:eastAsia="宋体" w:cs="Times New Roman"/>
                <w:spacing w:val="-7"/>
                <w:sz w:val="24"/>
                <w:szCs w:val="24"/>
                <w:lang w:val="en-US" w:eastAsia="zh-CN"/>
              </w:rPr>
              <w:t>废弃土料地</w:t>
            </w:r>
            <w:r>
              <w:rPr>
                <w:rFonts w:hint="default" w:ascii="Times New Roman" w:hAnsi="Times New Roman" w:eastAsia="宋体" w:cs="Times New Roman"/>
                <w:spacing w:val="-7"/>
                <w:sz w:val="24"/>
                <w:szCs w:val="24"/>
                <w:lang w:eastAsia="zh-CN"/>
              </w:rPr>
              <w:t>已平整</w:t>
            </w:r>
            <w:r>
              <w:rPr>
                <w:rFonts w:hint="default" w:ascii="Times New Roman" w:hAnsi="Times New Roman" w:eastAsia="宋体" w:cs="Times New Roman"/>
                <w:spacing w:val="-7"/>
                <w:sz w:val="24"/>
                <w:szCs w:val="24"/>
                <w:lang w:val="en-US" w:eastAsia="zh-CN"/>
              </w:rPr>
              <w:t>覆盖</w:t>
            </w:r>
            <w:r>
              <w:rPr>
                <w:rFonts w:hint="default" w:ascii="Times New Roman" w:hAnsi="Times New Roman" w:eastAsia="宋体" w:cs="Times New Roman"/>
                <w:spacing w:val="-7"/>
                <w:sz w:val="24"/>
                <w:szCs w:val="24"/>
                <w:lang w:eastAsia="zh-CN"/>
              </w:rPr>
              <w:t>，地表植被</w:t>
            </w:r>
            <w:r>
              <w:rPr>
                <w:rFonts w:hint="default" w:ascii="Times New Roman" w:hAnsi="Times New Roman" w:eastAsia="宋体" w:cs="Times New Roman"/>
                <w:spacing w:val="-7"/>
                <w:sz w:val="24"/>
                <w:szCs w:val="24"/>
                <w:lang w:val="en-US" w:eastAsia="zh-CN"/>
              </w:rPr>
              <w:t>在逐渐恢复</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沉淀池定期进行清理，沉淀物运至弃渣场</w:t>
            </w:r>
            <w:r>
              <w:rPr>
                <w:rFonts w:hint="eastAsia" w:ascii="Times New Roman" w:hAnsi="Times New Roman" w:eastAsia="宋体" w:cs="Times New Roman"/>
                <w:color w:val="000000" w:themeColor="text1"/>
                <w:kern w:val="2"/>
                <w:sz w:val="24"/>
                <w:szCs w:val="24"/>
                <w:lang w:val="en-US" w:eastAsia="zh-CN" w:bidi="ar"/>
                <w14:textFill>
                  <w14:solidFill>
                    <w14:schemeClr w14:val="tx1"/>
                  </w14:solidFill>
                </w14:textFill>
              </w:rPr>
              <w:t>。</w:t>
            </w:r>
            <w:r>
              <w:rPr>
                <w:rFonts w:hint="default" w:ascii="Times New Roman" w:hAnsi="Times New Roman" w:eastAsia="宋体" w:cs="Times New Roman"/>
                <w:spacing w:val="-7"/>
                <w:sz w:val="24"/>
                <w:szCs w:val="24"/>
                <w:lang w:val="en-US" w:eastAsia="zh-CN"/>
              </w:rPr>
              <w:t>建筑垃圾与</w:t>
            </w:r>
            <w:r>
              <w:rPr>
                <w:rFonts w:hint="default" w:ascii="Times New Roman" w:hAnsi="Times New Roman" w:eastAsia="宋体" w:cs="Times New Roman"/>
                <w:spacing w:val="-7"/>
                <w:sz w:val="24"/>
                <w:szCs w:val="24"/>
                <w:lang w:eastAsia="zh-CN"/>
              </w:rPr>
              <w:t>生活垃圾集中收集后</w:t>
            </w:r>
            <w:r>
              <w:rPr>
                <w:rFonts w:hint="default" w:ascii="Times New Roman" w:hAnsi="Times New Roman" w:eastAsia="宋体" w:cs="Times New Roman"/>
                <w:spacing w:val="-7"/>
                <w:sz w:val="24"/>
                <w:szCs w:val="24"/>
                <w:lang w:val="en-US" w:eastAsia="zh-CN"/>
              </w:rPr>
              <w:t>交由当地环卫部门</w:t>
            </w:r>
            <w:r>
              <w:rPr>
                <w:rFonts w:hint="default" w:ascii="Times New Roman" w:hAnsi="Times New Roman" w:eastAsia="宋体" w:cs="Times New Roman"/>
                <w:spacing w:val="-7"/>
                <w:sz w:val="24"/>
                <w:szCs w:val="24"/>
                <w:lang w:eastAsia="zh-CN"/>
              </w:rPr>
              <w:t>处理</w:t>
            </w:r>
            <w:r>
              <w:rPr>
                <w:rFonts w:hint="default" w:ascii="Times New Roman" w:hAnsi="Times New Roman" w:eastAsia="宋体" w:cs="Times New Roman"/>
                <w:spacing w:val="-7"/>
                <w:sz w:val="24"/>
                <w:szCs w:val="24"/>
                <w:lang w:val="en-US" w:eastAsia="zh-CN"/>
              </w:rPr>
              <w:t>。</w:t>
            </w:r>
          </w:p>
          <w:p w14:paraId="7753ABBE">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8"/>
                <w:sz w:val="24"/>
                <w:szCs w:val="24"/>
                <w:lang w:val="en-US" w:eastAsia="zh-CN"/>
              </w:rPr>
            </w:pPr>
            <w:r>
              <w:rPr>
                <w:rFonts w:hint="default" w:ascii="Times New Roman" w:hAnsi="Times New Roman" w:eastAsia="宋体" w:cs="Times New Roman"/>
                <w:spacing w:val="-7"/>
                <w:sz w:val="24"/>
                <w:szCs w:val="24"/>
                <w:lang w:eastAsia="zh-CN"/>
              </w:rPr>
              <w:t>经调查，施工期未发生因固体废物乱堆乱放而产生的纠纷或事故，施工期固体废物基本得到有效处理、处置，对周围环境影响较小。</w:t>
            </w:r>
          </w:p>
        </w:tc>
      </w:tr>
      <w:tr w14:paraId="2D9A21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vAlign w:val="center"/>
          </w:tcPr>
          <w:p w14:paraId="2B5E20B7">
            <w:pPr>
              <w:jc w:val="center"/>
              <w:rPr>
                <w:rFonts w:hint="default" w:ascii="Times New Roman" w:hAnsi="Times New Roman" w:cs="Times New Roman"/>
                <w:sz w:val="21"/>
              </w:rPr>
            </w:pPr>
          </w:p>
        </w:tc>
        <w:tc>
          <w:tcPr>
            <w:tcW w:w="610" w:type="dxa"/>
            <w:vAlign w:val="center"/>
          </w:tcPr>
          <w:p w14:paraId="7AFCBCB5">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社会</w:t>
            </w:r>
          </w:p>
          <w:p w14:paraId="6A55662F">
            <w:pPr>
              <w:spacing w:line="222" w:lineRule="auto"/>
              <w:jc w:val="center"/>
              <w:rPr>
                <w:rFonts w:hint="default" w:ascii="Times New Roman" w:hAnsi="Times New Roman" w:eastAsia="宋体" w:cs="Times New Roman"/>
                <w:snapToGrid w:val="0"/>
                <w:color w:val="000000"/>
                <w:kern w:val="0"/>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影响</w:t>
            </w:r>
          </w:p>
        </w:tc>
        <w:tc>
          <w:tcPr>
            <w:tcW w:w="7773" w:type="dxa"/>
            <w:vAlign w:val="center"/>
          </w:tcPr>
          <w:p w14:paraId="0042A5E1">
            <w:pPr>
              <w:keepNext w:val="0"/>
              <w:keepLines w:val="0"/>
              <w:pageBreakBefore w:val="0"/>
              <w:widowControl/>
              <w:kinsoku w:val="0"/>
              <w:wordWrap/>
              <w:overflowPunct/>
              <w:topLinePunct w:val="0"/>
              <w:autoSpaceDE w:val="0"/>
              <w:autoSpaceDN w:val="0"/>
              <w:bidi w:val="0"/>
              <w:adjustRightInd/>
              <w:snapToGrid/>
              <w:spacing w:line="360" w:lineRule="auto"/>
              <w:ind w:left="0" w:right="0" w:firstLine="452" w:firstLineChars="200"/>
              <w:jc w:val="left"/>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7"/>
                <w:sz w:val="24"/>
                <w:szCs w:val="24"/>
                <w:lang w:eastAsia="zh-CN"/>
              </w:rPr>
              <w:t>本项目建设期内无环境污染方面的不良社会反映。</w:t>
            </w:r>
          </w:p>
        </w:tc>
      </w:tr>
      <w:tr w14:paraId="345C4D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6" w:hRule="atLeast"/>
          <w:jc w:val="center"/>
        </w:trPr>
        <w:tc>
          <w:tcPr>
            <w:tcW w:w="678" w:type="dxa"/>
            <w:vMerge w:val="restart"/>
            <w:vAlign w:val="center"/>
          </w:tcPr>
          <w:p w14:paraId="0D6CC0DD">
            <w:pPr>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运营期</w:t>
            </w:r>
          </w:p>
        </w:tc>
        <w:tc>
          <w:tcPr>
            <w:tcW w:w="610" w:type="dxa"/>
            <w:vAlign w:val="center"/>
          </w:tcPr>
          <w:p w14:paraId="7FE7480E">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center"/>
          </w:tcPr>
          <w:p w14:paraId="35924E7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kern w:val="0"/>
                <w:sz w:val="24"/>
                <w:szCs w:val="24"/>
                <w:lang w:val="en-US" w:eastAsia="zh-CN" w:bidi="ar"/>
              </w:rPr>
              <w:t>本工程临时占地包括临时施工围堰、临时生产生活区、料场等。</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本项目主要是中水回用工程，新建一座</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及其他设施，</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容积为70万m</w:t>
            </w:r>
            <w:r>
              <w:rPr>
                <w:rFonts w:hint="default" w:ascii="Times New Roman" w:hAnsi="Times New Roman" w:cs="Times New Roman"/>
                <w:snapToGrid w:val="0"/>
                <w:color w:val="000000" w:themeColor="text1"/>
                <w:kern w:val="0"/>
                <w:sz w:val="24"/>
                <w:szCs w:val="24"/>
                <w:vertAlign w:val="superscript"/>
                <w:lang w:val="en-US" w:eastAsia="zh-CN" w:bidi="ar-SA"/>
                <w14:textFill>
                  <w14:solidFill>
                    <w14:schemeClr w14:val="tx1"/>
                  </w14:solidFill>
                </w14:textFill>
              </w:rPr>
              <w:t>3</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w:t>
            </w:r>
            <w:r>
              <w:rPr>
                <w:rFonts w:hint="eastAsia" w:ascii="Times New Roman" w:hAnsi="Times New Roman" w:cs="Times New Roman"/>
                <w:snapToGrid w:val="0"/>
                <w:color w:val="000000" w:themeColor="text1"/>
                <w:kern w:val="0"/>
                <w:sz w:val="24"/>
                <w:szCs w:val="24"/>
                <w:lang w:val="en-US" w:eastAsia="zh-CN" w:bidi="ar-SA"/>
                <w14:textFill>
                  <w14:solidFill>
                    <w14:schemeClr w14:val="tx1"/>
                  </w14:solidFill>
                </w14:textFill>
              </w:rPr>
              <w:t>项目区</w:t>
            </w:r>
            <w:r>
              <w:rPr>
                <w:rFonts w:hint="default" w:ascii="Times New Roman" w:hAnsi="Times New Roman" w:cs="Times New Roman"/>
                <w:color w:val="000000" w:themeColor="text1"/>
                <w:sz w:val="24"/>
                <w:szCs w:val="24"/>
                <w:highlight w:val="none"/>
                <w:lang w:eastAsia="zh-CN"/>
                <w14:textFill>
                  <w14:solidFill>
                    <w14:schemeClr w14:val="tx1"/>
                  </w14:solidFill>
                </w14:textFill>
              </w:rPr>
              <w:t>永久占地面积</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269335</w:t>
            </w:r>
            <w:r>
              <w:rPr>
                <w:rFonts w:hint="default" w:ascii="Times New Roman" w:hAnsi="Times New Roman" w:cs="Times New Roman"/>
                <w:color w:val="000000" w:themeColor="text1"/>
                <w:sz w:val="24"/>
                <w:szCs w:val="24"/>
                <w:lang w:val="en-US"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zCs w:val="24"/>
                <w:highlight w:val="none"/>
                <w:lang w:eastAsia="zh-CN"/>
                <w14:textFill>
                  <w14:solidFill>
                    <w14:schemeClr w14:val="tx1"/>
                  </w14:solidFill>
                </w14:textFill>
              </w:rPr>
              <w:t>占地类型均为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荒</w:t>
            </w:r>
            <w:r>
              <w:rPr>
                <w:rFonts w:hint="default" w:ascii="Times New Roman" w:hAnsi="Times New Roman" w:cs="Times New Roman"/>
                <w:color w:val="000000" w:themeColor="text1"/>
                <w:sz w:val="24"/>
                <w:szCs w:val="24"/>
                <w:highlight w:val="none"/>
                <w:lang w:eastAsia="zh-CN"/>
                <w14:textFill>
                  <w14:solidFill>
                    <w14:schemeClr w14:val="tx1"/>
                  </w14:solidFill>
                </w14:textFill>
              </w:rPr>
              <w:t>地，</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项目</w:t>
            </w:r>
            <w:r>
              <w:rPr>
                <w:rFonts w:hint="default" w:ascii="Times New Roman" w:hAnsi="Times New Roman" w:cs="Times New Roman"/>
                <w:color w:val="000000" w:themeColor="text1"/>
                <w:sz w:val="24"/>
                <w:szCs w:val="24"/>
                <w:highlight w:val="none"/>
                <w:lang w:eastAsia="zh-CN"/>
                <w14:textFill>
                  <w14:solidFill>
                    <w14:schemeClr w14:val="tx1"/>
                  </w14:solidFill>
                </w14:textFill>
              </w:rPr>
              <w:t>的建设不会对土地利用格局造成不利影响</w:t>
            </w:r>
            <w:r>
              <w:rPr>
                <w:rFonts w:hint="default" w:ascii="Times New Roman" w:hAnsi="Times New Roman" w:cs="Times New Roman"/>
                <w:color w:val="000000" w:themeColor="text1"/>
                <w:sz w:val="24"/>
                <w:szCs w:val="24"/>
                <w:highlight w:val="none"/>
                <w14:textFill>
                  <w14:solidFill>
                    <w14:schemeClr w14:val="tx1"/>
                  </w14:solidFill>
                </w14:textFill>
              </w:rPr>
              <w:t>。</w:t>
            </w:r>
          </w:p>
          <w:p w14:paraId="6BCD3009">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cs="Times New Roman"/>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本项目全线</w:t>
            </w:r>
            <w:r>
              <w:rPr>
                <w:rFonts w:hint="default" w:ascii="Times New Roman" w:hAnsi="Times New Roman" w:cs="Times New Roman"/>
                <w:color w:val="000000" w:themeColor="text1"/>
                <w:sz w:val="24"/>
                <w:szCs w:val="24"/>
                <w:lang w:eastAsia="zh-CN"/>
                <w14:textFill>
                  <w14:solidFill>
                    <w14:schemeClr w14:val="tx1"/>
                  </w14:solidFill>
                </w14:textFill>
              </w:rPr>
              <w:t>共设置</w:t>
            </w:r>
            <w:r>
              <w:rPr>
                <w:rFonts w:hint="default" w:ascii="Times New Roman" w:hAnsi="Times New Roman" w:cs="Times New Roman"/>
                <w:color w:val="000000" w:themeColor="text1"/>
                <w:sz w:val="24"/>
                <w:szCs w:val="24"/>
                <w:lang w:val="en-US" w:eastAsia="zh-CN"/>
                <w14:textFill>
                  <w14:solidFill>
                    <w14:schemeClr w14:val="tx1"/>
                  </w14:solidFill>
                </w14:textFill>
              </w:rPr>
              <w:t>1</w:t>
            </w:r>
            <w:r>
              <w:rPr>
                <w:rFonts w:hint="default" w:ascii="Times New Roman" w:hAnsi="Times New Roman" w:cs="Times New Roman"/>
                <w:color w:val="000000" w:themeColor="text1"/>
                <w:sz w:val="24"/>
                <w:szCs w:val="24"/>
                <w:lang w:eastAsia="zh-CN"/>
                <w14:textFill>
                  <w14:solidFill>
                    <w14:schemeClr w14:val="tx1"/>
                  </w14:solidFill>
                </w14:textFill>
              </w:rPr>
              <w:t>处</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cs="Times New Roman"/>
                <w:color w:val="000000" w:themeColor="text1"/>
                <w:sz w:val="24"/>
                <w:szCs w:val="24"/>
                <w:lang w:eastAsia="zh-CN"/>
                <w14:textFill>
                  <w14:solidFill>
                    <w14:schemeClr w14:val="tx1"/>
                  </w14:solidFill>
                </w14:textFill>
              </w:rPr>
              <w:t>（包括临时堆场、设备用房及搅拌区</w:t>
            </w:r>
            <w:r>
              <w:rPr>
                <w:rFonts w:hint="eastAsia" w:ascii="Times New Roman" w:hAnsi="Times New Roman" w:cs="Times New Roman"/>
                <w:color w:val="000000" w:themeColor="text1"/>
                <w:sz w:val="24"/>
                <w:szCs w:val="24"/>
                <w:lang w:val="en-US" w:eastAsia="zh-CN"/>
                <w14:textFill>
                  <w14:solidFill>
                    <w14:schemeClr w14:val="tx1"/>
                  </w14:solidFill>
                </w14:textFill>
              </w:rPr>
              <w:t>等</w:t>
            </w:r>
            <w:r>
              <w:rPr>
                <w:rFonts w:hint="default"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位于</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color w:val="000000" w:themeColor="text1"/>
                <w:sz w:val="24"/>
                <w:szCs w:val="24"/>
                <w:lang w:val="en-US" w:eastAsia="zh-CN"/>
                <w14:textFill>
                  <w14:solidFill>
                    <w14:schemeClr w14:val="tx1"/>
                  </w14:solidFill>
                </w14:textFill>
              </w:rPr>
              <w:t>东侧200m处，</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所处位置为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荒地，</w:t>
            </w:r>
            <w:r>
              <w:rPr>
                <w:rFonts w:hint="default" w:ascii="Times New Roman" w:hAnsi="Times New Roman" w:cs="Times New Roman"/>
                <w:b w:val="0"/>
                <w:bCs/>
                <w:color w:val="000000" w:themeColor="text1"/>
                <w:kern w:val="0"/>
                <w:sz w:val="24"/>
                <w:szCs w:val="24"/>
                <w14:textFill>
                  <w14:solidFill>
                    <w14:schemeClr w14:val="tx1"/>
                  </w14:solidFill>
                </w14:textFill>
              </w:rPr>
              <w:t>地势</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较为</w:t>
            </w:r>
            <w:r>
              <w:rPr>
                <w:rFonts w:hint="default" w:ascii="Times New Roman" w:hAnsi="Times New Roman" w:cs="Times New Roman"/>
                <w:b w:val="0"/>
                <w:bCs/>
                <w:color w:val="000000" w:themeColor="text1"/>
                <w:kern w:val="0"/>
                <w:sz w:val="24"/>
                <w:szCs w:val="24"/>
                <w14:textFill>
                  <w14:solidFill>
                    <w14:schemeClr w14:val="tx1"/>
                  </w14:solidFill>
                </w14:textFill>
              </w:rPr>
              <w:t>平坦</w:t>
            </w:r>
            <w:r>
              <w:rPr>
                <w:rFonts w:hint="default" w:ascii="Times New Roman" w:hAnsi="Times New Roman" w:cs="Times New Roman"/>
                <w:color w:val="000000" w:themeColor="text1"/>
                <w:sz w:val="24"/>
                <w:szCs w:val="24"/>
                <w:lang w:eastAsia="zh-CN"/>
                <w14:textFill>
                  <w14:solidFill>
                    <w14:schemeClr w14:val="tx1"/>
                  </w14:solidFill>
                </w14:textFill>
              </w:rPr>
              <w:t>，并与施工便道相连（施工便道为</w:t>
            </w:r>
            <w:r>
              <w:rPr>
                <w:rFonts w:hint="default" w:ascii="Times New Roman" w:hAnsi="Times New Roman" w:cs="Times New Roman"/>
                <w:color w:val="000000" w:themeColor="text1"/>
                <w:sz w:val="24"/>
                <w:szCs w:val="24"/>
                <w:lang w:val="en-US" w:eastAsia="zh-CN"/>
                <w14:textFill>
                  <w14:solidFill>
                    <w14:schemeClr w14:val="tx1"/>
                  </w14:solidFill>
                </w14:textFill>
              </w:rPr>
              <w:t>0.5km</w:t>
            </w:r>
            <w:r>
              <w:rPr>
                <w:rFonts w:hint="default" w:ascii="Times New Roman" w:hAnsi="Times New Roman" w:cs="Times New Roman"/>
                <w:color w:val="000000" w:themeColor="text1"/>
                <w:sz w:val="24"/>
                <w:szCs w:val="24"/>
                <w:lang w:eastAsia="zh-CN"/>
                <w14:textFill>
                  <w14:solidFill>
                    <w14:schemeClr w14:val="tx1"/>
                  </w14:solidFill>
                </w14:textFill>
              </w:rPr>
              <w:t>），交通运输便利。施工</w:t>
            </w:r>
            <w:r>
              <w:rPr>
                <w:rFonts w:hint="default" w:ascii="Times New Roman" w:hAnsi="Times New Roman" w:cs="Times New Roman"/>
                <w:color w:val="000000" w:themeColor="text1"/>
                <w:sz w:val="24"/>
                <w:szCs w:val="24"/>
                <w:lang w:val="en-US" w:eastAsia="zh-CN"/>
                <w14:textFill>
                  <w14:solidFill>
                    <w14:schemeClr w14:val="tx1"/>
                  </w14:solidFill>
                </w14:textFill>
              </w:rPr>
              <w:t>营地</w:t>
            </w:r>
            <w:r>
              <w:rPr>
                <w:rFonts w:hint="default" w:ascii="Times New Roman" w:hAnsi="Times New Roman" w:cs="Times New Roman"/>
                <w:color w:val="000000" w:themeColor="text1"/>
                <w:sz w:val="24"/>
                <w:szCs w:val="24"/>
                <w:lang w:eastAsia="zh-CN"/>
                <w14:textFill>
                  <w14:solidFill>
                    <w14:schemeClr w14:val="tx1"/>
                  </w14:solidFill>
                </w14:textFill>
              </w:rPr>
              <w:t>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4020</w:t>
            </w:r>
            <w:r>
              <w:rPr>
                <w:rFonts w:hint="default" w:ascii="Times New Roman" w:hAnsi="Times New Roman" w:cs="Times New Roman"/>
                <w:color w:val="000000" w:themeColor="text1"/>
                <w:sz w:val="24"/>
                <w:szCs w:val="24"/>
                <w:lang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，施工便道占地</w:t>
            </w:r>
            <w:r>
              <w:rPr>
                <w:rFonts w:hint="default" w:ascii="Times New Roman" w:hAnsi="Times New Roman" w:cs="Times New Roman"/>
                <w:color w:val="000000" w:themeColor="text1"/>
                <w:sz w:val="24"/>
                <w:szCs w:val="24"/>
                <w:lang w:val="en-US" w:eastAsia="zh-CN"/>
                <w14:textFill>
                  <w14:solidFill>
                    <w14:schemeClr w14:val="tx1"/>
                  </w14:solidFill>
                </w14:textFill>
              </w:rPr>
              <w:t>0.3hm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），占地类型主要为</w:t>
            </w:r>
            <w:r>
              <w:rPr>
                <w:rFonts w:hint="default" w:ascii="Times New Roman" w:hAnsi="Times New Roman" w:cs="Times New Roman"/>
                <w:color w:val="000000" w:themeColor="text1"/>
                <w:sz w:val="24"/>
                <w:szCs w:val="24"/>
                <w:lang w:val="en-US" w:eastAsia="zh-CN"/>
                <w14:textFill>
                  <w14:solidFill>
                    <w14:schemeClr w14:val="tx1"/>
                  </w14:solidFill>
                </w14:textFill>
              </w:rPr>
              <w:t>荒地</w:t>
            </w:r>
            <w:r>
              <w:rPr>
                <w:rFonts w:hint="default" w:ascii="Times New Roman" w:hAnsi="Times New Roman" w:cs="Times New Roman"/>
                <w:color w:val="000000" w:themeColor="text1"/>
                <w:sz w:val="24"/>
                <w:szCs w:val="24"/>
                <w:lang w:eastAsia="zh-CN"/>
                <w14:textFill>
                  <w14:solidFill>
                    <w14:schemeClr w14:val="tx1"/>
                  </w14:solidFill>
                </w14:textFill>
              </w:rPr>
              <w:t>。</w:t>
            </w:r>
          </w:p>
          <w:p w14:paraId="4770C9D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根据业主单位提供的资料，本项目</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位于</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东侧200m处，占地面积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，所在区域无重要保护文物、风景名胜区等，无其他制约性因子，地表覆盖植被较为稀疏，选址基本合理。</w:t>
            </w:r>
          </w:p>
        </w:tc>
      </w:tr>
      <w:tr w14:paraId="001A86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98" w:hRule="atLeast"/>
          <w:jc w:val="center"/>
        </w:trPr>
        <w:tc>
          <w:tcPr>
            <w:tcW w:w="678" w:type="dxa"/>
            <w:vMerge w:val="continue"/>
            <w:vAlign w:val="center"/>
          </w:tcPr>
          <w:p w14:paraId="64410277">
            <w:pPr>
              <w:jc w:val="center"/>
              <w:rPr>
                <w:rFonts w:hint="default" w:ascii="Times New Roman" w:hAnsi="Times New Roman" w:cs="Times New Roman"/>
                <w:sz w:val="21"/>
              </w:rPr>
            </w:pPr>
          </w:p>
        </w:tc>
        <w:tc>
          <w:tcPr>
            <w:tcW w:w="610" w:type="dxa"/>
            <w:vAlign w:val="center"/>
          </w:tcPr>
          <w:p w14:paraId="7ECDBC85">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14:paraId="7512DA95">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1、运营期</w:t>
            </w:r>
            <w:r>
              <w:rPr>
                <w:rFonts w:hint="eastAsia" w:ascii="Times New Roman" w:hAnsi="Times New Roman" w:eastAsia="宋体" w:cs="Times New Roman"/>
                <w:b/>
                <w:bCs/>
                <w:snapToGrid w:val="0"/>
                <w:color w:val="000000"/>
                <w:kern w:val="0"/>
                <w:sz w:val="24"/>
                <w:szCs w:val="24"/>
                <w:lang w:val="en-US" w:eastAsia="zh-CN" w:bidi="ar"/>
              </w:rPr>
              <w:t>地下</w:t>
            </w:r>
            <w:r>
              <w:rPr>
                <w:rFonts w:hint="default" w:ascii="Times New Roman" w:hAnsi="Times New Roman" w:eastAsia="宋体" w:cs="Times New Roman"/>
                <w:b/>
                <w:bCs/>
                <w:snapToGrid w:val="0"/>
                <w:color w:val="000000"/>
                <w:kern w:val="0"/>
                <w:sz w:val="24"/>
                <w:szCs w:val="24"/>
                <w:lang w:val="en-US" w:eastAsia="zh-CN" w:bidi="ar"/>
              </w:rPr>
              <w:t>水</w:t>
            </w:r>
            <w:r>
              <w:rPr>
                <w:rFonts w:hint="eastAsia" w:ascii="Times New Roman" w:hAnsi="Times New Roman" w:eastAsia="宋体" w:cs="Times New Roman"/>
                <w:b/>
                <w:bCs/>
                <w:snapToGrid w:val="0"/>
                <w:color w:val="000000"/>
                <w:kern w:val="0"/>
                <w:sz w:val="24"/>
                <w:szCs w:val="24"/>
                <w:lang w:val="en-US" w:eastAsia="zh-CN" w:bidi="ar"/>
              </w:rPr>
              <w:t>、土壤</w:t>
            </w:r>
            <w:r>
              <w:rPr>
                <w:rFonts w:hint="default" w:ascii="Times New Roman" w:hAnsi="Times New Roman" w:eastAsia="宋体" w:cs="Times New Roman"/>
                <w:b/>
                <w:bCs/>
                <w:snapToGrid w:val="0"/>
                <w:color w:val="000000"/>
                <w:kern w:val="0"/>
                <w:sz w:val="24"/>
                <w:szCs w:val="24"/>
                <w:lang w:val="en-US" w:eastAsia="zh-CN" w:bidi="ar"/>
              </w:rPr>
              <w:t>污染防治措施</w:t>
            </w:r>
          </w:p>
          <w:p w14:paraId="59C280E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库盘</w:t>
            </w:r>
            <w:r>
              <w:rPr>
                <w:rFonts w:hint="eastAsia" w:cs="Times New Roman"/>
                <w:color w:val="000000" w:themeColor="text1"/>
                <w:sz w:val="24"/>
                <w:szCs w:val="24"/>
                <w:lang w:val="en-US" w:eastAsia="zh-CN"/>
                <w14:textFill>
                  <w14:solidFill>
                    <w14:schemeClr w14:val="tx1"/>
                  </w14:solidFill>
                </w14:textFill>
              </w:rPr>
              <w:t>和边坡</w:t>
            </w:r>
            <w:r>
              <w:rPr>
                <w:rFonts w:hint="default" w:ascii="Times New Roman" w:hAnsi="Times New Roman" w:cs="Times New Roman"/>
                <w:color w:val="000000" w:themeColor="text1"/>
                <w:sz w:val="24"/>
                <w:szCs w:val="24"/>
                <w:lang w:val="en-US" w:eastAsia="zh-CN"/>
                <w14:textFill>
                  <w14:solidFill>
                    <w14:schemeClr w14:val="tx1"/>
                  </w14:solidFill>
                </w14:textFill>
              </w:rPr>
              <w:t>采用复合土工膜防渗，复合土工膜采用两布一膜，膜布分离，土工膜采用聚乙烯膜，厚0.5mm，单层布重250g/m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lang w:val="en-US" w:eastAsia="zh-CN"/>
                <w14:textFill>
                  <w14:solidFill>
                    <w14:schemeClr w14:val="tx1"/>
                  </w14:solidFill>
                </w14:textFill>
              </w:rPr>
              <w:t>，土工膜上设0.8m厚覆土做为保护层。采取上述地下水防渗、漏措施后，结合项目所在地地质资料，可保证渗透系数不大于10</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-7</w:t>
            </w:r>
            <w:r>
              <w:rPr>
                <w:rFonts w:hint="default" w:ascii="Times New Roman" w:hAnsi="Times New Roman" w:cs="Times New Roman"/>
                <w:color w:val="000000" w:themeColor="text1"/>
                <w:sz w:val="24"/>
                <w:szCs w:val="24"/>
                <w:lang w:val="en-US" w:eastAsia="zh-CN"/>
                <w14:textFill>
                  <w14:solidFill>
                    <w14:schemeClr w14:val="tx1"/>
                  </w14:solidFill>
                </w14:textFill>
              </w:rPr>
              <w:t>cm/s，</w:t>
            </w:r>
            <w:r>
              <w:rPr>
                <w:rFonts w:hint="eastAsia" w:cs="Times New Roman"/>
                <w:color w:val="000000" w:themeColor="text1"/>
                <w:sz w:val="24"/>
                <w:szCs w:val="24"/>
                <w:lang w:val="en-US" w:eastAsia="zh-CN"/>
                <w14:textFill>
                  <w14:solidFill>
                    <w14:schemeClr w14:val="tx1"/>
                  </w14:solidFill>
                </w14:textFill>
              </w:rPr>
              <w:t>防渗工程合理，</w:t>
            </w:r>
            <w:r>
              <w:rPr>
                <w:rFonts w:hint="default" w:ascii="Times New Roman" w:hAnsi="Times New Roman" w:cs="Times New Roman"/>
                <w:color w:val="000000" w:themeColor="text1"/>
                <w:sz w:val="24"/>
                <w:szCs w:val="24"/>
                <w:lang w:val="en-US" w:eastAsia="zh-CN"/>
                <w14:textFill>
                  <w14:solidFill>
                    <w14:schemeClr w14:val="tx1"/>
                  </w14:solidFill>
                </w14:textFill>
              </w:rPr>
              <w:t>可以有效</w:t>
            </w:r>
            <w:r>
              <w:rPr>
                <w:rFonts w:hint="eastAsia" w:cs="Times New Roman"/>
                <w:color w:val="000000" w:themeColor="text1"/>
                <w:sz w:val="24"/>
                <w:szCs w:val="24"/>
                <w:lang w:val="en-US" w:eastAsia="zh-CN"/>
                <w14:textFill>
                  <w14:solidFill>
                    <w14:schemeClr w14:val="tx1"/>
                  </w14:solidFill>
                </w14:textFill>
              </w:rPr>
              <w:t>的</w:t>
            </w:r>
            <w:r>
              <w:rPr>
                <w:rFonts w:hint="default" w:ascii="Times New Roman" w:hAnsi="Times New Roman" w:cs="Times New Roman"/>
                <w:color w:val="000000" w:themeColor="text1"/>
                <w:sz w:val="24"/>
                <w:szCs w:val="24"/>
                <w:lang w:val="en-US" w:eastAsia="zh-CN"/>
                <w14:textFill>
                  <w14:solidFill>
                    <w14:schemeClr w14:val="tx1"/>
                  </w14:solidFill>
                </w14:textFill>
              </w:rPr>
              <w:t>防治地下水、土壤污染。</w:t>
            </w:r>
          </w:p>
          <w:p w14:paraId="59C15F86">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2、运营期环境空气污染防治措施</w:t>
            </w:r>
          </w:p>
          <w:p w14:paraId="1F926669">
            <w:pPr>
              <w:keepNext w:val="0"/>
              <w:keepLines w:val="0"/>
              <w:pageBreakBefore w:val="0"/>
              <w:widowControl/>
              <w:suppressLineNumbers w:val="0"/>
              <w:kinsoku/>
              <w:wordWrap/>
              <w:overflowPunct/>
              <w:topLinePunct w:val="0"/>
              <w:autoSpaceDE/>
              <w:autoSpaceDN/>
              <w:bidi w:val="0"/>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本</w:t>
            </w:r>
            <w:r>
              <w:rPr>
                <w:rFonts w:hint="default" w:ascii="Times New Roman" w:hAnsi="Times New Roman" w:eastAsia="宋体" w:cs="Times New Roman"/>
                <w:snapToGrid w:val="0"/>
                <w:color w:val="000000"/>
                <w:kern w:val="0"/>
                <w:sz w:val="24"/>
                <w:szCs w:val="24"/>
                <w:lang w:val="en-US" w:eastAsia="zh-CN" w:bidi="ar"/>
              </w:rPr>
              <w:t>项目运营期无废气排放，对环境空气影响较小。</w:t>
            </w:r>
          </w:p>
          <w:p w14:paraId="510F2AE5">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3、运营期噪声污染防治措施</w:t>
            </w:r>
          </w:p>
          <w:p w14:paraId="46D037AC">
            <w:pPr>
              <w:pStyle w:val="40"/>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outlineLvl w:val="9"/>
              <w:rPr>
                <w:rFonts w:hint="default"/>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本项目提水泵站中水泵、电机运行过程产生的机械噪声，通过</w:t>
            </w:r>
            <w:r>
              <w:rPr>
                <w:rFonts w:hint="eastAsia" w:ascii="Times New Roman" w:hAnsi="Times New Roman" w:cs="Times New Roman"/>
                <w:color w:val="000000" w:themeColor="text1"/>
                <w:lang w:val="en-US" w:eastAsia="zh-CN"/>
                <w14:textFill>
                  <w14:solidFill>
                    <w14:schemeClr w14:val="tx1"/>
                  </w14:solidFill>
                </w14:textFill>
              </w:rPr>
              <w:t>选用低噪声设备，采取减振、密闭、隔声等处理措施，有效防治了噪声污染。</w:t>
            </w:r>
          </w:p>
          <w:p w14:paraId="030ED043">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4、运营期固体废弃物污染防治措施</w:t>
            </w:r>
          </w:p>
          <w:p w14:paraId="3EB1B8B5">
            <w:pPr>
              <w:keepNext w:val="0"/>
              <w:keepLines w:val="0"/>
              <w:pageBreakBefore w:val="0"/>
              <w:widowControl/>
              <w:suppressLineNumbers w:val="0"/>
              <w:kinsoku/>
              <w:wordWrap/>
              <w:overflowPunct/>
              <w:topLinePunct w:val="0"/>
              <w:autoSpaceDE/>
              <w:autoSpaceDN/>
              <w:bidi w:val="0"/>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本</w:t>
            </w:r>
            <w:r>
              <w:rPr>
                <w:rFonts w:hint="default" w:ascii="Times New Roman" w:hAnsi="Times New Roman" w:eastAsia="宋体" w:cs="Times New Roman"/>
                <w:snapToGrid w:val="0"/>
                <w:color w:val="000000"/>
                <w:kern w:val="0"/>
                <w:sz w:val="24"/>
                <w:szCs w:val="24"/>
                <w:lang w:val="en-US" w:eastAsia="zh-CN" w:bidi="ar"/>
              </w:rPr>
              <w:t>项目运营期无固体废弃物产生，无管理人员，无生活垃圾产生。</w:t>
            </w:r>
          </w:p>
          <w:p w14:paraId="1F3F70E8">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5、运营期生态影响防治措施</w:t>
            </w:r>
          </w:p>
          <w:p w14:paraId="0C4157B5">
            <w:pPr>
              <w:keepNext w:val="0"/>
              <w:keepLines w:val="0"/>
              <w:pageBreakBefore w:val="0"/>
              <w:widowControl/>
              <w:suppressLineNumbers w:val="0"/>
              <w:kinsoku/>
              <w:wordWrap/>
              <w:overflowPunct/>
              <w:topLinePunct w:val="0"/>
              <w:autoSpaceDE/>
              <w:autoSpaceDN/>
              <w:bidi w:val="0"/>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项目建成后应定期检查河堤护坡安全，防止水土流失；加强项目管理，确保安全运行。禁止捕杀、砍伐灌区内外的野生动物及与工程无关的植被。</w:t>
            </w:r>
          </w:p>
          <w:p w14:paraId="6331C1C0">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6、</w:t>
            </w:r>
            <w:r>
              <w:rPr>
                <w:rFonts w:hint="default" w:ascii="Times New Roman" w:hAnsi="Times New Roman" w:eastAsia="宋体" w:cs="Times New Roman"/>
                <w:b/>
                <w:color w:val="000000" w:themeColor="text1"/>
                <w:kern w:val="2"/>
                <w:sz w:val="24"/>
                <w:szCs w:val="24"/>
                <w:lang w:val="en-US" w:eastAsia="zh-CN" w:bidi="ar"/>
                <w14:textFill>
                  <w14:solidFill>
                    <w14:schemeClr w14:val="tx1"/>
                  </w14:solidFill>
                </w14:textFill>
              </w:rPr>
              <w:t>风险防范措施</w:t>
            </w:r>
          </w:p>
          <w:p w14:paraId="709664F7">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①</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制定严格的管理制度，加强运营期的管理。为防止发生</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大坝破坏和溃决，应依次做好勘测、设计、施工、验收、运行、鉴定、加固工作。</w:t>
            </w:r>
          </w:p>
          <w:p w14:paraId="1C5F251D">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②</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加强工程施工质量管理和工程施工监理，组织工程质量监督、检查、评估和验收，做到施工工艺规范、施工用材合理和施工作业严格，并做好遗留尾工处理，保证工程质量。</w:t>
            </w:r>
          </w:p>
          <w:p w14:paraId="6307766B">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③</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针对可能发生的进水污染事故，</w:t>
            </w:r>
            <w:r>
              <w:rPr>
                <w:rFonts w:hint="eastAsia" w:cs="Times New Roman"/>
                <w:color w:val="000000" w:themeColor="text1"/>
                <w:sz w:val="24"/>
                <w:szCs w:val="24"/>
                <w:lang w:val="en-US" w:eastAsia="zh-CN"/>
                <w14:textFill>
                  <w14:solidFill>
                    <w14:schemeClr w14:val="tx1"/>
                  </w14:solidFill>
                </w14:textFill>
              </w:rPr>
              <w:t>进水水质达不到入库要求时，</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建立合适的事故处理程序、机制和措施。一旦发生事故，则采取相应的措施，将事故对环境的影响控制在最小或较小范围内。同时关闭</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近视口阀门，将事故废水排入调节池内进行收集，在事故及非正常工况结束后，对废水进行深度处理，达标后再排入</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09B82AE1">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④</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建设单位应编制完备的风险应急预案并加以演练，减少环境风险发生后的影响。</w:t>
            </w:r>
          </w:p>
          <w:p w14:paraId="2AC0789F">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（2）排水管网污染防治措施与对策</w:t>
            </w:r>
          </w:p>
          <w:p w14:paraId="14E3D3A7">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①</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建立排水管网定期巡检制度，出现事故应及时修复，避免污水或再生水长期溢漏。</w:t>
            </w:r>
          </w:p>
          <w:p w14:paraId="0C454E3A">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②</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进口流量和出口流量，每天必须定时测量并记录，发现流量误差应及时找出原因，及时处理。</w:t>
            </w:r>
          </w:p>
          <w:p w14:paraId="3C2EDC52">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③</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在水质控制方面，要定期化验，发现污染物超标，要立即向污水处理厂反馈信息，并做出相应的补救措施。</w:t>
            </w:r>
          </w:p>
          <w:p w14:paraId="086022CE">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r>
              <w:rPr>
                <w:rFonts w:hint="eastAsia" w:cs="Times New Roman"/>
                <w:color w:val="000000" w:themeColor="text1"/>
                <w:sz w:val="24"/>
                <w:szCs w:val="24"/>
                <w:lang w:val="en-US" w:eastAsia="zh-CN"/>
                <w14:textFill>
                  <w14:solidFill>
                    <w14:schemeClr w14:val="tx1"/>
                  </w14:solidFill>
                </w14:textFill>
              </w:rPr>
              <w:t>风险应急预案</w:t>
            </w:r>
          </w:p>
          <w:p w14:paraId="40E5FF08">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000000"/>
                <w:kern w:val="0"/>
                <w:sz w:val="24"/>
                <w:szCs w:val="24"/>
              </w:rPr>
            </w:pPr>
            <w:r>
              <w:rPr>
                <w:rFonts w:hint="eastAsia"/>
                <w:sz w:val="24"/>
                <w:szCs w:val="24"/>
                <w:lang w:val="en-US" w:eastAsia="zh-CN"/>
              </w:rPr>
              <w:t>建设单位应建立健全环境风险防控体系，制定环境风险应急预案，建设突发事件应急物资储备库，成立应急组织机构，与上级主管部门形成应急联动机制。</w:t>
            </w:r>
          </w:p>
        </w:tc>
      </w:tr>
    </w:tbl>
    <w:p w14:paraId="32EBDE94">
      <w:pPr>
        <w:spacing w:line="74" w:lineRule="exact"/>
        <w:rPr>
          <w:rFonts w:hint="default" w:ascii="Times New Roman" w:hAnsi="Times New Roman" w:cs="Times New Roman"/>
        </w:rPr>
      </w:pPr>
    </w:p>
    <w:p w14:paraId="00BBE09C">
      <w:pPr>
        <w:rPr>
          <w:rFonts w:hint="default" w:ascii="Times New Roman" w:hAnsi="Times New Roman" w:cs="Times New Roman"/>
          <w:sz w:val="21"/>
        </w:rPr>
      </w:pPr>
    </w:p>
    <w:p w14:paraId="43FD6D21">
      <w:pPr>
        <w:rPr>
          <w:rFonts w:hint="default" w:ascii="Times New Roman" w:hAnsi="Times New Roman" w:cs="Times New Roman"/>
        </w:rPr>
        <w:sectPr>
          <w:footerReference r:id="rId15"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3A598376">
      <w:pPr>
        <w:pStyle w:val="3"/>
        <w:bidi w:val="0"/>
        <w:rPr>
          <w:rFonts w:hint="default" w:ascii="Times New Roman" w:hAnsi="Times New Roman" w:cs="Times New Roman"/>
          <w:sz w:val="32"/>
          <w:szCs w:val="52"/>
        </w:rPr>
      </w:pPr>
      <w:bookmarkStart w:id="9" w:name="_Toc28838"/>
      <w:r>
        <w:rPr>
          <w:rFonts w:hint="default" w:ascii="Times New Roman" w:hAnsi="Times New Roman" w:cs="Times New Roman"/>
          <w:sz w:val="32"/>
          <w:szCs w:val="52"/>
        </w:rPr>
        <w:t>表九 环境质量及污染源监测(附监测图)</w:t>
      </w:r>
      <w:bookmarkEnd w:id="9"/>
    </w:p>
    <w:tbl>
      <w:tblPr>
        <w:tblStyle w:val="28"/>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autofit"/>
        <w:tblCellMar>
          <w:top w:w="0" w:type="dxa"/>
          <w:left w:w="0" w:type="dxa"/>
          <w:bottom w:w="0" w:type="dxa"/>
          <w:right w:w="0" w:type="dxa"/>
        </w:tblCellMar>
      </w:tblPr>
      <w:tblGrid>
        <w:gridCol w:w="9227"/>
      </w:tblGrid>
      <w:tr w14:paraId="42CC3E7F">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652" w:hRule="atLeast"/>
        </w:trPr>
        <w:tc>
          <w:tcPr>
            <w:tcW w:w="9029" w:type="dxa"/>
            <w:vAlign w:val="top"/>
          </w:tcPr>
          <w:tbl>
            <w:tblPr>
              <w:tblStyle w:val="2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2876"/>
              <w:gridCol w:w="1969"/>
              <w:gridCol w:w="1969"/>
              <w:gridCol w:w="1970"/>
            </w:tblGrid>
            <w:tr w14:paraId="4BF13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535C4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项目</w:t>
                  </w:r>
                </w:p>
              </w:tc>
              <w:tc>
                <w:tcPr>
                  <w:tcW w:w="1461" w:type="pct"/>
                  <w:vAlign w:val="center"/>
                </w:tcPr>
                <w:p w14:paraId="524A53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b/>
                      <w:bCs/>
                      <w:sz w:val="21"/>
                      <w:szCs w:val="21"/>
                      <w:lang w:val="en-US" w:eastAsia="zh-CN"/>
                    </w:rPr>
                  </w:pPr>
                  <w:r>
                    <w:rPr>
                      <w:rFonts w:hint="eastAsia" w:ascii="Times New Roman" w:hAnsi="Times New Roman" w:eastAsia="宋体" w:cs="Times New Roman"/>
                      <w:b/>
                      <w:bCs/>
                      <w:sz w:val="21"/>
                      <w:szCs w:val="21"/>
                      <w:vertAlign w:val="baseline"/>
                      <w:lang w:val="en-US" w:eastAsia="zh-CN"/>
                    </w:rPr>
                    <w:t>监测时间、</w:t>
                  </w:r>
                  <w:r>
                    <w:rPr>
                      <w:rFonts w:hint="eastAsia" w:eastAsia="宋体" w:cs="Times New Roman"/>
                      <w:b/>
                      <w:bCs/>
                      <w:sz w:val="21"/>
                      <w:szCs w:val="21"/>
                      <w:vertAlign w:val="baseline"/>
                      <w:lang w:val="en-US" w:eastAsia="zh-CN"/>
                    </w:rPr>
                    <w:t>监测频次</w:t>
                  </w:r>
                </w:p>
              </w:tc>
              <w:tc>
                <w:tcPr>
                  <w:tcW w:w="1000" w:type="pct"/>
                  <w:vAlign w:val="center"/>
                </w:tcPr>
                <w:p w14:paraId="1811A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监测点位</w:t>
                  </w:r>
                </w:p>
              </w:tc>
              <w:tc>
                <w:tcPr>
                  <w:tcW w:w="1000" w:type="pct"/>
                  <w:vAlign w:val="center"/>
                </w:tcPr>
                <w:p w14:paraId="42BF1F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监测项目</w:t>
                  </w:r>
                </w:p>
              </w:tc>
              <w:tc>
                <w:tcPr>
                  <w:tcW w:w="1000" w:type="pct"/>
                  <w:vAlign w:val="center"/>
                </w:tcPr>
                <w:p w14:paraId="27943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监测结果分析</w:t>
                  </w:r>
                </w:p>
              </w:tc>
            </w:tr>
            <w:tr w14:paraId="5DF7F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287A0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生态</w:t>
                  </w:r>
                </w:p>
              </w:tc>
              <w:tc>
                <w:tcPr>
                  <w:tcW w:w="1461" w:type="pct"/>
                  <w:vAlign w:val="center"/>
                </w:tcPr>
                <w:p w14:paraId="132BCC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72F4DB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6DFC05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71F6E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14:paraId="422CF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06CDF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w:t>
                  </w:r>
                </w:p>
              </w:tc>
              <w:tc>
                <w:tcPr>
                  <w:tcW w:w="1461" w:type="pct"/>
                  <w:vAlign w:val="center"/>
                </w:tcPr>
                <w:p w14:paraId="0A257F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1C2229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6C9EE4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6E93EE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r>
            <w:tr w14:paraId="57E83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1" w:hRule="atLeast"/>
                <w:jc w:val="center"/>
              </w:trPr>
              <w:tc>
                <w:tcPr>
                  <w:tcW w:w="537" w:type="pct"/>
                  <w:vAlign w:val="center"/>
                </w:tcPr>
                <w:p w14:paraId="302B6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水</w:t>
                  </w:r>
                </w:p>
              </w:tc>
              <w:tc>
                <w:tcPr>
                  <w:tcW w:w="4462" w:type="pct"/>
                  <w:gridSpan w:val="4"/>
                  <w:vAlign w:val="center"/>
                </w:tcPr>
                <w:p w14:paraId="33038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本项目委托新疆锡水金山环境科技有限公司对第十四师皮山农场污水资源化利用项目进行了建设</w:t>
                  </w:r>
                  <w:r>
                    <w:rPr>
                      <w:rFonts w:hint="eastAsia" w:ascii="宋体" w:hAnsi="宋体" w:eastAsia="宋体" w:cs="宋体"/>
                      <w:spacing w:val="-1"/>
                      <w:sz w:val="24"/>
                      <w:szCs w:val="24"/>
                      <w:lang w:val="en-US" w:eastAsia="zh-CN"/>
                    </w:rPr>
                    <w:t>项目竣工环境保护验收监测，监测时间</w:t>
                  </w:r>
                  <w:r>
                    <w:rPr>
                      <w:rFonts w:hint="default" w:ascii="Times New Roman" w:hAnsi="Times New Roman" w:eastAsia="宋体" w:cs="Times New Roman"/>
                      <w:spacing w:val="-1"/>
                      <w:sz w:val="24"/>
                      <w:szCs w:val="24"/>
                      <w:lang w:val="en-US" w:eastAsia="zh-CN"/>
                    </w:rPr>
                    <w:t>为2024年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eastAsia" w:ascii="宋体" w:hAnsi="宋体" w:eastAsia="宋体" w:cs="宋体"/>
                      <w:spacing w:val="-1"/>
                      <w:sz w:val="24"/>
                      <w:szCs w:val="24"/>
                      <w:lang w:val="en-US" w:eastAsia="zh-CN"/>
                    </w:rPr>
                    <w:t>日-</w:t>
                  </w:r>
                  <w:r>
                    <w:rPr>
                      <w:rFonts w:hint="default" w:ascii="Times New Roman" w:hAnsi="Times New Roman" w:eastAsia="宋体" w:cs="Times New Roman"/>
                      <w:spacing w:val="-1"/>
                      <w:sz w:val="24"/>
                      <w:szCs w:val="24"/>
                      <w:lang w:val="en-US" w:eastAsia="zh-CN"/>
                    </w:rPr>
                    <w:t>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：1.8</w:t>
                  </w:r>
                  <w:r>
                    <w:rPr>
                      <w:rFonts w:hint="default" w:ascii="Times New Roman" w:hAnsi="Times New Roman" w:eastAsia="宋体" w:cs="Times New Roman"/>
                      <w:spacing w:val="-1"/>
                      <w:sz w:val="24"/>
                      <w:szCs w:val="24"/>
                      <w:lang w:val="en-US" w:eastAsia="zh-CN"/>
                    </w:rPr>
                    <w:t>m/s。2024年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1.2m/s。</w:t>
                  </w:r>
                </w:p>
                <w:p w14:paraId="117E8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验收监测内容</w:t>
                  </w:r>
                </w:p>
                <w:p w14:paraId="7ADFD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监测内容见表9-1。</w:t>
                  </w:r>
                </w:p>
                <w:p w14:paraId="33B43B9D">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表9-1  验收监测内容</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3"/>
                    <w:gridCol w:w="1460"/>
                    <w:gridCol w:w="3536"/>
                    <w:gridCol w:w="1159"/>
                    <w:gridCol w:w="1447"/>
                  </w:tblGrid>
                  <w:tr w14:paraId="7B934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557" w:type="pct"/>
                        <w:vAlign w:val="center"/>
                      </w:tcPr>
                      <w:p w14:paraId="24A7897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853" w:type="pct"/>
                        <w:vAlign w:val="center"/>
                      </w:tcPr>
                      <w:p w14:paraId="10F45852">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2066" w:type="pct"/>
                        <w:vAlign w:val="center"/>
                      </w:tcPr>
                      <w:p w14:paraId="6359D831">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677" w:type="pct"/>
                        <w:vAlign w:val="center"/>
                      </w:tcPr>
                      <w:p w14:paraId="4D496846">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845" w:type="pct"/>
                        <w:vAlign w:val="center"/>
                      </w:tcPr>
                      <w:p w14:paraId="61D2DFC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14:paraId="285A2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7" w:type="pct"/>
                        <w:vAlign w:val="center"/>
                      </w:tcPr>
                      <w:p w14:paraId="59D56D3C">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废水</w:t>
                        </w:r>
                      </w:p>
                    </w:tc>
                    <w:tc>
                      <w:tcPr>
                        <w:tcW w:w="853" w:type="pct"/>
                        <w:vAlign w:val="center"/>
                      </w:tcPr>
                      <w:p w14:paraId="292E9BE6">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hAnsi="宋体"/>
                            <w:sz w:val="21"/>
                            <w:szCs w:val="21"/>
                            <w:highlight w:val="none"/>
                            <w:lang w:val="en-US" w:eastAsia="zh-CN"/>
                          </w:rPr>
                          <w:t>管网进口1</w:t>
                        </w:r>
                        <w:r>
                          <w:rPr>
                            <w:rFonts w:hint="eastAsia" w:hAnsi="宋体"/>
                            <w:sz w:val="21"/>
                            <w:szCs w:val="21"/>
                            <w:highlight w:val="none"/>
                            <w:vertAlign w:val="superscript"/>
                            <w:lang w:val="en-US" w:eastAsia="zh-CN"/>
                          </w:rPr>
                          <w:t>#</w:t>
                        </w:r>
                      </w:p>
                    </w:tc>
                    <w:tc>
                      <w:tcPr>
                        <w:tcW w:w="2066" w:type="pct"/>
                        <w:vAlign w:val="center"/>
                      </w:tcPr>
                      <w:p w14:paraId="4139C888">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Times New Roman" w:hAnsi="Times New Roman" w:eastAsia="宋体" w:cs="Times New Roman"/>
                            <w:bCs/>
                            <w:color w:val="auto"/>
                            <w:sz w:val="21"/>
                            <w:szCs w:val="21"/>
                            <w:highlight w:val="none"/>
                            <w:lang w:val="en-US" w:eastAsia="zh-CN" w:bidi="ar"/>
                          </w:rPr>
                          <w:t>pH、</w:t>
                        </w:r>
                        <w:r>
                          <w:rPr>
                            <w:rFonts w:hint="eastAsia" w:cs="Times New Roman"/>
                            <w:bCs/>
                            <w:color w:val="auto"/>
                            <w:sz w:val="21"/>
                            <w:szCs w:val="21"/>
                            <w:highlight w:val="none"/>
                            <w:lang w:val="en-US" w:eastAsia="zh-CN" w:bidi="ar"/>
                          </w:rPr>
                          <w:t>五日生化需氧量、化学需氧量、阴离子表面活性剂、动植物油、石油类、氨氮、总汞、*六价铬、总砷、总铅、总镉、总磷、总氮、*粪大肠菌群</w:t>
                        </w:r>
                      </w:p>
                    </w:tc>
                    <w:tc>
                      <w:tcPr>
                        <w:tcW w:w="677" w:type="pct"/>
                        <w:vAlign w:val="center"/>
                      </w:tcPr>
                      <w:p w14:paraId="19087819">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w:t>
                        </w:r>
                      </w:p>
                    </w:tc>
                    <w:tc>
                      <w:tcPr>
                        <w:tcW w:w="845" w:type="pct"/>
                        <w:vAlign w:val="center"/>
                      </w:tcPr>
                      <w:p w14:paraId="5E8DBC6B">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2天，每天4次</w:t>
                        </w:r>
                      </w:p>
                    </w:tc>
                  </w:tr>
                </w:tbl>
                <w:p w14:paraId="1C7CE87B">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ascii="Times New Roman" w:hAnsi="Times New Roman" w:eastAsia="宋体" w:cs="Times New Roman"/>
                      <w:snapToGrid w:val="0"/>
                      <w:color w:val="000000"/>
                      <w:kern w:val="0"/>
                      <w:sz w:val="24"/>
                      <w:szCs w:val="24"/>
                      <w:lang w:val="en-US" w:eastAsia="zh-CN" w:bidi="ar"/>
                    </w:rPr>
                    <w:t>2</w:t>
                  </w:r>
                  <w:r>
                    <w:rPr>
                      <w:rFonts w:hint="default" w:ascii="Times New Roman" w:hAnsi="Times New Roman" w:eastAsia="宋体" w:cs="Times New Roman"/>
                      <w:snapToGrid w:val="0"/>
                      <w:color w:val="000000"/>
                      <w:kern w:val="0"/>
                      <w:sz w:val="24"/>
                      <w:szCs w:val="24"/>
                      <w:lang w:val="en-US" w:eastAsia="zh-CN" w:bidi="ar"/>
                    </w:rPr>
                    <w:t>.</w:t>
                  </w:r>
                  <w:r>
                    <w:rPr>
                      <w:rFonts w:hint="eastAsia" w:eastAsia="宋体" w:cs="Times New Roman"/>
                      <w:b w:val="0"/>
                      <w:bCs w:val="0"/>
                      <w:sz w:val="24"/>
                      <w:szCs w:val="24"/>
                      <w:vertAlign w:val="baseline"/>
                      <w:lang w:val="en-US" w:eastAsia="zh-CN"/>
                    </w:rPr>
                    <w:t>废水检测结果见下表。</w:t>
                  </w:r>
                </w:p>
                <w:p w14:paraId="17DCE7AD">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eastAsia="宋体" w:cs="Times New Roman"/>
                      <w:b/>
                      <w:bCs/>
                      <w:sz w:val="21"/>
                      <w:szCs w:val="21"/>
                      <w:vertAlign w:val="baseline"/>
                      <w:lang w:val="en-US" w:eastAsia="zh-CN"/>
                    </w:rPr>
                    <w:t>表9-2  水质检测结果表</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1"/>
                    <w:gridCol w:w="1145"/>
                    <w:gridCol w:w="1320"/>
                    <w:gridCol w:w="995"/>
                    <w:gridCol w:w="995"/>
                    <w:gridCol w:w="995"/>
                    <w:gridCol w:w="1734"/>
                  </w:tblGrid>
                  <w:tr w14:paraId="15EF0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restart"/>
                        <w:vAlign w:val="center"/>
                      </w:tcPr>
                      <w:p w14:paraId="6F0AD16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color w:val="auto"/>
                            <w:sz w:val="21"/>
                            <w:szCs w:val="21"/>
                          </w:rPr>
                          <w:t>检测项目</w:t>
                        </w:r>
                      </w:p>
                    </w:tc>
                    <w:tc>
                      <w:tcPr>
                        <w:tcW w:w="1080" w:type="dxa"/>
                        <w:vMerge w:val="restart"/>
                        <w:vAlign w:val="center"/>
                      </w:tcPr>
                      <w:p w14:paraId="2300A2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单位</w:t>
                        </w:r>
                      </w:p>
                    </w:tc>
                    <w:tc>
                      <w:tcPr>
                        <w:tcW w:w="4054" w:type="dxa"/>
                        <w:gridSpan w:val="4"/>
                        <w:vAlign w:val="center"/>
                      </w:tcPr>
                      <w:p w14:paraId="2F1B7F7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w:t>
                        </w:r>
                      </w:p>
                    </w:tc>
                    <w:tc>
                      <w:tcPr>
                        <w:tcW w:w="1633" w:type="dxa"/>
                        <w:vMerge w:val="restart"/>
                        <w:vAlign w:val="center"/>
                      </w:tcPr>
                      <w:p w14:paraId="72AC5C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cs="Times New Roman"/>
                            <w:color w:val="auto"/>
                            <w:spacing w:val="-6"/>
                            <w:sz w:val="21"/>
                            <w:szCs w:val="21"/>
                            <w:highlight w:val="none"/>
                            <w:lang w:val="en-US" w:eastAsia="zh-CN"/>
                          </w:rPr>
                          <w:t>《城市污水再生利用 绿地灌溉水质》（GB/T25499-2010）</w:t>
                        </w:r>
                      </w:p>
                    </w:tc>
                  </w:tr>
                  <w:tr w14:paraId="12658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continue"/>
                        <w:vAlign w:val="center"/>
                      </w:tcPr>
                      <w:p w14:paraId="74B716F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rPr>
                        </w:pPr>
                      </w:p>
                    </w:tc>
                    <w:tc>
                      <w:tcPr>
                        <w:tcW w:w="1080" w:type="dxa"/>
                        <w:vMerge w:val="continue"/>
                        <w:vAlign w:val="center"/>
                      </w:tcPr>
                      <w:p w14:paraId="62056EF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c>
                      <w:tcPr>
                        <w:tcW w:w="1243" w:type="dxa"/>
                        <w:vAlign w:val="center"/>
                      </w:tcPr>
                      <w:p w14:paraId="2F42DF9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-1-1</w:t>
                        </w:r>
                      </w:p>
                    </w:tc>
                    <w:tc>
                      <w:tcPr>
                        <w:tcW w:w="937" w:type="dxa"/>
                        <w:vAlign w:val="center"/>
                      </w:tcPr>
                      <w:p w14:paraId="4B94FFA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2</w:t>
                        </w:r>
                      </w:p>
                    </w:tc>
                    <w:tc>
                      <w:tcPr>
                        <w:tcW w:w="937" w:type="dxa"/>
                        <w:vAlign w:val="center"/>
                      </w:tcPr>
                      <w:p w14:paraId="76F82B4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3</w:t>
                        </w:r>
                      </w:p>
                    </w:tc>
                    <w:tc>
                      <w:tcPr>
                        <w:tcW w:w="937" w:type="dxa"/>
                        <w:vAlign w:val="center"/>
                      </w:tcPr>
                      <w:p w14:paraId="283D152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4</w:t>
                        </w:r>
                      </w:p>
                    </w:tc>
                    <w:tc>
                      <w:tcPr>
                        <w:tcW w:w="1633" w:type="dxa"/>
                        <w:vMerge w:val="continue"/>
                        <w:vAlign w:val="center"/>
                      </w:tcPr>
                      <w:p w14:paraId="6FFB90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rPr>
                        </w:pPr>
                      </w:p>
                    </w:tc>
                  </w:tr>
                  <w:tr w14:paraId="67DA5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2F0DD16D">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Cs/>
                            <w:color w:val="000000"/>
                            <w:kern w:val="0"/>
                            <w:szCs w:val="24"/>
                          </w:rPr>
                          <w:t>pH</w:t>
                        </w:r>
                      </w:p>
                    </w:tc>
                    <w:tc>
                      <w:tcPr>
                        <w:tcW w:w="1080" w:type="dxa"/>
                        <w:vAlign w:val="center"/>
                      </w:tcPr>
                      <w:p w14:paraId="6FEEC6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Cs w:val="21"/>
                            <w:highlight w:val="none"/>
                            <w:lang w:val="en-US" w:eastAsia="zh-CN"/>
                          </w:rPr>
                          <w:t>无量纲</w:t>
                        </w:r>
                      </w:p>
                    </w:tc>
                    <w:tc>
                      <w:tcPr>
                        <w:tcW w:w="1243" w:type="dxa"/>
                        <w:vAlign w:val="center"/>
                      </w:tcPr>
                      <w:p w14:paraId="7A334F5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7.2</w:t>
                        </w:r>
                      </w:p>
                    </w:tc>
                    <w:tc>
                      <w:tcPr>
                        <w:tcW w:w="937" w:type="dxa"/>
                        <w:vAlign w:val="center"/>
                      </w:tcPr>
                      <w:p w14:paraId="0A50EC2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7.1</w:t>
                        </w:r>
                      </w:p>
                    </w:tc>
                    <w:tc>
                      <w:tcPr>
                        <w:tcW w:w="937" w:type="dxa"/>
                        <w:vAlign w:val="center"/>
                      </w:tcPr>
                      <w:p w14:paraId="409D291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7.1</w:t>
                        </w:r>
                      </w:p>
                    </w:tc>
                    <w:tc>
                      <w:tcPr>
                        <w:tcW w:w="937" w:type="dxa"/>
                        <w:vAlign w:val="center"/>
                      </w:tcPr>
                      <w:p w14:paraId="407C578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7.2</w:t>
                        </w:r>
                      </w:p>
                    </w:tc>
                    <w:tc>
                      <w:tcPr>
                        <w:tcW w:w="1633" w:type="dxa"/>
                        <w:vAlign w:val="center"/>
                      </w:tcPr>
                      <w:p w14:paraId="1FAC060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6.0-9.0</w:t>
                        </w:r>
                      </w:p>
                    </w:tc>
                  </w:tr>
                  <w:tr w14:paraId="45D10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0EB3338">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化学需氧量</w:t>
                        </w:r>
                      </w:p>
                    </w:tc>
                    <w:tc>
                      <w:tcPr>
                        <w:tcW w:w="1080" w:type="dxa"/>
                        <w:vAlign w:val="center"/>
                      </w:tcPr>
                      <w:p w14:paraId="3CF9A52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0F3E39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34</w:t>
                        </w:r>
                      </w:p>
                    </w:tc>
                    <w:tc>
                      <w:tcPr>
                        <w:tcW w:w="937" w:type="dxa"/>
                        <w:vAlign w:val="center"/>
                      </w:tcPr>
                      <w:p w14:paraId="2597B5F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34</w:t>
                        </w:r>
                      </w:p>
                    </w:tc>
                    <w:tc>
                      <w:tcPr>
                        <w:tcW w:w="937" w:type="dxa"/>
                        <w:vAlign w:val="center"/>
                      </w:tcPr>
                      <w:p w14:paraId="04DFFD5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33</w:t>
                        </w:r>
                      </w:p>
                    </w:tc>
                    <w:tc>
                      <w:tcPr>
                        <w:tcW w:w="937" w:type="dxa"/>
                        <w:vAlign w:val="center"/>
                      </w:tcPr>
                      <w:p w14:paraId="60BAB4C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35</w:t>
                        </w:r>
                      </w:p>
                    </w:tc>
                    <w:tc>
                      <w:tcPr>
                        <w:tcW w:w="1633" w:type="dxa"/>
                        <w:vAlign w:val="center"/>
                      </w:tcPr>
                      <w:p w14:paraId="77C7271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6B3EF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81330BC">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五日生化需氧量</w:t>
                        </w:r>
                      </w:p>
                    </w:tc>
                    <w:tc>
                      <w:tcPr>
                        <w:tcW w:w="1080" w:type="dxa"/>
                        <w:vAlign w:val="center"/>
                      </w:tcPr>
                      <w:p w14:paraId="4990D6C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1C4A14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8.8</w:t>
                        </w:r>
                      </w:p>
                    </w:tc>
                    <w:tc>
                      <w:tcPr>
                        <w:tcW w:w="937" w:type="dxa"/>
                        <w:vAlign w:val="center"/>
                      </w:tcPr>
                      <w:p w14:paraId="2393099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8.4</w:t>
                        </w:r>
                      </w:p>
                    </w:tc>
                    <w:tc>
                      <w:tcPr>
                        <w:tcW w:w="937" w:type="dxa"/>
                        <w:vAlign w:val="center"/>
                      </w:tcPr>
                      <w:p w14:paraId="03176B7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8.4</w:t>
                        </w:r>
                      </w:p>
                    </w:tc>
                    <w:tc>
                      <w:tcPr>
                        <w:tcW w:w="937" w:type="dxa"/>
                        <w:vAlign w:val="center"/>
                      </w:tcPr>
                      <w:p w14:paraId="4EB50F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8.6</w:t>
                        </w:r>
                      </w:p>
                    </w:tc>
                    <w:tc>
                      <w:tcPr>
                        <w:tcW w:w="1633" w:type="dxa"/>
                        <w:vAlign w:val="center"/>
                      </w:tcPr>
                      <w:p w14:paraId="7D313BA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1BE80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895A1A0">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2"/>
                            <w:sz w:val="21"/>
                            <w:szCs w:val="21"/>
                            <w:lang w:val="en-US" w:eastAsia="zh-CN" w:bidi="ar"/>
                          </w:rPr>
                          <w:t>阴离子表面活性剂</w:t>
                        </w:r>
                      </w:p>
                    </w:tc>
                    <w:tc>
                      <w:tcPr>
                        <w:tcW w:w="1080" w:type="dxa"/>
                        <w:vAlign w:val="center"/>
                      </w:tcPr>
                      <w:p w14:paraId="1E19C64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39D9C1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937" w:type="dxa"/>
                        <w:vAlign w:val="center"/>
                      </w:tcPr>
                      <w:p w14:paraId="48E3A91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937" w:type="dxa"/>
                        <w:vAlign w:val="center"/>
                      </w:tcPr>
                      <w:p w14:paraId="34F63FF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937" w:type="dxa"/>
                        <w:vAlign w:val="center"/>
                      </w:tcPr>
                      <w:p w14:paraId="589114E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1633" w:type="dxa"/>
                        <w:vAlign w:val="center"/>
                      </w:tcPr>
                      <w:p w14:paraId="4341FDA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≤1.0</w:t>
                        </w:r>
                      </w:p>
                    </w:tc>
                  </w:tr>
                  <w:tr w14:paraId="6F46E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4095927">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氨氮</w:t>
                        </w:r>
                      </w:p>
                    </w:tc>
                    <w:tc>
                      <w:tcPr>
                        <w:tcW w:w="1080" w:type="dxa"/>
                        <w:vAlign w:val="center"/>
                      </w:tcPr>
                      <w:p w14:paraId="3301A20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4709B9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0.58</w:t>
                        </w:r>
                      </w:p>
                    </w:tc>
                    <w:tc>
                      <w:tcPr>
                        <w:tcW w:w="937" w:type="dxa"/>
                        <w:vAlign w:val="center"/>
                      </w:tcPr>
                      <w:p w14:paraId="6E168F8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0.57</w:t>
                        </w:r>
                      </w:p>
                    </w:tc>
                    <w:tc>
                      <w:tcPr>
                        <w:tcW w:w="937" w:type="dxa"/>
                        <w:vAlign w:val="center"/>
                      </w:tcPr>
                      <w:p w14:paraId="556F6BC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0.59</w:t>
                        </w:r>
                      </w:p>
                    </w:tc>
                    <w:tc>
                      <w:tcPr>
                        <w:tcW w:w="937" w:type="dxa"/>
                        <w:vAlign w:val="center"/>
                      </w:tcPr>
                      <w:p w14:paraId="68B2096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0.59</w:t>
                        </w:r>
                      </w:p>
                    </w:tc>
                    <w:tc>
                      <w:tcPr>
                        <w:tcW w:w="1633" w:type="dxa"/>
                        <w:vAlign w:val="center"/>
                      </w:tcPr>
                      <w:p w14:paraId="2CAA456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0A3CE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1755329C">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总汞</w:t>
                        </w:r>
                      </w:p>
                    </w:tc>
                    <w:tc>
                      <w:tcPr>
                        <w:tcW w:w="1080" w:type="dxa"/>
                        <w:vAlign w:val="center"/>
                      </w:tcPr>
                      <w:p w14:paraId="735668C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7E18D6D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0.14</w:t>
                        </w:r>
                      </w:p>
                    </w:tc>
                    <w:tc>
                      <w:tcPr>
                        <w:tcW w:w="937" w:type="dxa"/>
                        <w:vAlign w:val="center"/>
                      </w:tcPr>
                      <w:p w14:paraId="795FB6B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0.14</w:t>
                        </w:r>
                      </w:p>
                    </w:tc>
                    <w:tc>
                      <w:tcPr>
                        <w:tcW w:w="937" w:type="dxa"/>
                        <w:vAlign w:val="center"/>
                      </w:tcPr>
                      <w:p w14:paraId="721CF2A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0.18</w:t>
                        </w:r>
                      </w:p>
                    </w:tc>
                    <w:tc>
                      <w:tcPr>
                        <w:tcW w:w="937" w:type="dxa"/>
                        <w:vAlign w:val="center"/>
                      </w:tcPr>
                      <w:p w14:paraId="2C650FE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0.14</w:t>
                        </w:r>
                      </w:p>
                    </w:tc>
                    <w:tc>
                      <w:tcPr>
                        <w:tcW w:w="1633" w:type="dxa"/>
                        <w:vAlign w:val="center"/>
                      </w:tcPr>
                      <w:p w14:paraId="156CD94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≤0.001</w:t>
                        </w:r>
                      </w:p>
                    </w:tc>
                  </w:tr>
                  <w:tr w14:paraId="01340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09FC1387">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石油类</w:t>
                        </w:r>
                      </w:p>
                    </w:tc>
                    <w:tc>
                      <w:tcPr>
                        <w:tcW w:w="1080" w:type="dxa"/>
                        <w:vAlign w:val="center"/>
                      </w:tcPr>
                      <w:p w14:paraId="5FDF39F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586D37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0.56</w:t>
                        </w:r>
                      </w:p>
                    </w:tc>
                    <w:tc>
                      <w:tcPr>
                        <w:tcW w:w="937" w:type="dxa"/>
                        <w:vAlign w:val="center"/>
                      </w:tcPr>
                      <w:p w14:paraId="5105DF8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0.35</w:t>
                        </w:r>
                      </w:p>
                    </w:tc>
                    <w:tc>
                      <w:tcPr>
                        <w:tcW w:w="937" w:type="dxa"/>
                        <w:vAlign w:val="center"/>
                      </w:tcPr>
                      <w:p w14:paraId="5588AE3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0.31</w:t>
                        </w:r>
                      </w:p>
                    </w:tc>
                    <w:tc>
                      <w:tcPr>
                        <w:tcW w:w="937" w:type="dxa"/>
                        <w:vAlign w:val="center"/>
                      </w:tcPr>
                      <w:p w14:paraId="5108903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0.37</w:t>
                        </w:r>
                      </w:p>
                    </w:tc>
                    <w:tc>
                      <w:tcPr>
                        <w:tcW w:w="1633" w:type="dxa"/>
                        <w:vAlign w:val="center"/>
                      </w:tcPr>
                      <w:p w14:paraId="3EC2FA3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6C75A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0F940B28">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动植物油</w:t>
                        </w:r>
                      </w:p>
                    </w:tc>
                    <w:tc>
                      <w:tcPr>
                        <w:tcW w:w="1080" w:type="dxa"/>
                        <w:vAlign w:val="center"/>
                      </w:tcPr>
                      <w:p w14:paraId="52F2E82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6E1AE06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0.78</w:t>
                        </w:r>
                      </w:p>
                    </w:tc>
                    <w:tc>
                      <w:tcPr>
                        <w:tcW w:w="937" w:type="dxa"/>
                        <w:vAlign w:val="center"/>
                      </w:tcPr>
                      <w:p w14:paraId="543AFE6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0.90</w:t>
                        </w:r>
                      </w:p>
                    </w:tc>
                    <w:tc>
                      <w:tcPr>
                        <w:tcW w:w="937" w:type="dxa"/>
                        <w:vAlign w:val="center"/>
                      </w:tcPr>
                      <w:p w14:paraId="42A9A8C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0.87</w:t>
                        </w:r>
                      </w:p>
                    </w:tc>
                    <w:tc>
                      <w:tcPr>
                        <w:tcW w:w="937" w:type="dxa"/>
                        <w:vAlign w:val="center"/>
                      </w:tcPr>
                      <w:p w14:paraId="4683486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0.84</w:t>
                        </w:r>
                      </w:p>
                    </w:tc>
                    <w:tc>
                      <w:tcPr>
                        <w:tcW w:w="1633" w:type="dxa"/>
                        <w:vAlign w:val="center"/>
                      </w:tcPr>
                      <w:p w14:paraId="6163AD8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3BE9B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0463092">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总砷</w:t>
                        </w:r>
                      </w:p>
                    </w:tc>
                    <w:tc>
                      <w:tcPr>
                        <w:tcW w:w="1080" w:type="dxa"/>
                        <w:vAlign w:val="center"/>
                      </w:tcPr>
                      <w:p w14:paraId="0092DA8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5360229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7.5</w:t>
                        </w:r>
                      </w:p>
                    </w:tc>
                    <w:tc>
                      <w:tcPr>
                        <w:tcW w:w="937" w:type="dxa"/>
                        <w:vAlign w:val="center"/>
                      </w:tcPr>
                      <w:p w14:paraId="58DC46E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6.7</w:t>
                        </w:r>
                      </w:p>
                    </w:tc>
                    <w:tc>
                      <w:tcPr>
                        <w:tcW w:w="937" w:type="dxa"/>
                        <w:vAlign w:val="center"/>
                      </w:tcPr>
                      <w:p w14:paraId="07FA50A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6.1</w:t>
                        </w:r>
                      </w:p>
                    </w:tc>
                    <w:tc>
                      <w:tcPr>
                        <w:tcW w:w="937" w:type="dxa"/>
                        <w:vAlign w:val="center"/>
                      </w:tcPr>
                      <w:p w14:paraId="4E2914A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7.1</w:t>
                        </w:r>
                      </w:p>
                    </w:tc>
                    <w:tc>
                      <w:tcPr>
                        <w:tcW w:w="1633" w:type="dxa"/>
                        <w:vAlign w:val="center"/>
                      </w:tcPr>
                      <w:p w14:paraId="4E1930F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≤0.05</w:t>
                        </w:r>
                      </w:p>
                    </w:tc>
                  </w:tr>
                  <w:tr w14:paraId="126CE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740A84A">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总铅</w:t>
                        </w:r>
                      </w:p>
                    </w:tc>
                    <w:tc>
                      <w:tcPr>
                        <w:tcW w:w="1080" w:type="dxa"/>
                        <w:vAlign w:val="center"/>
                      </w:tcPr>
                      <w:p w14:paraId="73111AF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5DEC09D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5BA9222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592DCBD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45E0523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1633" w:type="dxa"/>
                        <w:vAlign w:val="center"/>
                      </w:tcPr>
                      <w:p w14:paraId="3F8E932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≤0.2</w:t>
                        </w:r>
                      </w:p>
                    </w:tc>
                  </w:tr>
                  <w:tr w14:paraId="07DCE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54B35166">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总镉</w:t>
                        </w:r>
                      </w:p>
                    </w:tc>
                    <w:tc>
                      <w:tcPr>
                        <w:tcW w:w="1080" w:type="dxa"/>
                        <w:vAlign w:val="center"/>
                      </w:tcPr>
                      <w:p w14:paraId="1164A1D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5849C11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0CB15BC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55C62E0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151A4C1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1633" w:type="dxa"/>
                        <w:vAlign w:val="center"/>
                      </w:tcPr>
                      <w:p w14:paraId="55F6671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≤0.01</w:t>
                        </w:r>
                      </w:p>
                    </w:tc>
                  </w:tr>
                  <w:tr w14:paraId="0EC94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C4CD701">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总磷</w:t>
                        </w:r>
                      </w:p>
                    </w:tc>
                    <w:tc>
                      <w:tcPr>
                        <w:tcW w:w="1080" w:type="dxa"/>
                        <w:vAlign w:val="center"/>
                      </w:tcPr>
                      <w:p w14:paraId="3238AD3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6A75E70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494656B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0BE11EC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10A7409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1633" w:type="dxa"/>
                        <w:vAlign w:val="center"/>
                      </w:tcPr>
                      <w:p w14:paraId="472CC3F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48B99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5BEBA59">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总氮</w:t>
                        </w:r>
                      </w:p>
                    </w:tc>
                    <w:tc>
                      <w:tcPr>
                        <w:tcW w:w="1080" w:type="dxa"/>
                        <w:vAlign w:val="center"/>
                      </w:tcPr>
                      <w:p w14:paraId="589A0EE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3711389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0.95</w:t>
                        </w:r>
                      </w:p>
                    </w:tc>
                    <w:tc>
                      <w:tcPr>
                        <w:tcW w:w="937" w:type="dxa"/>
                        <w:vAlign w:val="center"/>
                      </w:tcPr>
                      <w:p w14:paraId="7F23C8B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0.90</w:t>
                        </w:r>
                      </w:p>
                    </w:tc>
                    <w:tc>
                      <w:tcPr>
                        <w:tcW w:w="937" w:type="dxa"/>
                        <w:vAlign w:val="center"/>
                      </w:tcPr>
                      <w:p w14:paraId="51AA0CA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0.86</w:t>
                        </w:r>
                      </w:p>
                    </w:tc>
                    <w:tc>
                      <w:tcPr>
                        <w:tcW w:w="937" w:type="dxa"/>
                        <w:vAlign w:val="center"/>
                      </w:tcPr>
                      <w:p w14:paraId="01D33DE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0.89</w:t>
                        </w:r>
                      </w:p>
                    </w:tc>
                    <w:tc>
                      <w:tcPr>
                        <w:tcW w:w="1633" w:type="dxa"/>
                        <w:vAlign w:val="center"/>
                      </w:tcPr>
                      <w:p w14:paraId="255C711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090C2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restart"/>
                        <w:vAlign w:val="center"/>
                      </w:tcPr>
                      <w:p w14:paraId="6B065F64">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检测项目</w:t>
                        </w:r>
                      </w:p>
                    </w:tc>
                    <w:tc>
                      <w:tcPr>
                        <w:tcW w:w="1080" w:type="dxa"/>
                        <w:vMerge w:val="restart"/>
                        <w:vAlign w:val="center"/>
                      </w:tcPr>
                      <w:p w14:paraId="7D196E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单位</w:t>
                        </w:r>
                      </w:p>
                    </w:tc>
                    <w:tc>
                      <w:tcPr>
                        <w:tcW w:w="4054" w:type="dxa"/>
                        <w:gridSpan w:val="4"/>
                        <w:vAlign w:val="center"/>
                      </w:tcPr>
                      <w:p w14:paraId="3B9C20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w:t>
                        </w:r>
                      </w:p>
                    </w:tc>
                    <w:tc>
                      <w:tcPr>
                        <w:tcW w:w="1633" w:type="dxa"/>
                        <w:vMerge w:val="restart"/>
                        <w:vAlign w:val="center"/>
                      </w:tcPr>
                      <w:p w14:paraId="61F6C97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pacing w:val="-6"/>
                            <w:sz w:val="21"/>
                            <w:szCs w:val="21"/>
                            <w:highlight w:val="none"/>
                            <w:lang w:val="en-US" w:eastAsia="zh-CN"/>
                          </w:rPr>
                          <w:t>《城市污水再生利用 绿地灌溉水质》（GB/T25499-2010）</w:t>
                        </w:r>
                      </w:p>
                    </w:tc>
                  </w:tr>
                  <w:tr w14:paraId="1F737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continue"/>
                        <w:vAlign w:val="center"/>
                      </w:tcPr>
                      <w:p w14:paraId="603733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c>
                      <w:tcPr>
                        <w:tcW w:w="1080" w:type="dxa"/>
                        <w:vMerge w:val="continue"/>
                        <w:vAlign w:val="center"/>
                      </w:tcPr>
                      <w:p w14:paraId="6216E6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c>
                      <w:tcPr>
                        <w:tcW w:w="1243" w:type="dxa"/>
                        <w:vAlign w:val="center"/>
                      </w:tcPr>
                      <w:p w14:paraId="3BB4323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-1</w:t>
                        </w:r>
                      </w:p>
                    </w:tc>
                    <w:tc>
                      <w:tcPr>
                        <w:tcW w:w="937" w:type="dxa"/>
                        <w:vAlign w:val="center"/>
                      </w:tcPr>
                      <w:p w14:paraId="75FE079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p>
                    </w:tc>
                    <w:tc>
                      <w:tcPr>
                        <w:tcW w:w="937" w:type="dxa"/>
                        <w:vAlign w:val="center"/>
                      </w:tcPr>
                      <w:p w14:paraId="0B57AD3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3</w:t>
                        </w:r>
                      </w:p>
                    </w:tc>
                    <w:tc>
                      <w:tcPr>
                        <w:tcW w:w="937" w:type="dxa"/>
                        <w:vAlign w:val="center"/>
                      </w:tcPr>
                      <w:p w14:paraId="2658CA6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4</w:t>
                        </w:r>
                      </w:p>
                    </w:tc>
                    <w:tc>
                      <w:tcPr>
                        <w:tcW w:w="1633" w:type="dxa"/>
                        <w:vMerge w:val="continue"/>
                        <w:vAlign w:val="center"/>
                      </w:tcPr>
                      <w:p w14:paraId="53D30F4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r>
                  <w:tr w14:paraId="14020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1FD4D0F">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Cs/>
                            <w:color w:val="000000"/>
                            <w:kern w:val="0"/>
                            <w:szCs w:val="24"/>
                          </w:rPr>
                          <w:t>pH</w:t>
                        </w:r>
                      </w:p>
                    </w:tc>
                    <w:tc>
                      <w:tcPr>
                        <w:tcW w:w="1080" w:type="dxa"/>
                        <w:vAlign w:val="center"/>
                      </w:tcPr>
                      <w:p w14:paraId="6C0DACF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Cs w:val="21"/>
                            <w:highlight w:val="none"/>
                            <w:lang w:val="en-US" w:eastAsia="zh-CN"/>
                          </w:rPr>
                          <w:t>无量纲</w:t>
                        </w:r>
                      </w:p>
                    </w:tc>
                    <w:tc>
                      <w:tcPr>
                        <w:tcW w:w="1243" w:type="dxa"/>
                        <w:vAlign w:val="center"/>
                      </w:tcPr>
                      <w:p w14:paraId="7A1E3B6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937" w:type="dxa"/>
                        <w:vAlign w:val="center"/>
                      </w:tcPr>
                      <w:p w14:paraId="5D021AB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7.1</w:t>
                        </w:r>
                      </w:p>
                    </w:tc>
                    <w:tc>
                      <w:tcPr>
                        <w:tcW w:w="937" w:type="dxa"/>
                        <w:vAlign w:val="center"/>
                      </w:tcPr>
                      <w:p w14:paraId="627438E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937" w:type="dxa"/>
                        <w:vAlign w:val="center"/>
                      </w:tcPr>
                      <w:p w14:paraId="6ECCBE3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1633" w:type="dxa"/>
                        <w:vAlign w:val="center"/>
                      </w:tcPr>
                      <w:p w14:paraId="3259157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6.0-9.0</w:t>
                        </w:r>
                      </w:p>
                    </w:tc>
                  </w:tr>
                  <w:tr w14:paraId="16192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58A2D28A">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化学需氧量</w:t>
                        </w:r>
                      </w:p>
                    </w:tc>
                    <w:tc>
                      <w:tcPr>
                        <w:tcW w:w="1080" w:type="dxa"/>
                        <w:vAlign w:val="center"/>
                      </w:tcPr>
                      <w:p w14:paraId="2150BE1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49BA71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34</w:t>
                        </w:r>
                      </w:p>
                    </w:tc>
                    <w:tc>
                      <w:tcPr>
                        <w:tcW w:w="937" w:type="dxa"/>
                        <w:vAlign w:val="center"/>
                      </w:tcPr>
                      <w:p w14:paraId="12BFB75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33</w:t>
                        </w:r>
                      </w:p>
                    </w:tc>
                    <w:tc>
                      <w:tcPr>
                        <w:tcW w:w="937" w:type="dxa"/>
                        <w:vAlign w:val="center"/>
                      </w:tcPr>
                      <w:p w14:paraId="64773BB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32</w:t>
                        </w:r>
                      </w:p>
                    </w:tc>
                    <w:tc>
                      <w:tcPr>
                        <w:tcW w:w="937" w:type="dxa"/>
                        <w:vAlign w:val="center"/>
                      </w:tcPr>
                      <w:p w14:paraId="0FEA753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32</w:t>
                        </w:r>
                      </w:p>
                    </w:tc>
                    <w:tc>
                      <w:tcPr>
                        <w:tcW w:w="1633" w:type="dxa"/>
                        <w:vAlign w:val="center"/>
                      </w:tcPr>
                      <w:p w14:paraId="5325590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1E5B0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0C38AC26">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五日生化需氧量</w:t>
                        </w:r>
                      </w:p>
                    </w:tc>
                    <w:tc>
                      <w:tcPr>
                        <w:tcW w:w="1080" w:type="dxa"/>
                        <w:vAlign w:val="center"/>
                      </w:tcPr>
                      <w:p w14:paraId="33F14A5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20944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8.8</w:t>
                        </w:r>
                      </w:p>
                    </w:tc>
                    <w:tc>
                      <w:tcPr>
                        <w:tcW w:w="937" w:type="dxa"/>
                        <w:vAlign w:val="center"/>
                      </w:tcPr>
                      <w:p w14:paraId="54DD57D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8.7</w:t>
                        </w:r>
                      </w:p>
                    </w:tc>
                    <w:tc>
                      <w:tcPr>
                        <w:tcW w:w="937" w:type="dxa"/>
                        <w:vAlign w:val="center"/>
                      </w:tcPr>
                      <w:p w14:paraId="1EEF988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8.8</w:t>
                        </w:r>
                      </w:p>
                    </w:tc>
                    <w:tc>
                      <w:tcPr>
                        <w:tcW w:w="937" w:type="dxa"/>
                        <w:vAlign w:val="center"/>
                      </w:tcPr>
                      <w:p w14:paraId="1665449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8.8</w:t>
                        </w:r>
                      </w:p>
                    </w:tc>
                    <w:tc>
                      <w:tcPr>
                        <w:tcW w:w="1633" w:type="dxa"/>
                        <w:vAlign w:val="center"/>
                      </w:tcPr>
                      <w:p w14:paraId="677F635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364F0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9C435D0">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2"/>
                            <w:sz w:val="21"/>
                            <w:szCs w:val="21"/>
                            <w:lang w:val="en-US" w:eastAsia="zh-CN" w:bidi="ar"/>
                          </w:rPr>
                          <w:t>阴离子表面活性剂</w:t>
                        </w:r>
                      </w:p>
                    </w:tc>
                    <w:tc>
                      <w:tcPr>
                        <w:tcW w:w="1080" w:type="dxa"/>
                        <w:vAlign w:val="center"/>
                      </w:tcPr>
                      <w:p w14:paraId="3222FE9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198DE9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937" w:type="dxa"/>
                        <w:vAlign w:val="center"/>
                      </w:tcPr>
                      <w:p w14:paraId="76A428F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937" w:type="dxa"/>
                        <w:vAlign w:val="center"/>
                      </w:tcPr>
                      <w:p w14:paraId="5688B6E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937" w:type="dxa"/>
                        <w:vAlign w:val="center"/>
                      </w:tcPr>
                      <w:p w14:paraId="5DA6A3A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1633" w:type="dxa"/>
                        <w:vAlign w:val="center"/>
                      </w:tcPr>
                      <w:p w14:paraId="1266383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≤1.0</w:t>
                        </w:r>
                      </w:p>
                    </w:tc>
                  </w:tr>
                  <w:tr w14:paraId="6AA9C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FAEFC1D">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氨氮</w:t>
                        </w:r>
                      </w:p>
                    </w:tc>
                    <w:tc>
                      <w:tcPr>
                        <w:tcW w:w="1080" w:type="dxa"/>
                        <w:vAlign w:val="center"/>
                      </w:tcPr>
                      <w:p w14:paraId="4FB1C3F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F35BB9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0.59</w:t>
                        </w:r>
                      </w:p>
                    </w:tc>
                    <w:tc>
                      <w:tcPr>
                        <w:tcW w:w="937" w:type="dxa"/>
                        <w:vAlign w:val="center"/>
                      </w:tcPr>
                      <w:p w14:paraId="048FDAD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0.59</w:t>
                        </w:r>
                      </w:p>
                    </w:tc>
                    <w:tc>
                      <w:tcPr>
                        <w:tcW w:w="937" w:type="dxa"/>
                        <w:vAlign w:val="center"/>
                      </w:tcPr>
                      <w:p w14:paraId="4FBA0B6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0.60</w:t>
                        </w:r>
                      </w:p>
                    </w:tc>
                    <w:tc>
                      <w:tcPr>
                        <w:tcW w:w="937" w:type="dxa"/>
                        <w:vAlign w:val="center"/>
                      </w:tcPr>
                      <w:p w14:paraId="43507CB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0.60</w:t>
                        </w:r>
                      </w:p>
                    </w:tc>
                    <w:tc>
                      <w:tcPr>
                        <w:tcW w:w="1633" w:type="dxa"/>
                        <w:vAlign w:val="center"/>
                      </w:tcPr>
                      <w:p w14:paraId="5891B3A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2A36E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94341A6">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总汞</w:t>
                        </w:r>
                      </w:p>
                    </w:tc>
                    <w:tc>
                      <w:tcPr>
                        <w:tcW w:w="1080" w:type="dxa"/>
                        <w:vAlign w:val="center"/>
                      </w:tcPr>
                      <w:p w14:paraId="130C042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5074672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0.17</w:t>
                        </w:r>
                      </w:p>
                    </w:tc>
                    <w:tc>
                      <w:tcPr>
                        <w:tcW w:w="937" w:type="dxa"/>
                        <w:vAlign w:val="center"/>
                      </w:tcPr>
                      <w:p w14:paraId="421C22C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0.18</w:t>
                        </w:r>
                      </w:p>
                    </w:tc>
                    <w:tc>
                      <w:tcPr>
                        <w:tcW w:w="937" w:type="dxa"/>
                        <w:vAlign w:val="center"/>
                      </w:tcPr>
                      <w:p w14:paraId="7593369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0.16</w:t>
                        </w:r>
                      </w:p>
                    </w:tc>
                    <w:tc>
                      <w:tcPr>
                        <w:tcW w:w="937" w:type="dxa"/>
                        <w:vAlign w:val="center"/>
                      </w:tcPr>
                      <w:p w14:paraId="1AE91EC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0.17</w:t>
                        </w:r>
                      </w:p>
                    </w:tc>
                    <w:tc>
                      <w:tcPr>
                        <w:tcW w:w="1633" w:type="dxa"/>
                        <w:vAlign w:val="center"/>
                      </w:tcPr>
                      <w:p w14:paraId="11FF47F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≤0.001</w:t>
                        </w:r>
                      </w:p>
                    </w:tc>
                  </w:tr>
                  <w:tr w14:paraId="77EFA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D118563">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石油类</w:t>
                        </w:r>
                      </w:p>
                    </w:tc>
                    <w:tc>
                      <w:tcPr>
                        <w:tcW w:w="1080" w:type="dxa"/>
                        <w:vAlign w:val="center"/>
                      </w:tcPr>
                      <w:p w14:paraId="17F5B84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7C6604F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0.52</w:t>
                        </w:r>
                      </w:p>
                    </w:tc>
                    <w:tc>
                      <w:tcPr>
                        <w:tcW w:w="937" w:type="dxa"/>
                        <w:vAlign w:val="center"/>
                      </w:tcPr>
                      <w:p w14:paraId="767A7892">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0.33</w:t>
                        </w:r>
                      </w:p>
                    </w:tc>
                    <w:tc>
                      <w:tcPr>
                        <w:tcW w:w="937" w:type="dxa"/>
                        <w:vAlign w:val="center"/>
                      </w:tcPr>
                      <w:p w14:paraId="236E825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0.43</w:t>
                        </w:r>
                      </w:p>
                    </w:tc>
                    <w:tc>
                      <w:tcPr>
                        <w:tcW w:w="937" w:type="dxa"/>
                        <w:vAlign w:val="center"/>
                      </w:tcPr>
                      <w:p w14:paraId="0B8CC43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0.43</w:t>
                        </w:r>
                      </w:p>
                    </w:tc>
                    <w:tc>
                      <w:tcPr>
                        <w:tcW w:w="1633" w:type="dxa"/>
                        <w:vAlign w:val="center"/>
                      </w:tcPr>
                      <w:p w14:paraId="5ADAA38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1202B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FE302D2">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动植物油</w:t>
                        </w:r>
                      </w:p>
                    </w:tc>
                    <w:tc>
                      <w:tcPr>
                        <w:tcW w:w="1080" w:type="dxa"/>
                        <w:vAlign w:val="center"/>
                      </w:tcPr>
                      <w:p w14:paraId="5DBF4CB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4601B1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0.84</w:t>
                        </w:r>
                      </w:p>
                    </w:tc>
                    <w:tc>
                      <w:tcPr>
                        <w:tcW w:w="937" w:type="dxa"/>
                        <w:vAlign w:val="center"/>
                      </w:tcPr>
                      <w:p w14:paraId="1F8203F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0.91</w:t>
                        </w:r>
                      </w:p>
                    </w:tc>
                    <w:tc>
                      <w:tcPr>
                        <w:tcW w:w="937" w:type="dxa"/>
                        <w:vAlign w:val="center"/>
                      </w:tcPr>
                      <w:p w14:paraId="0517AB72">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0.88</w:t>
                        </w:r>
                      </w:p>
                    </w:tc>
                    <w:tc>
                      <w:tcPr>
                        <w:tcW w:w="937" w:type="dxa"/>
                        <w:vAlign w:val="center"/>
                      </w:tcPr>
                      <w:p w14:paraId="123486F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0.86</w:t>
                        </w:r>
                      </w:p>
                    </w:tc>
                    <w:tc>
                      <w:tcPr>
                        <w:tcW w:w="1633" w:type="dxa"/>
                        <w:vAlign w:val="center"/>
                      </w:tcPr>
                      <w:p w14:paraId="6FCAEC6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5B803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2582B12">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总砷</w:t>
                        </w:r>
                      </w:p>
                    </w:tc>
                    <w:tc>
                      <w:tcPr>
                        <w:tcW w:w="1080" w:type="dxa"/>
                        <w:vAlign w:val="center"/>
                      </w:tcPr>
                      <w:p w14:paraId="4DD0F63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4611366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6.8</w:t>
                        </w:r>
                      </w:p>
                    </w:tc>
                    <w:tc>
                      <w:tcPr>
                        <w:tcW w:w="937" w:type="dxa"/>
                        <w:vAlign w:val="center"/>
                      </w:tcPr>
                      <w:p w14:paraId="4D197FB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937" w:type="dxa"/>
                        <w:vAlign w:val="center"/>
                      </w:tcPr>
                      <w:p w14:paraId="0BD068C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6.1</w:t>
                        </w:r>
                      </w:p>
                    </w:tc>
                    <w:tc>
                      <w:tcPr>
                        <w:tcW w:w="937" w:type="dxa"/>
                        <w:vAlign w:val="center"/>
                      </w:tcPr>
                      <w:p w14:paraId="1329A4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6.9</w:t>
                        </w:r>
                      </w:p>
                    </w:tc>
                    <w:tc>
                      <w:tcPr>
                        <w:tcW w:w="1633" w:type="dxa"/>
                        <w:vAlign w:val="center"/>
                      </w:tcPr>
                      <w:p w14:paraId="3DF7F6B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≤0.05</w:t>
                        </w:r>
                      </w:p>
                    </w:tc>
                  </w:tr>
                  <w:tr w14:paraId="62B88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2414F99">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总铅</w:t>
                        </w:r>
                      </w:p>
                    </w:tc>
                    <w:tc>
                      <w:tcPr>
                        <w:tcW w:w="1080" w:type="dxa"/>
                        <w:vAlign w:val="center"/>
                      </w:tcPr>
                      <w:p w14:paraId="43E1D06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79A7BF6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23B2E3B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4C17E1A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4B76B1E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1633" w:type="dxa"/>
                        <w:vAlign w:val="center"/>
                      </w:tcPr>
                      <w:p w14:paraId="2ACD21E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≤0.2</w:t>
                        </w:r>
                      </w:p>
                    </w:tc>
                  </w:tr>
                  <w:tr w14:paraId="7D76E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31AE548">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总镉</w:t>
                        </w:r>
                      </w:p>
                    </w:tc>
                    <w:tc>
                      <w:tcPr>
                        <w:tcW w:w="1080" w:type="dxa"/>
                        <w:vAlign w:val="center"/>
                      </w:tcPr>
                      <w:p w14:paraId="4BEA90B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E06ACA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2412D73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01ECA4C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7B89AC6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1633" w:type="dxa"/>
                        <w:vAlign w:val="center"/>
                      </w:tcPr>
                      <w:p w14:paraId="25FC0E2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≤0.01</w:t>
                        </w:r>
                      </w:p>
                    </w:tc>
                  </w:tr>
                  <w:tr w14:paraId="47179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2DA9D3F">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总磷</w:t>
                        </w:r>
                      </w:p>
                    </w:tc>
                    <w:tc>
                      <w:tcPr>
                        <w:tcW w:w="1080" w:type="dxa"/>
                        <w:vAlign w:val="center"/>
                      </w:tcPr>
                      <w:p w14:paraId="4D6902F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12BD48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55EB94F2">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73F3A5A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3C3FC8C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1633" w:type="dxa"/>
                        <w:vAlign w:val="center"/>
                      </w:tcPr>
                      <w:p w14:paraId="1D9D098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78FD5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DE20D6F">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总氮</w:t>
                        </w:r>
                      </w:p>
                    </w:tc>
                    <w:tc>
                      <w:tcPr>
                        <w:tcW w:w="1080" w:type="dxa"/>
                        <w:vAlign w:val="center"/>
                      </w:tcPr>
                      <w:p w14:paraId="6B61ABA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F8E987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0.94</w:t>
                        </w:r>
                      </w:p>
                    </w:tc>
                    <w:tc>
                      <w:tcPr>
                        <w:tcW w:w="937" w:type="dxa"/>
                        <w:vAlign w:val="center"/>
                      </w:tcPr>
                      <w:p w14:paraId="1ED82FC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0.91</w:t>
                        </w:r>
                      </w:p>
                    </w:tc>
                    <w:tc>
                      <w:tcPr>
                        <w:tcW w:w="937" w:type="dxa"/>
                        <w:vAlign w:val="center"/>
                      </w:tcPr>
                      <w:p w14:paraId="31BB1AC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0.92</w:t>
                        </w:r>
                      </w:p>
                    </w:tc>
                    <w:tc>
                      <w:tcPr>
                        <w:tcW w:w="937" w:type="dxa"/>
                        <w:vAlign w:val="center"/>
                      </w:tcPr>
                      <w:p w14:paraId="29E1C3F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0.93</w:t>
                        </w:r>
                      </w:p>
                    </w:tc>
                    <w:tc>
                      <w:tcPr>
                        <w:tcW w:w="1633" w:type="dxa"/>
                        <w:vAlign w:val="center"/>
                      </w:tcPr>
                      <w:p w14:paraId="3CA9E71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bl>
                <w:p w14:paraId="5DFBE68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粪大肠菌群、六价铬检测结果如下表。</w:t>
                  </w:r>
                </w:p>
                <w:p w14:paraId="1343B0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表9-</w:t>
                  </w:r>
                  <w:r>
                    <w:rPr>
                      <w:rFonts w:hint="eastAsia" w:ascii="Times New Roman" w:hAnsi="Times New Roman" w:eastAsia="宋体" w:cs="Times New Roman"/>
                      <w:b/>
                      <w:bCs/>
                      <w:sz w:val="21"/>
                      <w:szCs w:val="21"/>
                      <w:vertAlign w:val="baseline"/>
                      <w:lang w:val="en-US" w:eastAsia="zh-CN"/>
                    </w:rPr>
                    <w:t>3</w:t>
                  </w:r>
                  <w:r>
                    <w:rPr>
                      <w:rFonts w:hint="default" w:ascii="Times New Roman" w:hAnsi="Times New Roman" w:eastAsia="宋体" w:cs="Times New Roman"/>
                      <w:b/>
                      <w:bCs/>
                      <w:sz w:val="21"/>
                      <w:szCs w:val="21"/>
                      <w:vertAlign w:val="baseline"/>
                      <w:lang w:val="en-US" w:eastAsia="zh-CN"/>
                    </w:rPr>
                    <w:t xml:space="preserve">  水质检测结果表</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3154"/>
                    <w:gridCol w:w="1503"/>
                    <w:gridCol w:w="1808"/>
                  </w:tblGrid>
                  <w:tr w14:paraId="0E31C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3065" w:type="pct"/>
                        <w:gridSpan w:val="2"/>
                        <w:noWrap w:val="0"/>
                        <w:vAlign w:val="center"/>
                      </w:tcPr>
                      <w:p w14:paraId="36C5C5AC">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检测项目</w:t>
                        </w:r>
                      </w:p>
                    </w:tc>
                    <w:tc>
                      <w:tcPr>
                        <w:tcW w:w="878" w:type="pct"/>
                        <w:noWrap w:val="0"/>
                        <w:vAlign w:val="center"/>
                      </w:tcPr>
                      <w:p w14:paraId="3A10F24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bCs/>
                            <w:color w:val="000000"/>
                            <w:kern w:val="0"/>
                            <w:sz w:val="21"/>
                            <w:szCs w:val="21"/>
                            <w:highlight w:val="none"/>
                            <w:lang w:val="en-US" w:eastAsia="zh-CN"/>
                          </w:rPr>
                          <w:t>*</w:t>
                        </w:r>
                        <w:r>
                          <w:rPr>
                            <w:rFonts w:hint="default" w:ascii="Times New Roman" w:hAnsi="Times New Roman" w:cs="Times New Roman"/>
                            <w:bCs/>
                            <w:color w:val="000000"/>
                            <w:kern w:val="0"/>
                            <w:sz w:val="21"/>
                            <w:szCs w:val="21"/>
                            <w:highlight w:val="none"/>
                            <w:lang w:val="en-US" w:eastAsia="zh-CN" w:bidi="ar-SA"/>
                          </w:rPr>
                          <w:t>粪大肠菌群</w:t>
                        </w:r>
                      </w:p>
                    </w:tc>
                    <w:tc>
                      <w:tcPr>
                        <w:tcW w:w="1056" w:type="pct"/>
                        <w:noWrap w:val="0"/>
                        <w:vAlign w:val="center"/>
                      </w:tcPr>
                      <w:p w14:paraId="30B06EB0">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yellow"/>
                            <w:lang w:val="en-US" w:eastAsia="zh-CN" w:bidi="ar-SA"/>
                          </w:rPr>
                        </w:pPr>
                        <w:r>
                          <w:rPr>
                            <w:rFonts w:hint="default" w:ascii="Times New Roman" w:hAnsi="Times New Roman" w:cs="Times New Roman"/>
                            <w:bCs/>
                            <w:color w:val="000000"/>
                            <w:kern w:val="0"/>
                            <w:sz w:val="21"/>
                            <w:szCs w:val="21"/>
                            <w:highlight w:val="none"/>
                            <w:lang w:val="en-US" w:eastAsia="zh-CN"/>
                          </w:rPr>
                          <w:t>*六价铬</w:t>
                        </w:r>
                      </w:p>
                    </w:tc>
                  </w:tr>
                  <w:tr w14:paraId="4ABF7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3065" w:type="pct"/>
                        <w:gridSpan w:val="2"/>
                        <w:noWrap w:val="0"/>
                        <w:vAlign w:val="center"/>
                      </w:tcPr>
                      <w:p w14:paraId="10855361">
                        <w:pPr>
                          <w:keepNext w:val="0"/>
                          <w:keepLines w:val="0"/>
                          <w:widowControl/>
                          <w:suppressLineNumbers w:val="0"/>
                          <w:snapToGrid w:val="0"/>
                          <w:spacing w:before="0" w:beforeAutospacing="0" w:after="0" w:afterAutospacing="0"/>
                          <w:ind w:left="72"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单位</w:t>
                        </w:r>
                      </w:p>
                    </w:tc>
                    <w:tc>
                      <w:tcPr>
                        <w:tcW w:w="878" w:type="pct"/>
                        <w:shd w:val="clear" w:color="auto" w:fill="auto"/>
                        <w:noWrap w:val="0"/>
                        <w:vAlign w:val="center"/>
                      </w:tcPr>
                      <w:p w14:paraId="5412AB0A">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000000"/>
                            <w:sz w:val="21"/>
                            <w:szCs w:val="21"/>
                            <w:highlight w:val="none"/>
                            <w:lang w:val="en-US" w:eastAsia="zh-CN"/>
                          </w:rPr>
                          <w:t>MPN/L</w:t>
                        </w:r>
                      </w:p>
                    </w:tc>
                    <w:tc>
                      <w:tcPr>
                        <w:tcW w:w="1056" w:type="pct"/>
                        <w:shd w:val="clear" w:color="auto" w:fill="auto"/>
                        <w:noWrap w:val="0"/>
                        <w:vAlign w:val="center"/>
                      </w:tcPr>
                      <w:p w14:paraId="12245EA4">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auto"/>
                            <w:kern w:val="2"/>
                            <w:sz w:val="21"/>
                            <w:szCs w:val="21"/>
                            <w:highlight w:val="yellow"/>
                            <w:lang w:val="en-US" w:eastAsia="zh-CN" w:bidi="ar-SA"/>
                          </w:rPr>
                        </w:pPr>
                        <w:r>
                          <w:rPr>
                            <w:rFonts w:hint="default" w:ascii="Times New Roman" w:hAnsi="Times New Roman" w:cs="Times New Roman"/>
                            <w:color w:val="auto"/>
                            <w:kern w:val="2"/>
                            <w:sz w:val="21"/>
                            <w:szCs w:val="21"/>
                            <w:highlight w:val="none"/>
                            <w:lang w:val="en-US" w:eastAsia="zh-CN" w:bidi="ar-SA"/>
                          </w:rPr>
                          <w:t>mg/L</w:t>
                        </w:r>
                      </w:p>
                    </w:tc>
                  </w:tr>
                  <w:tr w14:paraId="4ABFF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9" w:hRule="atLeast"/>
                      <w:jc w:val="center"/>
                    </w:trPr>
                    <w:tc>
                      <w:tcPr>
                        <w:tcW w:w="1223" w:type="pct"/>
                        <w:noWrap w:val="0"/>
                        <w:vAlign w:val="center"/>
                      </w:tcPr>
                      <w:p w14:paraId="7ECE47F8">
                        <w:pPr>
                          <w:keepNext w:val="0"/>
                          <w:keepLines w:val="0"/>
                          <w:widowControl/>
                          <w:suppressLineNumbers w:val="0"/>
                          <w:snapToGrid w:val="0"/>
                          <w:spacing w:before="0" w:beforeAutospacing="0" w:after="0" w:afterAutospacing="0"/>
                          <w:ind w:left="72"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样品编号</w:t>
                        </w:r>
                      </w:p>
                    </w:tc>
                    <w:tc>
                      <w:tcPr>
                        <w:tcW w:w="1842" w:type="pct"/>
                        <w:noWrap w:val="0"/>
                        <w:vAlign w:val="center"/>
                      </w:tcPr>
                      <w:p w14:paraId="2096E28C">
                        <w:pPr>
                          <w:keepNext w:val="0"/>
                          <w:keepLines w:val="0"/>
                          <w:widowControl/>
                          <w:suppressLineNumbers w:val="0"/>
                          <w:snapToGrid w:val="0"/>
                          <w:spacing w:before="0" w:beforeAutospacing="0" w:after="0" w:afterAutospacing="0"/>
                          <w:ind w:left="72"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样品状态</w:t>
                        </w:r>
                      </w:p>
                    </w:tc>
                    <w:tc>
                      <w:tcPr>
                        <w:tcW w:w="1934" w:type="pct"/>
                        <w:gridSpan w:val="2"/>
                        <w:noWrap w:val="0"/>
                        <w:vAlign w:val="center"/>
                      </w:tcPr>
                      <w:p w14:paraId="18A82905">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auto"/>
                            <w:sz w:val="21"/>
                            <w:szCs w:val="21"/>
                            <w:highlight w:val="yellow"/>
                            <w:lang w:val="en-US" w:eastAsia="zh-CN"/>
                          </w:rPr>
                        </w:pPr>
                        <w:r>
                          <w:rPr>
                            <w:rFonts w:hint="default" w:ascii="Times New Roman" w:hAnsi="Times New Roman" w:eastAsia="宋体" w:cs="Times New Roman"/>
                            <w:color w:val="auto"/>
                            <w:sz w:val="21"/>
                            <w:szCs w:val="21"/>
                            <w:lang w:val="en-US" w:eastAsia="zh-CN"/>
                          </w:rPr>
                          <w:t>检测结果</w:t>
                        </w:r>
                      </w:p>
                    </w:tc>
                  </w:tr>
                  <w:tr w14:paraId="4F7A3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6E9D8F9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-1-1</w:t>
                        </w:r>
                      </w:p>
                    </w:tc>
                    <w:tc>
                      <w:tcPr>
                        <w:tcW w:w="1842" w:type="pct"/>
                        <w:shd w:val="clear" w:color="auto" w:fill="auto"/>
                        <w:noWrap w:val="0"/>
                        <w:vAlign w:val="center"/>
                      </w:tcPr>
                      <w:p w14:paraId="6B205DE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1FBEFD5A">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3.1×10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2D80F772">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31B2E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277E4D5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2</w:t>
                        </w:r>
                      </w:p>
                    </w:tc>
                    <w:tc>
                      <w:tcPr>
                        <w:tcW w:w="1842" w:type="pct"/>
                        <w:shd w:val="clear" w:color="auto" w:fill="auto"/>
                        <w:noWrap w:val="0"/>
                        <w:vAlign w:val="center"/>
                      </w:tcPr>
                      <w:p w14:paraId="42B97A1E">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585954E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3.3×10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4F4F546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414BF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741CDC1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3</w:t>
                        </w:r>
                      </w:p>
                    </w:tc>
                    <w:tc>
                      <w:tcPr>
                        <w:tcW w:w="1842" w:type="pct"/>
                        <w:shd w:val="clear" w:color="auto" w:fill="auto"/>
                        <w:noWrap w:val="0"/>
                        <w:vAlign w:val="center"/>
                      </w:tcPr>
                      <w:p w14:paraId="6B2BE4AB">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0998AB3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3.2×10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30A7B59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5388A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73E934D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4</w:t>
                        </w:r>
                      </w:p>
                    </w:tc>
                    <w:tc>
                      <w:tcPr>
                        <w:tcW w:w="1842" w:type="pct"/>
                        <w:shd w:val="clear" w:color="auto" w:fill="auto"/>
                        <w:noWrap w:val="0"/>
                        <w:vAlign w:val="center"/>
                      </w:tcPr>
                      <w:p w14:paraId="002096DE">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4C09676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3.4×10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754F1BE1">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35154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457ABFC2">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-1</w:t>
                        </w:r>
                      </w:p>
                    </w:tc>
                    <w:tc>
                      <w:tcPr>
                        <w:tcW w:w="1842" w:type="pct"/>
                        <w:shd w:val="clear" w:color="auto" w:fill="auto"/>
                        <w:noWrap w:val="0"/>
                        <w:vAlign w:val="center"/>
                      </w:tcPr>
                      <w:p w14:paraId="2ECD59C0">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756547D1">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3.8×10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53394113">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0708C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05CAD92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p>
                    </w:tc>
                    <w:tc>
                      <w:tcPr>
                        <w:tcW w:w="1842" w:type="pct"/>
                        <w:shd w:val="clear" w:color="auto" w:fill="auto"/>
                        <w:noWrap w:val="0"/>
                        <w:vAlign w:val="center"/>
                      </w:tcPr>
                      <w:p w14:paraId="0E200F2C">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23031EE3">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3.6×10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22CDBB90">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5AEB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2F05D38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3</w:t>
                        </w:r>
                      </w:p>
                    </w:tc>
                    <w:tc>
                      <w:tcPr>
                        <w:tcW w:w="1842" w:type="pct"/>
                        <w:shd w:val="clear" w:color="auto" w:fill="auto"/>
                        <w:noWrap w:val="0"/>
                        <w:vAlign w:val="center"/>
                      </w:tcPr>
                      <w:p w14:paraId="45353947">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6BADFF3C">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3.6×10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50EB4493">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29084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1B94B2D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4</w:t>
                        </w:r>
                      </w:p>
                    </w:tc>
                    <w:tc>
                      <w:tcPr>
                        <w:tcW w:w="1842" w:type="pct"/>
                        <w:shd w:val="clear" w:color="auto" w:fill="auto"/>
                        <w:noWrap w:val="0"/>
                        <w:vAlign w:val="center"/>
                      </w:tcPr>
                      <w:p w14:paraId="40A9F6BA">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57F532F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4.0×10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481F2B8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0DD14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3065" w:type="pct"/>
                        <w:gridSpan w:val="2"/>
                        <w:shd w:val="clear" w:color="auto" w:fill="auto"/>
                        <w:noWrap w:val="0"/>
                        <w:vAlign w:val="center"/>
                      </w:tcPr>
                      <w:p w14:paraId="4EC1F93E">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spacing w:val="-6"/>
                            <w:sz w:val="21"/>
                            <w:szCs w:val="21"/>
                            <w:highlight w:val="none"/>
                            <w:lang w:val="en-US" w:eastAsia="zh-CN"/>
                          </w:rPr>
                          <w:t>《城市污水再生利用 绿地灌溉水质》（GB/T25499-2010）</w:t>
                        </w:r>
                      </w:p>
                    </w:tc>
                    <w:tc>
                      <w:tcPr>
                        <w:tcW w:w="878" w:type="pct"/>
                        <w:shd w:val="clear" w:color="auto" w:fill="auto"/>
                        <w:noWrap w:val="0"/>
                        <w:vAlign w:val="center"/>
                      </w:tcPr>
                      <w:p w14:paraId="1ACE9C9C">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≤1000</w:t>
                        </w:r>
                      </w:p>
                    </w:tc>
                    <w:tc>
                      <w:tcPr>
                        <w:tcW w:w="1056" w:type="pct"/>
                        <w:shd w:val="clear" w:color="auto" w:fill="auto"/>
                        <w:noWrap w:val="0"/>
                        <w:vAlign w:val="center"/>
                      </w:tcPr>
                      <w:p w14:paraId="72BC794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≤0.1</w:t>
                        </w:r>
                      </w:p>
                    </w:tc>
                  </w:tr>
                </w:tbl>
                <w:p w14:paraId="2D3AC75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根据监测结果可知，本项目</w:t>
                  </w:r>
                  <w:r>
                    <w:rPr>
                      <w:rFonts w:hint="eastAsia" w:ascii="Times New Roman" w:hAnsi="Times New Roman" w:eastAsia="宋体" w:cs="Times New Roman"/>
                      <w:snapToGrid w:val="0"/>
                      <w:color w:val="000000"/>
                      <w:kern w:val="0"/>
                      <w:sz w:val="24"/>
                      <w:szCs w:val="24"/>
                      <w:lang w:val="en-US" w:eastAsia="zh-CN" w:bidi="ar"/>
                    </w:rPr>
                    <w:t>水质</w:t>
                  </w:r>
                  <w:r>
                    <w:rPr>
                      <w:rFonts w:hint="default" w:ascii="Times New Roman" w:hAnsi="Times New Roman" w:eastAsia="宋体" w:cs="Times New Roman"/>
                      <w:snapToGrid w:val="0"/>
                      <w:color w:val="000000"/>
                      <w:kern w:val="0"/>
                      <w:sz w:val="24"/>
                      <w:szCs w:val="24"/>
                      <w:lang w:val="en-US" w:eastAsia="zh-CN" w:bidi="ar"/>
                    </w:rPr>
                    <w:t>均满足《城市污水再生利用 绿地灌溉水质》（GB/T25499-2010）</w:t>
                  </w:r>
                  <w:r>
                    <w:rPr>
                      <w:rFonts w:hint="eastAsia" w:ascii="Times New Roman" w:hAnsi="Times New Roman" w:eastAsia="宋体" w:cs="Times New Roman"/>
                      <w:snapToGrid w:val="0"/>
                      <w:color w:val="000000"/>
                      <w:kern w:val="0"/>
                      <w:sz w:val="24"/>
                      <w:szCs w:val="24"/>
                      <w:lang w:val="en-US" w:eastAsia="zh-CN" w:bidi="ar"/>
                    </w:rPr>
                    <w:t>中相关</w:t>
                  </w:r>
                  <w:r>
                    <w:rPr>
                      <w:rFonts w:hint="default" w:ascii="Times New Roman" w:hAnsi="Times New Roman" w:eastAsia="宋体" w:cs="Times New Roman"/>
                      <w:snapToGrid w:val="0"/>
                      <w:color w:val="000000"/>
                      <w:kern w:val="0"/>
                      <w:sz w:val="24"/>
                      <w:szCs w:val="24"/>
                      <w:lang w:val="en-US" w:eastAsia="zh-CN" w:bidi="ar"/>
                    </w:rPr>
                    <w:t>标准要求。</w:t>
                  </w:r>
                </w:p>
              </w:tc>
            </w:tr>
            <w:tr w14:paraId="6B6D2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7" w:hRule="atLeast"/>
                <w:jc w:val="center"/>
              </w:trPr>
              <w:tc>
                <w:tcPr>
                  <w:tcW w:w="537" w:type="pct"/>
                  <w:vAlign w:val="center"/>
                </w:tcPr>
                <w:p w14:paraId="1A08B1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声</w:t>
                  </w:r>
                </w:p>
              </w:tc>
              <w:tc>
                <w:tcPr>
                  <w:tcW w:w="4462" w:type="pct"/>
                  <w:gridSpan w:val="4"/>
                  <w:vAlign w:val="center"/>
                </w:tcPr>
                <w:p w14:paraId="3966B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本项目委托新疆锡水金山环境科技有限公司对第十四师皮山农场污水资源化利用项目进行了建设</w:t>
                  </w:r>
                  <w:r>
                    <w:rPr>
                      <w:rFonts w:hint="eastAsia" w:ascii="宋体" w:hAnsi="宋体" w:eastAsia="宋体" w:cs="宋体"/>
                      <w:spacing w:val="-1"/>
                      <w:sz w:val="24"/>
                      <w:szCs w:val="24"/>
                      <w:lang w:val="en-US" w:eastAsia="zh-CN"/>
                    </w:rPr>
                    <w:t>项目竣工环境保护验收监测，监测时间</w:t>
                  </w:r>
                  <w:r>
                    <w:rPr>
                      <w:rFonts w:hint="default" w:ascii="Times New Roman" w:hAnsi="Times New Roman" w:eastAsia="宋体" w:cs="Times New Roman"/>
                      <w:spacing w:val="-1"/>
                      <w:sz w:val="24"/>
                      <w:szCs w:val="24"/>
                      <w:lang w:val="en-US" w:eastAsia="zh-CN"/>
                    </w:rPr>
                    <w:t>为2024年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eastAsia" w:ascii="宋体" w:hAnsi="宋体" w:eastAsia="宋体" w:cs="宋体"/>
                      <w:spacing w:val="-1"/>
                      <w:sz w:val="24"/>
                      <w:szCs w:val="24"/>
                      <w:lang w:val="en-US" w:eastAsia="zh-CN"/>
                    </w:rPr>
                    <w:t>日-</w:t>
                  </w:r>
                  <w:r>
                    <w:rPr>
                      <w:rFonts w:hint="default" w:ascii="Times New Roman" w:hAnsi="Times New Roman" w:eastAsia="宋体" w:cs="Times New Roman"/>
                      <w:spacing w:val="-1"/>
                      <w:sz w:val="24"/>
                      <w:szCs w:val="24"/>
                      <w:lang w:val="en-US" w:eastAsia="zh-CN"/>
                    </w:rPr>
                    <w:t>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：1.8</w:t>
                  </w:r>
                  <w:r>
                    <w:rPr>
                      <w:rFonts w:hint="default" w:ascii="Times New Roman" w:hAnsi="Times New Roman" w:eastAsia="宋体" w:cs="Times New Roman"/>
                      <w:spacing w:val="-1"/>
                      <w:sz w:val="24"/>
                      <w:szCs w:val="24"/>
                      <w:lang w:val="en-US" w:eastAsia="zh-CN"/>
                    </w:rPr>
                    <w:t>m/s。2024年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1.2m/s。</w:t>
                  </w:r>
                </w:p>
                <w:p w14:paraId="77AAA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w:t>
                  </w:r>
                  <w:r>
                    <w:rPr>
                      <w:rFonts w:hint="eastAsia"/>
                      <w:sz w:val="24"/>
                      <w:szCs w:val="24"/>
                      <w:lang w:val="en-US" w:eastAsia="zh-CN"/>
                    </w:rPr>
                    <w:t>检测</w:t>
                  </w:r>
                  <w:r>
                    <w:rPr>
                      <w:rFonts w:hint="eastAsia" w:ascii="宋体" w:hAnsi="宋体" w:eastAsia="宋体" w:cs="宋体"/>
                      <w:snapToGrid w:val="0"/>
                      <w:color w:val="000000"/>
                      <w:kern w:val="0"/>
                      <w:sz w:val="24"/>
                      <w:szCs w:val="24"/>
                      <w:lang w:val="en-US" w:eastAsia="zh-CN" w:bidi="ar"/>
                    </w:rPr>
                    <w:t>内容</w:t>
                  </w:r>
                </w:p>
                <w:p w14:paraId="1DC180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eastAsia"/>
                      <w:sz w:val="24"/>
                      <w:szCs w:val="24"/>
                      <w:lang w:val="en-US" w:eastAsia="zh-CN"/>
                    </w:rPr>
                    <w:t>检测</w:t>
                  </w:r>
                  <w:r>
                    <w:rPr>
                      <w:rFonts w:hint="default" w:ascii="Times New Roman" w:hAnsi="Times New Roman" w:eastAsia="宋体" w:cs="Times New Roman"/>
                      <w:snapToGrid w:val="0"/>
                      <w:color w:val="000000"/>
                      <w:kern w:val="0"/>
                      <w:sz w:val="24"/>
                      <w:szCs w:val="24"/>
                      <w:lang w:val="en-US" w:eastAsia="zh-CN" w:bidi="ar"/>
                    </w:rPr>
                    <w:t>内容见表9-</w:t>
                  </w:r>
                  <w:r>
                    <w:rPr>
                      <w:rFonts w:hint="eastAsia" w:ascii="Times New Roman" w:hAnsi="Times New Roman" w:eastAsia="宋体" w:cs="Times New Roman"/>
                      <w:snapToGrid w:val="0"/>
                      <w:color w:val="000000"/>
                      <w:kern w:val="0"/>
                      <w:sz w:val="24"/>
                      <w:szCs w:val="24"/>
                      <w:lang w:val="en-US" w:eastAsia="zh-CN" w:bidi="ar"/>
                    </w:rPr>
                    <w:t>4</w:t>
                  </w:r>
                  <w:r>
                    <w:rPr>
                      <w:rFonts w:hint="default" w:ascii="Times New Roman" w:hAnsi="Times New Roman" w:eastAsia="宋体" w:cs="Times New Roman"/>
                      <w:snapToGrid w:val="0"/>
                      <w:color w:val="000000"/>
                      <w:kern w:val="0"/>
                      <w:sz w:val="24"/>
                      <w:szCs w:val="24"/>
                      <w:lang w:val="en-US" w:eastAsia="zh-CN" w:bidi="ar"/>
                    </w:rPr>
                    <w:t>。</w:t>
                  </w:r>
                </w:p>
                <w:p w14:paraId="5CBBC9CD">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表9-4  验收监测内容</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7"/>
                    <w:gridCol w:w="2405"/>
                    <w:gridCol w:w="1902"/>
                    <w:gridCol w:w="1161"/>
                    <w:gridCol w:w="1690"/>
                  </w:tblGrid>
                  <w:tr w14:paraId="15912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816" w:type="pct"/>
                        <w:vAlign w:val="center"/>
                      </w:tcPr>
                      <w:p w14:paraId="1DD6B440">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类别</w:t>
                        </w:r>
                      </w:p>
                    </w:tc>
                    <w:tc>
                      <w:tcPr>
                        <w:tcW w:w="1405" w:type="pct"/>
                        <w:vAlign w:val="center"/>
                      </w:tcPr>
                      <w:p w14:paraId="7FD88D67">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检测点位</w:t>
                        </w:r>
                      </w:p>
                    </w:tc>
                    <w:tc>
                      <w:tcPr>
                        <w:tcW w:w="1111" w:type="pct"/>
                        <w:vAlign w:val="center"/>
                      </w:tcPr>
                      <w:p w14:paraId="0C39FDA9">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检测项目</w:t>
                        </w:r>
                      </w:p>
                    </w:tc>
                    <w:tc>
                      <w:tcPr>
                        <w:tcW w:w="678" w:type="pct"/>
                        <w:vAlign w:val="center"/>
                      </w:tcPr>
                      <w:p w14:paraId="44335BC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检测点数</w:t>
                        </w:r>
                      </w:p>
                    </w:tc>
                    <w:tc>
                      <w:tcPr>
                        <w:tcW w:w="987" w:type="pct"/>
                        <w:vAlign w:val="center"/>
                      </w:tcPr>
                      <w:p w14:paraId="45648562">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检测频次</w:t>
                        </w:r>
                      </w:p>
                    </w:tc>
                  </w:tr>
                  <w:tr w14:paraId="2C2CF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pct"/>
                        <w:vAlign w:val="center"/>
                      </w:tcPr>
                      <w:p w14:paraId="3AD81637">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噪声</w:t>
                        </w:r>
                      </w:p>
                    </w:tc>
                    <w:tc>
                      <w:tcPr>
                        <w:tcW w:w="1405" w:type="pct"/>
                        <w:vAlign w:val="center"/>
                      </w:tcPr>
                      <w:p w14:paraId="1DF5F2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color w:val="000000"/>
                            <w:sz w:val="21"/>
                            <w:szCs w:val="21"/>
                            <w:lang w:val="en-US" w:eastAsia="zh-CN"/>
                          </w:rPr>
                        </w:pPr>
                        <w:r>
                          <w:rPr>
                            <w:rFonts w:hint="default" w:ascii="Times New Roman" w:hAnsi="Times New Roman" w:cs="Times New Roman"/>
                            <w:bCs/>
                            <w:color w:val="000000"/>
                            <w:sz w:val="21"/>
                            <w:szCs w:val="21"/>
                            <w:lang w:val="en-US" w:eastAsia="zh-CN"/>
                          </w:rPr>
                          <w:t>厂界东南侧外1m1</w:t>
                        </w:r>
                        <w:r>
                          <w:rPr>
                            <w:rFonts w:hint="default" w:ascii="Times New Roman" w:hAnsi="Times New Roman" w:cs="Times New Roman"/>
                            <w:bCs/>
                            <w:color w:val="000000"/>
                            <w:sz w:val="21"/>
                            <w:szCs w:val="21"/>
                            <w:vertAlign w:val="superscript"/>
                            <w:lang w:val="en-US" w:eastAsia="zh-CN"/>
                          </w:rPr>
                          <w:t>#</w:t>
                        </w:r>
                      </w:p>
                      <w:p w14:paraId="7E79D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color w:val="000000"/>
                            <w:sz w:val="21"/>
                            <w:szCs w:val="21"/>
                            <w:lang w:val="en-US" w:eastAsia="zh-CN"/>
                          </w:rPr>
                        </w:pPr>
                        <w:r>
                          <w:rPr>
                            <w:rFonts w:hint="default" w:ascii="Times New Roman" w:hAnsi="Times New Roman" w:cs="Times New Roman"/>
                            <w:bCs/>
                            <w:color w:val="000000"/>
                            <w:sz w:val="21"/>
                            <w:szCs w:val="21"/>
                            <w:lang w:val="en-US" w:eastAsia="zh-CN"/>
                          </w:rPr>
                          <w:t>厂界西南侧外1m2</w:t>
                        </w:r>
                        <w:r>
                          <w:rPr>
                            <w:rFonts w:hint="default" w:ascii="Times New Roman" w:hAnsi="Times New Roman" w:cs="Times New Roman"/>
                            <w:bCs/>
                            <w:color w:val="000000"/>
                            <w:sz w:val="21"/>
                            <w:szCs w:val="21"/>
                            <w:vertAlign w:val="superscript"/>
                            <w:lang w:val="en-US" w:eastAsia="zh-CN"/>
                          </w:rPr>
                          <w:t>#</w:t>
                        </w:r>
                      </w:p>
                      <w:p w14:paraId="2E4711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color w:val="000000"/>
                            <w:sz w:val="21"/>
                            <w:szCs w:val="21"/>
                            <w:lang w:val="en-US" w:eastAsia="zh-CN"/>
                          </w:rPr>
                        </w:pPr>
                        <w:r>
                          <w:rPr>
                            <w:rFonts w:hint="default" w:ascii="Times New Roman" w:hAnsi="Times New Roman" w:cs="Times New Roman"/>
                            <w:bCs/>
                            <w:color w:val="000000"/>
                            <w:sz w:val="21"/>
                            <w:szCs w:val="21"/>
                            <w:lang w:val="en-US" w:eastAsia="zh-CN"/>
                          </w:rPr>
                          <w:t>厂界西北侧外1m3</w:t>
                        </w:r>
                        <w:r>
                          <w:rPr>
                            <w:rFonts w:hint="default" w:ascii="Times New Roman" w:hAnsi="Times New Roman" w:cs="Times New Roman"/>
                            <w:bCs/>
                            <w:color w:val="000000"/>
                            <w:sz w:val="21"/>
                            <w:szCs w:val="21"/>
                            <w:vertAlign w:val="superscript"/>
                            <w:lang w:val="en-US" w:eastAsia="zh-CN"/>
                          </w:rPr>
                          <w:t>#</w:t>
                        </w:r>
                      </w:p>
                      <w:p w14:paraId="3D1DA5BF">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厂界东北侧外1m4</w:t>
                        </w:r>
                        <w:r>
                          <w:rPr>
                            <w:rFonts w:hint="default" w:ascii="Times New Roman" w:hAnsi="Times New Roman" w:cs="Times New Roman"/>
                            <w:bCs/>
                            <w:color w:val="000000"/>
                            <w:sz w:val="21"/>
                            <w:szCs w:val="21"/>
                            <w:vertAlign w:val="superscript"/>
                            <w:lang w:val="en-US" w:eastAsia="zh-CN"/>
                          </w:rPr>
                          <w:t>#</w:t>
                        </w:r>
                      </w:p>
                    </w:tc>
                    <w:tc>
                      <w:tcPr>
                        <w:tcW w:w="1111" w:type="pct"/>
                        <w:vAlign w:val="center"/>
                      </w:tcPr>
                      <w:p w14:paraId="5B37B6D3">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工业企业厂界环境噪声</w:t>
                        </w:r>
                      </w:p>
                    </w:tc>
                    <w:tc>
                      <w:tcPr>
                        <w:tcW w:w="678" w:type="pct"/>
                        <w:vAlign w:val="center"/>
                      </w:tcPr>
                      <w:p w14:paraId="1EA6F4EF">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w:t>
                        </w:r>
                      </w:p>
                    </w:tc>
                    <w:tc>
                      <w:tcPr>
                        <w:tcW w:w="987" w:type="pct"/>
                        <w:vAlign w:val="center"/>
                      </w:tcPr>
                      <w:p w14:paraId="4669562C">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每天一次，2天</w:t>
                        </w:r>
                      </w:p>
                    </w:tc>
                  </w:tr>
                </w:tbl>
                <w:p w14:paraId="034BFC49">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default"/>
                      <w:sz w:val="24"/>
                      <w:szCs w:val="24"/>
                      <w:lang w:val="en-US" w:eastAsia="zh-CN"/>
                    </w:rPr>
                  </w:pPr>
                  <w:r>
                    <w:rPr>
                      <w:rFonts w:hint="eastAsia"/>
                      <w:sz w:val="24"/>
                      <w:szCs w:val="24"/>
                      <w:lang w:val="en-US" w:eastAsia="zh-CN"/>
                    </w:rPr>
                    <w:t>2.分析测试方法</w:t>
                  </w:r>
                </w:p>
                <w:p w14:paraId="4D759F68">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检测仪器见下表。</w:t>
                  </w:r>
                </w:p>
                <w:p w14:paraId="62088C55">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表9-5  监测仪器汇总表</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961"/>
                    <w:gridCol w:w="3192"/>
                    <w:gridCol w:w="2135"/>
                  </w:tblGrid>
                  <w:tr w14:paraId="32F6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193" w:type="dxa"/>
                        <w:vAlign w:val="center"/>
                      </w:tcPr>
                      <w:p w14:paraId="1C19245F">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类</w:t>
                        </w:r>
                        <w:r>
                          <w:rPr>
                            <w:rFonts w:hint="default" w:ascii="Times New Roman" w:hAnsi="Times New Roman" w:cs="Times New Roman"/>
                            <w:b/>
                            <w:bCs w:val="0"/>
                            <w:color w:val="000000"/>
                            <w:sz w:val="21"/>
                            <w:szCs w:val="21"/>
                            <w:lang w:val="en-US" w:eastAsia="zh-CN" w:bidi="ar"/>
                          </w:rPr>
                          <w:t xml:space="preserve"> </w:t>
                        </w:r>
                        <w:r>
                          <w:rPr>
                            <w:rFonts w:hint="default" w:ascii="Times New Roman" w:hAnsi="Times New Roman" w:cs="Times New Roman"/>
                            <w:b/>
                            <w:bCs w:val="0"/>
                            <w:color w:val="000000"/>
                            <w:sz w:val="21"/>
                            <w:szCs w:val="21"/>
                            <w:lang w:bidi="ar"/>
                          </w:rPr>
                          <w:t>别</w:t>
                        </w:r>
                      </w:p>
                    </w:tc>
                    <w:tc>
                      <w:tcPr>
                        <w:tcW w:w="1848" w:type="dxa"/>
                        <w:vAlign w:val="center"/>
                      </w:tcPr>
                      <w:p w14:paraId="6D95FC7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采样方法及依据</w:t>
                        </w:r>
                      </w:p>
                    </w:tc>
                    <w:tc>
                      <w:tcPr>
                        <w:tcW w:w="3007" w:type="dxa"/>
                        <w:vAlign w:val="center"/>
                      </w:tcPr>
                      <w:p w14:paraId="7F0E25A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所用仪器</w:t>
                        </w:r>
                      </w:p>
                    </w:tc>
                    <w:tc>
                      <w:tcPr>
                        <w:tcW w:w="2011" w:type="dxa"/>
                        <w:vAlign w:val="center"/>
                      </w:tcPr>
                      <w:p w14:paraId="74925D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仪器编号</w:t>
                        </w:r>
                      </w:p>
                    </w:tc>
                  </w:tr>
                  <w:tr w14:paraId="03FAA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vMerge w:val="restart"/>
                        <w:vAlign w:val="center"/>
                      </w:tcPr>
                      <w:p w14:paraId="519F2E29">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highlight w:val="none"/>
                            <w:lang w:eastAsia="zh-CN" w:bidi="ar"/>
                          </w:rPr>
                          <w:t>噪声</w:t>
                        </w:r>
                      </w:p>
                    </w:tc>
                    <w:tc>
                      <w:tcPr>
                        <w:tcW w:w="1146" w:type="pct"/>
                        <w:vMerge w:val="restart"/>
                        <w:vAlign w:val="center"/>
                      </w:tcPr>
                      <w:p w14:paraId="4875D92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cs="Times New Roman"/>
                            <w:color w:val="auto"/>
                            <w:sz w:val="21"/>
                            <w:szCs w:val="21"/>
                            <w:highlight w:val="none"/>
                            <w:lang w:val="en-US" w:eastAsia="zh-CN"/>
                          </w:rPr>
                          <w:t>工业企业厂界环境噪声排放</w:t>
                        </w:r>
                        <w:r>
                          <w:rPr>
                            <w:rFonts w:hint="default" w:ascii="Times New Roman" w:hAnsi="Times New Roman" w:eastAsia="宋体" w:cs="Times New Roman"/>
                            <w:color w:val="auto"/>
                            <w:sz w:val="21"/>
                            <w:szCs w:val="21"/>
                            <w:highlight w:val="none"/>
                          </w:rPr>
                          <w:t>标准</w:t>
                        </w:r>
                      </w:p>
                      <w:p w14:paraId="48672672">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highlight w:val="none"/>
                          </w:rPr>
                          <w:t>GB</w:t>
                        </w:r>
                        <w:r>
                          <w:rPr>
                            <w:rFonts w:hint="default" w:ascii="Times New Roman" w:hAnsi="Times New Roman" w:cs="Times New Roman"/>
                            <w:color w:val="auto"/>
                            <w:sz w:val="21"/>
                            <w:szCs w:val="21"/>
                            <w:highlight w:val="none"/>
                            <w:lang w:val="en-US" w:eastAsia="zh-CN"/>
                          </w:rPr>
                          <w:t xml:space="preserve"> 12348</w:t>
                        </w:r>
                        <w:r>
                          <w:rPr>
                            <w:rFonts w:hint="default" w:ascii="Times New Roman" w:hAnsi="Times New Roman" w:eastAsia="宋体" w:cs="Times New Roman"/>
                            <w:color w:val="auto"/>
                            <w:sz w:val="21"/>
                            <w:szCs w:val="21"/>
                            <w:highlight w:val="none"/>
                          </w:rPr>
                          <w:t>-2008</w:t>
                        </w:r>
                      </w:p>
                    </w:tc>
                    <w:tc>
                      <w:tcPr>
                        <w:tcW w:w="1865" w:type="pct"/>
                        <w:vAlign w:val="center"/>
                      </w:tcPr>
                      <w:p w14:paraId="3773DDF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sz w:val="21"/>
                            <w:szCs w:val="21"/>
                            <w:highlight w:val="none"/>
                            <w:lang w:val="en-US" w:eastAsia="zh-CN"/>
                          </w:rPr>
                          <w:t>AS8336</w:t>
                        </w:r>
                        <w:r>
                          <w:rPr>
                            <w:rFonts w:hint="default" w:ascii="Times New Roman" w:hAnsi="Times New Roman" w:eastAsia="宋体" w:cs="Times New Roman"/>
                            <w:color w:val="000000"/>
                            <w:sz w:val="21"/>
                            <w:szCs w:val="21"/>
                            <w:highlight w:val="none"/>
                            <w:lang w:val="en-US" w:eastAsia="zh-CN"/>
                          </w:rPr>
                          <w:t>型风速仪</w:t>
                        </w:r>
                      </w:p>
                    </w:tc>
                    <w:tc>
                      <w:tcPr>
                        <w:tcW w:w="1247" w:type="pct"/>
                        <w:vAlign w:val="center"/>
                      </w:tcPr>
                      <w:p w14:paraId="6A9B250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sz w:val="21"/>
                            <w:szCs w:val="21"/>
                            <w:highlight w:val="none"/>
                            <w:lang w:val="en-US" w:eastAsia="zh-CN"/>
                          </w:rPr>
                          <w:t>XSJS/YQ-36</w:t>
                        </w:r>
                        <w:r>
                          <w:rPr>
                            <w:rFonts w:hint="default" w:ascii="Times New Roman" w:hAnsi="Times New Roman" w:cs="Times New Roman"/>
                            <w:color w:val="000000"/>
                            <w:sz w:val="21"/>
                            <w:szCs w:val="21"/>
                            <w:highlight w:val="none"/>
                            <w:lang w:val="en-US" w:eastAsia="zh-CN"/>
                          </w:rPr>
                          <w:t>-47</w:t>
                        </w:r>
                      </w:p>
                    </w:tc>
                  </w:tr>
                  <w:tr w14:paraId="7641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vMerge w:val="continue"/>
                        <w:vAlign w:val="center"/>
                      </w:tcPr>
                      <w:p w14:paraId="4997630B">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p>
                    </w:tc>
                    <w:tc>
                      <w:tcPr>
                        <w:tcW w:w="1146" w:type="pct"/>
                        <w:vMerge w:val="continue"/>
                        <w:vAlign w:val="center"/>
                      </w:tcPr>
                      <w:p w14:paraId="3DF29E7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1865" w:type="pct"/>
                        <w:vAlign w:val="center"/>
                      </w:tcPr>
                      <w:p w14:paraId="5CF0112D">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Cs/>
                            <w:color w:val="000000"/>
                            <w:sz w:val="21"/>
                            <w:szCs w:val="21"/>
                            <w:highlight w:val="none"/>
                            <w:lang w:bidi="ar"/>
                          </w:rPr>
                          <w:t>AWA5688多功能声级计</w:t>
                        </w:r>
                      </w:p>
                    </w:tc>
                    <w:tc>
                      <w:tcPr>
                        <w:tcW w:w="1247" w:type="pct"/>
                        <w:vAlign w:val="center"/>
                      </w:tcPr>
                      <w:p w14:paraId="418E60A4">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rPr>
                          <w:t>XSJS/YQ-24</w:t>
                        </w:r>
                        <w:r>
                          <w:rPr>
                            <w:rFonts w:hint="default" w:ascii="Times New Roman" w:hAnsi="Times New Roman" w:cs="Times New Roman"/>
                            <w:color w:val="auto"/>
                            <w:sz w:val="21"/>
                            <w:szCs w:val="21"/>
                            <w:highlight w:val="none"/>
                            <w:lang w:val="en-US" w:eastAsia="zh-CN"/>
                          </w:rPr>
                          <w:t>-2</w:t>
                        </w:r>
                      </w:p>
                    </w:tc>
                  </w:tr>
                  <w:tr w14:paraId="2183A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vMerge w:val="continue"/>
                        <w:vAlign w:val="center"/>
                      </w:tcPr>
                      <w:p w14:paraId="460CD52C">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p>
                    </w:tc>
                    <w:tc>
                      <w:tcPr>
                        <w:tcW w:w="1146" w:type="pct"/>
                        <w:vMerge w:val="continue"/>
                        <w:vAlign w:val="center"/>
                      </w:tcPr>
                      <w:p w14:paraId="20C2030C">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p>
                    </w:tc>
                    <w:tc>
                      <w:tcPr>
                        <w:tcW w:w="1865" w:type="pct"/>
                        <w:vAlign w:val="center"/>
                      </w:tcPr>
                      <w:p w14:paraId="7349055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kern w:val="2"/>
                            <w:sz w:val="21"/>
                            <w:szCs w:val="21"/>
                            <w:highlight w:val="none"/>
                            <w:lang w:val="en-US" w:eastAsia="zh-CN" w:bidi="ar-SA"/>
                          </w:rPr>
                          <w:t>AWA6022A型声校准器</w:t>
                        </w:r>
                      </w:p>
                    </w:tc>
                    <w:tc>
                      <w:tcPr>
                        <w:tcW w:w="1247" w:type="pct"/>
                        <w:vAlign w:val="center"/>
                      </w:tcPr>
                      <w:p w14:paraId="42132A8B">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kern w:val="2"/>
                            <w:sz w:val="21"/>
                            <w:szCs w:val="21"/>
                            <w:highlight w:val="none"/>
                            <w:lang w:val="en-US" w:eastAsia="zh-CN" w:bidi="ar-SA"/>
                          </w:rPr>
                          <w:t>XSJS/YQ-34</w:t>
                        </w:r>
                        <w:r>
                          <w:rPr>
                            <w:rFonts w:hint="default" w:ascii="Times New Roman" w:hAnsi="Times New Roman" w:cs="Times New Roman"/>
                            <w:color w:val="000000"/>
                            <w:kern w:val="2"/>
                            <w:sz w:val="21"/>
                            <w:szCs w:val="21"/>
                            <w:highlight w:val="none"/>
                            <w:lang w:val="en-US" w:eastAsia="zh-CN" w:bidi="ar-SA"/>
                          </w:rPr>
                          <w:t>-32</w:t>
                        </w:r>
                      </w:p>
                    </w:tc>
                  </w:tr>
                </w:tbl>
                <w:p w14:paraId="064CB768">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3.监测结果</w:t>
                  </w:r>
                </w:p>
                <w:p w14:paraId="69BDF273">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噪声</w:t>
                  </w:r>
                  <w:r>
                    <w:rPr>
                      <w:rFonts w:hint="eastAsia" w:ascii="Times New Roman" w:hAnsi="Times New Roman" w:eastAsia="宋体" w:cs="Times New Roman"/>
                      <w:snapToGrid w:val="0"/>
                      <w:color w:val="000000"/>
                      <w:kern w:val="0"/>
                      <w:sz w:val="24"/>
                      <w:szCs w:val="24"/>
                      <w:lang w:val="en-US" w:eastAsia="zh-CN" w:bidi="ar"/>
                    </w:rPr>
                    <w:t>检测</w:t>
                  </w:r>
                  <w:r>
                    <w:rPr>
                      <w:rFonts w:hint="eastAsia" w:eastAsia="宋体" w:cs="Times New Roman"/>
                      <w:b w:val="0"/>
                      <w:bCs w:val="0"/>
                      <w:sz w:val="24"/>
                      <w:szCs w:val="24"/>
                      <w:vertAlign w:val="baseline"/>
                      <w:lang w:val="en-US" w:eastAsia="zh-CN"/>
                    </w:rPr>
                    <w:t>结果见下表。</w:t>
                  </w:r>
                </w:p>
                <w:p w14:paraId="03F34C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 xml:space="preserve">表9-6  </w:t>
                  </w:r>
                  <w:r>
                    <w:rPr>
                      <w:rFonts w:hint="eastAsia" w:ascii="Times New Roman" w:hAnsi="Times New Roman" w:eastAsia="宋体" w:cs="Times New Roman"/>
                      <w:b/>
                      <w:bCs/>
                      <w:sz w:val="21"/>
                      <w:szCs w:val="21"/>
                      <w:vertAlign w:val="baseline"/>
                      <w:lang w:val="en-US" w:eastAsia="zh-CN"/>
                    </w:rPr>
                    <w:t>噪声</w:t>
                  </w:r>
                  <w:r>
                    <w:rPr>
                      <w:rFonts w:hint="eastAsia" w:eastAsia="宋体" w:cs="Times New Roman"/>
                      <w:b/>
                      <w:bCs/>
                      <w:sz w:val="21"/>
                      <w:szCs w:val="21"/>
                      <w:vertAlign w:val="baseline"/>
                      <w:lang w:val="en-US" w:eastAsia="zh-CN"/>
                    </w:rPr>
                    <w:t>检测结果表</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7"/>
                    <w:gridCol w:w="1018"/>
                    <w:gridCol w:w="965"/>
                    <w:gridCol w:w="988"/>
                    <w:gridCol w:w="1256"/>
                    <w:gridCol w:w="1330"/>
                    <w:gridCol w:w="1107"/>
                    <w:gridCol w:w="1184"/>
                  </w:tblGrid>
                  <w:tr w14:paraId="261EA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413" w:type="pct"/>
                        <w:vMerge w:val="restart"/>
                        <w:vAlign w:val="center"/>
                      </w:tcPr>
                      <w:p w14:paraId="772AAA8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测点编号</w:t>
                        </w:r>
                      </w:p>
                    </w:tc>
                    <w:tc>
                      <w:tcPr>
                        <w:tcW w:w="595" w:type="pct"/>
                        <w:vMerge w:val="restart"/>
                        <w:vAlign w:val="center"/>
                      </w:tcPr>
                      <w:p w14:paraId="6743768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测点位置</w:t>
                        </w:r>
                      </w:p>
                    </w:tc>
                    <w:tc>
                      <w:tcPr>
                        <w:tcW w:w="1875" w:type="pct"/>
                        <w:gridSpan w:val="3"/>
                        <w:vAlign w:val="center"/>
                      </w:tcPr>
                      <w:p w14:paraId="1178E71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202</w:t>
                        </w:r>
                        <w:r>
                          <w:rPr>
                            <w:rFonts w:hint="default" w:ascii="Times New Roman" w:hAnsi="Times New Roman" w:cs="Times New Roman"/>
                            <w:color w:val="auto"/>
                            <w:kern w:val="0"/>
                            <w:sz w:val="21"/>
                            <w:szCs w:val="21"/>
                            <w:lang w:val="en-US" w:eastAsia="zh-CN" w:bidi="ar"/>
                          </w:rPr>
                          <w:t>4年12月5日</w:t>
                        </w:r>
                      </w:p>
                    </w:tc>
                    <w:tc>
                      <w:tcPr>
                        <w:tcW w:w="2115" w:type="pct"/>
                        <w:gridSpan w:val="3"/>
                        <w:vAlign w:val="center"/>
                      </w:tcPr>
                      <w:p w14:paraId="4784C3DE">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202</w:t>
                        </w:r>
                        <w:r>
                          <w:rPr>
                            <w:rFonts w:hint="default" w:ascii="Times New Roman" w:hAnsi="Times New Roman" w:cs="Times New Roman"/>
                            <w:color w:val="auto"/>
                            <w:kern w:val="0"/>
                            <w:sz w:val="21"/>
                            <w:szCs w:val="21"/>
                            <w:lang w:val="en-US" w:eastAsia="zh-CN" w:bidi="ar"/>
                          </w:rPr>
                          <w:t>4年12月6日</w:t>
                        </w:r>
                      </w:p>
                    </w:tc>
                  </w:tr>
                  <w:tr w14:paraId="6A12B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Merge w:val="continue"/>
                        <w:vAlign w:val="center"/>
                      </w:tcPr>
                      <w:p w14:paraId="51DB31C9">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p>
                    </w:tc>
                    <w:tc>
                      <w:tcPr>
                        <w:tcW w:w="595" w:type="pct"/>
                        <w:vMerge w:val="continue"/>
                        <w:vAlign w:val="center"/>
                      </w:tcPr>
                      <w:p w14:paraId="298F7EF0">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p>
                    </w:tc>
                    <w:tc>
                      <w:tcPr>
                        <w:tcW w:w="564" w:type="pct"/>
                        <w:vAlign w:val="center"/>
                      </w:tcPr>
                      <w:p w14:paraId="5F9ECD0C">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测量时间</w:t>
                        </w:r>
                      </w:p>
                    </w:tc>
                    <w:tc>
                      <w:tcPr>
                        <w:tcW w:w="577" w:type="pct"/>
                        <w:vAlign w:val="center"/>
                      </w:tcPr>
                      <w:p w14:paraId="4D3EBB4F">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主要噪声源</w:t>
                        </w:r>
                      </w:p>
                    </w:tc>
                    <w:tc>
                      <w:tcPr>
                        <w:tcW w:w="734" w:type="pct"/>
                        <w:vAlign w:val="center"/>
                      </w:tcPr>
                      <w:p w14:paraId="65C4DD03">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cs="Times New Roman"/>
                            <w:color w:val="auto"/>
                            <w:kern w:val="0"/>
                            <w:sz w:val="21"/>
                            <w:szCs w:val="21"/>
                            <w:lang w:bidi="ar"/>
                          </w:rPr>
                        </w:pPr>
                        <w:r>
                          <w:rPr>
                            <w:rFonts w:hint="default" w:ascii="Times New Roman" w:hAnsi="Times New Roman" w:cs="Times New Roman"/>
                            <w:color w:val="auto"/>
                            <w:kern w:val="0"/>
                            <w:sz w:val="21"/>
                            <w:szCs w:val="21"/>
                            <w:lang w:bidi="ar"/>
                          </w:rPr>
                          <w:t>等效声级</w:t>
                        </w:r>
                      </w:p>
                      <w:p w14:paraId="6861DEC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dB（A）</w:t>
                        </w:r>
                      </w:p>
                    </w:tc>
                    <w:tc>
                      <w:tcPr>
                        <w:tcW w:w="777" w:type="pct"/>
                        <w:vAlign w:val="center"/>
                      </w:tcPr>
                      <w:p w14:paraId="5034DA4A">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测量时间</w:t>
                        </w:r>
                      </w:p>
                    </w:tc>
                    <w:tc>
                      <w:tcPr>
                        <w:tcW w:w="647" w:type="pct"/>
                        <w:vAlign w:val="center"/>
                      </w:tcPr>
                      <w:p w14:paraId="76AD2FE6">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主要噪声源</w:t>
                        </w:r>
                      </w:p>
                    </w:tc>
                    <w:tc>
                      <w:tcPr>
                        <w:tcW w:w="691" w:type="pct"/>
                        <w:vAlign w:val="center"/>
                      </w:tcPr>
                      <w:p w14:paraId="3E8F99C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cs="Times New Roman"/>
                            <w:color w:val="auto"/>
                            <w:kern w:val="0"/>
                            <w:sz w:val="21"/>
                            <w:szCs w:val="21"/>
                            <w:lang w:bidi="ar"/>
                          </w:rPr>
                        </w:pPr>
                        <w:r>
                          <w:rPr>
                            <w:rFonts w:hint="default" w:ascii="Times New Roman" w:hAnsi="Times New Roman" w:cs="Times New Roman"/>
                            <w:color w:val="auto"/>
                            <w:kern w:val="0"/>
                            <w:sz w:val="21"/>
                            <w:szCs w:val="21"/>
                            <w:lang w:bidi="ar"/>
                          </w:rPr>
                          <w:t>等效声级</w:t>
                        </w:r>
                      </w:p>
                      <w:p w14:paraId="0F0050E8">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dB（A）</w:t>
                        </w:r>
                      </w:p>
                    </w:tc>
                  </w:tr>
                  <w:tr w14:paraId="2F143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04DDA9D4">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1</w:t>
                        </w:r>
                        <w:r>
                          <w:rPr>
                            <w:rFonts w:hint="default" w:ascii="Times New Roman" w:hAnsi="Times New Roman" w:cs="Times New Roman"/>
                            <w:sz w:val="21"/>
                            <w:szCs w:val="21"/>
                            <w:vertAlign w:val="superscript"/>
                          </w:rPr>
                          <w:t>#</w:t>
                        </w:r>
                      </w:p>
                    </w:tc>
                    <w:tc>
                      <w:tcPr>
                        <w:tcW w:w="595" w:type="pct"/>
                        <w:vAlign w:val="center"/>
                      </w:tcPr>
                      <w:p w14:paraId="444FA0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厂界东南侧外1m </w:t>
                        </w:r>
                      </w:p>
                    </w:tc>
                    <w:tc>
                      <w:tcPr>
                        <w:tcW w:w="564" w:type="pct"/>
                        <w:vAlign w:val="center"/>
                      </w:tcPr>
                      <w:p w14:paraId="6FF6D772">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13:48-13:53</w:t>
                        </w:r>
                      </w:p>
                    </w:tc>
                    <w:tc>
                      <w:tcPr>
                        <w:tcW w:w="577" w:type="pct"/>
                        <w:vAlign w:val="center"/>
                      </w:tcPr>
                      <w:p w14:paraId="28799E3D">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27F98F79">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c>
                      <w:tcPr>
                        <w:tcW w:w="777" w:type="pct"/>
                        <w:vAlign w:val="center"/>
                      </w:tcPr>
                      <w:p w14:paraId="415511ED">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14:01-14:06</w:t>
                        </w:r>
                      </w:p>
                    </w:tc>
                    <w:tc>
                      <w:tcPr>
                        <w:tcW w:w="647" w:type="pct"/>
                        <w:vAlign w:val="center"/>
                      </w:tcPr>
                      <w:p w14:paraId="60A606DC">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57D8A32F">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r>
                  <w:tr w14:paraId="17986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6BEBFA08">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2</w:t>
                        </w:r>
                        <w:r>
                          <w:rPr>
                            <w:rFonts w:hint="default" w:ascii="Times New Roman" w:hAnsi="Times New Roman" w:cs="Times New Roman"/>
                            <w:sz w:val="21"/>
                            <w:szCs w:val="21"/>
                            <w:vertAlign w:val="superscript"/>
                          </w:rPr>
                          <w:t>#</w:t>
                        </w:r>
                      </w:p>
                    </w:tc>
                    <w:tc>
                      <w:tcPr>
                        <w:tcW w:w="595" w:type="pct"/>
                        <w:vAlign w:val="center"/>
                      </w:tcPr>
                      <w:p w14:paraId="4EDDD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厂界西南侧外1m </w:t>
                        </w:r>
                      </w:p>
                    </w:tc>
                    <w:tc>
                      <w:tcPr>
                        <w:tcW w:w="564" w:type="pct"/>
                        <w:vAlign w:val="center"/>
                      </w:tcPr>
                      <w:p w14:paraId="4226B80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14:03-14:08</w:t>
                        </w:r>
                      </w:p>
                    </w:tc>
                    <w:tc>
                      <w:tcPr>
                        <w:tcW w:w="577" w:type="pct"/>
                        <w:vAlign w:val="center"/>
                      </w:tcPr>
                      <w:p w14:paraId="6FAC9B1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06644990">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47</w:t>
                        </w:r>
                      </w:p>
                    </w:tc>
                    <w:tc>
                      <w:tcPr>
                        <w:tcW w:w="777" w:type="pct"/>
                        <w:vAlign w:val="center"/>
                      </w:tcPr>
                      <w:p w14:paraId="547EDF8C">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14:14-14:19</w:t>
                        </w:r>
                      </w:p>
                    </w:tc>
                    <w:tc>
                      <w:tcPr>
                        <w:tcW w:w="647" w:type="pct"/>
                        <w:vAlign w:val="center"/>
                      </w:tcPr>
                      <w:p w14:paraId="09501524">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42749F3A">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46</w:t>
                        </w:r>
                      </w:p>
                    </w:tc>
                  </w:tr>
                  <w:tr w14:paraId="53FE9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1D669716">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3</w:t>
                        </w:r>
                        <w:r>
                          <w:rPr>
                            <w:rFonts w:hint="default" w:ascii="Times New Roman" w:hAnsi="Times New Roman" w:cs="Times New Roman"/>
                            <w:sz w:val="21"/>
                            <w:szCs w:val="21"/>
                            <w:vertAlign w:val="superscript"/>
                          </w:rPr>
                          <w:t>#</w:t>
                        </w:r>
                      </w:p>
                    </w:tc>
                    <w:tc>
                      <w:tcPr>
                        <w:tcW w:w="595" w:type="pct"/>
                        <w:vAlign w:val="center"/>
                      </w:tcPr>
                      <w:p w14:paraId="11D9E4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厂界西北侧外1m </w:t>
                        </w:r>
                      </w:p>
                    </w:tc>
                    <w:tc>
                      <w:tcPr>
                        <w:tcW w:w="564" w:type="pct"/>
                        <w:vAlign w:val="center"/>
                      </w:tcPr>
                      <w:p w14:paraId="0E77B483">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14:19-14:24</w:t>
                        </w:r>
                      </w:p>
                    </w:tc>
                    <w:tc>
                      <w:tcPr>
                        <w:tcW w:w="577" w:type="pct"/>
                        <w:vAlign w:val="center"/>
                      </w:tcPr>
                      <w:p w14:paraId="608F858A">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3EE9C94F">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c>
                      <w:tcPr>
                        <w:tcW w:w="777" w:type="pct"/>
                        <w:vAlign w:val="center"/>
                      </w:tcPr>
                      <w:p w14:paraId="7773FD33">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14:36-14:38</w:t>
                        </w:r>
                      </w:p>
                    </w:tc>
                    <w:tc>
                      <w:tcPr>
                        <w:tcW w:w="647" w:type="pct"/>
                        <w:vAlign w:val="center"/>
                      </w:tcPr>
                      <w:p w14:paraId="1268E675">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272D9F54">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r>
                  <w:tr w14:paraId="44A28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7FCDDFA4">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4</w:t>
                        </w:r>
                        <w:r>
                          <w:rPr>
                            <w:rFonts w:hint="default" w:ascii="Times New Roman" w:hAnsi="Times New Roman" w:cs="Times New Roman"/>
                            <w:sz w:val="21"/>
                            <w:szCs w:val="21"/>
                            <w:vertAlign w:val="superscript"/>
                          </w:rPr>
                          <w:t>#</w:t>
                        </w:r>
                      </w:p>
                    </w:tc>
                    <w:tc>
                      <w:tcPr>
                        <w:tcW w:w="595" w:type="pct"/>
                        <w:vAlign w:val="center"/>
                      </w:tcPr>
                      <w:p w14:paraId="45E401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厂界东北侧外1m </w:t>
                        </w:r>
                      </w:p>
                    </w:tc>
                    <w:tc>
                      <w:tcPr>
                        <w:tcW w:w="564" w:type="pct"/>
                        <w:vAlign w:val="center"/>
                      </w:tcPr>
                      <w:p w14:paraId="6D3BCBF8">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14:35-14:40</w:t>
                        </w:r>
                      </w:p>
                    </w:tc>
                    <w:tc>
                      <w:tcPr>
                        <w:tcW w:w="577" w:type="pct"/>
                        <w:vAlign w:val="center"/>
                      </w:tcPr>
                      <w:p w14:paraId="4B6C563E">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061BF284">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46</w:t>
                        </w:r>
                      </w:p>
                    </w:tc>
                    <w:tc>
                      <w:tcPr>
                        <w:tcW w:w="777" w:type="pct"/>
                        <w:vAlign w:val="center"/>
                      </w:tcPr>
                      <w:p w14:paraId="7D426DB5">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14:48-14:53</w:t>
                        </w:r>
                      </w:p>
                    </w:tc>
                    <w:tc>
                      <w:tcPr>
                        <w:tcW w:w="647" w:type="pct"/>
                        <w:vAlign w:val="center"/>
                      </w:tcPr>
                      <w:p w14:paraId="18ECE0B5">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2B54738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46</w:t>
                        </w:r>
                      </w:p>
                    </w:tc>
                  </w:tr>
                </w:tbl>
                <w:p w14:paraId="23F89D0B">
                  <w:pPr>
                    <w:pStyle w:val="9"/>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根据监测结果可知，本项目</w:t>
                  </w:r>
                  <w:r>
                    <w:rPr>
                      <w:rFonts w:hint="eastAsia" w:ascii="Times New Roman" w:hAnsi="Times New Roman" w:eastAsia="宋体" w:cs="Times New Roman"/>
                      <w:snapToGrid w:val="0"/>
                      <w:color w:val="000000"/>
                      <w:kern w:val="0"/>
                      <w:sz w:val="24"/>
                      <w:szCs w:val="24"/>
                      <w:lang w:val="en-US" w:eastAsia="zh-CN" w:bidi="ar"/>
                    </w:rPr>
                    <w:t>1</w:t>
                  </w:r>
                  <w:r>
                    <w:rPr>
                      <w:rFonts w:hint="default" w:ascii="Times New Roman" w:hAnsi="Times New Roman" w:eastAsia="宋体" w:cs="Times New Roman"/>
                      <w:snapToGrid w:val="0"/>
                      <w:color w:val="000000"/>
                      <w:kern w:val="0"/>
                      <w:sz w:val="24"/>
                      <w:szCs w:val="24"/>
                      <w:lang w:val="en-US" w:eastAsia="zh-CN" w:bidi="ar"/>
                    </w:rPr>
                    <w:t>#-</w:t>
                  </w:r>
                  <w:r>
                    <w:rPr>
                      <w:rFonts w:hint="eastAsia" w:ascii="Times New Roman" w:hAnsi="Times New Roman" w:eastAsia="宋体" w:cs="Times New Roman"/>
                      <w:snapToGrid w:val="0"/>
                      <w:color w:val="000000"/>
                      <w:kern w:val="0"/>
                      <w:sz w:val="24"/>
                      <w:szCs w:val="24"/>
                      <w:lang w:val="en-US" w:eastAsia="zh-CN" w:bidi="ar"/>
                    </w:rPr>
                    <w:t>4</w:t>
                  </w:r>
                  <w:r>
                    <w:rPr>
                      <w:rFonts w:hint="default" w:ascii="Times New Roman" w:hAnsi="Times New Roman" w:eastAsia="宋体" w:cs="Times New Roman"/>
                      <w:snapToGrid w:val="0"/>
                      <w:color w:val="000000"/>
                      <w:kern w:val="0"/>
                      <w:sz w:val="24"/>
                      <w:szCs w:val="24"/>
                      <w:lang w:val="en-US" w:eastAsia="zh-CN" w:bidi="ar"/>
                    </w:rPr>
                    <w:t>#点位噪声均满足</w:t>
                  </w:r>
                  <w:r>
                    <w:rPr>
                      <w:rFonts w:hint="default" w:ascii="Times New Roman" w:hAnsi="Times New Roman" w:eastAsia="宋体" w:cs="Times New Roman"/>
                      <w:color w:val="auto"/>
                      <w:sz w:val="24"/>
                      <w:szCs w:val="24"/>
                      <w:highlight w:val="none"/>
                    </w:rPr>
                    <w:t>《工业企业厂界环境噪声排放标准》（GB12348-2008）中</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rPr>
                    <w:t>类标准</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snapToGrid w:val="0"/>
                      <w:color w:val="000000"/>
                      <w:kern w:val="0"/>
                      <w:sz w:val="24"/>
                      <w:szCs w:val="24"/>
                      <w:lang w:val="en-US" w:eastAsia="zh-CN" w:bidi="ar"/>
                    </w:rPr>
                    <w:t>昼间6</w:t>
                  </w:r>
                  <w:r>
                    <w:rPr>
                      <w:rFonts w:hint="eastAsia" w:ascii="Times New Roman" w:hAnsi="Times New Roman" w:eastAsia="宋体" w:cs="Times New Roman"/>
                      <w:snapToGrid w:val="0"/>
                      <w:color w:val="000000"/>
                      <w:kern w:val="0"/>
                      <w:sz w:val="24"/>
                      <w:szCs w:val="24"/>
                      <w:lang w:val="en-US" w:eastAsia="zh-CN" w:bidi="ar"/>
                    </w:rPr>
                    <w:t>0</w:t>
                  </w:r>
                  <w:r>
                    <w:rPr>
                      <w:rFonts w:hint="default" w:ascii="Times New Roman" w:hAnsi="Times New Roman" w:eastAsia="宋体" w:cs="Times New Roman"/>
                      <w:snapToGrid w:val="0"/>
                      <w:color w:val="000000"/>
                      <w:kern w:val="0"/>
                      <w:sz w:val="24"/>
                      <w:szCs w:val="24"/>
                      <w:lang w:val="en-US" w:eastAsia="zh-CN" w:bidi="ar"/>
                    </w:rPr>
                    <w:t>dB（A），夜间5</w:t>
                  </w:r>
                  <w:r>
                    <w:rPr>
                      <w:rFonts w:hint="eastAsia" w:ascii="Times New Roman" w:hAnsi="Times New Roman" w:eastAsia="宋体" w:cs="Times New Roman"/>
                      <w:snapToGrid w:val="0"/>
                      <w:color w:val="000000"/>
                      <w:kern w:val="0"/>
                      <w:sz w:val="24"/>
                      <w:szCs w:val="24"/>
                      <w:lang w:val="en-US" w:eastAsia="zh-CN" w:bidi="ar"/>
                    </w:rPr>
                    <w:t>0</w:t>
                  </w:r>
                  <w:r>
                    <w:rPr>
                      <w:rFonts w:hint="default" w:ascii="Times New Roman" w:hAnsi="Times New Roman" w:eastAsia="宋体" w:cs="Times New Roman"/>
                      <w:snapToGrid w:val="0"/>
                      <w:color w:val="000000"/>
                      <w:kern w:val="0"/>
                      <w:sz w:val="24"/>
                      <w:szCs w:val="24"/>
                      <w:lang w:val="en-US" w:eastAsia="zh-CN" w:bidi="ar"/>
                    </w:rPr>
                    <w:t>的标准要求</w:t>
                  </w:r>
                  <w:r>
                    <w:rPr>
                      <w:rFonts w:hint="eastAsia" w:ascii="Times New Roman" w:hAnsi="Times New Roman" w:eastAsia="宋体" w:cs="Times New Roman"/>
                      <w:snapToGrid w:val="0"/>
                      <w:color w:val="000000"/>
                      <w:kern w:val="0"/>
                      <w:sz w:val="24"/>
                      <w:szCs w:val="24"/>
                      <w:lang w:val="en-US" w:eastAsia="zh-CN" w:bidi="ar"/>
                    </w:rPr>
                    <w:t>（夜间设备不运行）</w:t>
                  </w:r>
                  <w:r>
                    <w:rPr>
                      <w:rFonts w:hint="default" w:ascii="Times New Roman" w:hAnsi="Times New Roman" w:eastAsia="宋体" w:cs="Times New Roman"/>
                      <w:snapToGrid w:val="0"/>
                      <w:color w:val="000000"/>
                      <w:kern w:val="0"/>
                      <w:sz w:val="24"/>
                      <w:szCs w:val="24"/>
                      <w:lang w:val="en-US" w:eastAsia="zh-CN" w:bidi="ar"/>
                    </w:rPr>
                    <w:t>。</w:t>
                  </w:r>
                </w:p>
                <w:p w14:paraId="7DFF9236">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eastAsia="宋体" w:cs="Times New Roman"/>
                      <w:snapToGrid w:val="0"/>
                      <w:color w:val="000000"/>
                      <w:kern w:val="0"/>
                      <w:sz w:val="24"/>
                      <w:szCs w:val="24"/>
                      <w:lang w:val="en-US" w:eastAsia="zh-CN" w:bidi="ar"/>
                    </w:rPr>
                    <w:t>检测布点图：</w:t>
                  </w:r>
                </w:p>
                <w:p w14:paraId="0A5B4AE6">
                  <w:pPr>
                    <w:pStyle w:val="9"/>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textAlignment w:val="baseline"/>
                    <w:rPr>
                      <w:rFonts w:hint="eastAsia" w:ascii="Times New Roman" w:hAnsi="Times New Roman" w:eastAsia="宋体" w:cs="Times New Roman"/>
                      <w:snapToGrid w:val="0"/>
                      <w:color w:val="000000"/>
                      <w:kern w:val="0"/>
                      <w:sz w:val="24"/>
                      <w:szCs w:val="24"/>
                      <w:lang w:val="en-US" w:eastAsia="zh-CN" w:bidi="ar"/>
                    </w:rPr>
                  </w:pPr>
                  <w:r>
                    <w:rPr>
                      <w:rFonts w:hint="default"/>
                    </w:rPr>
                    <w:drawing>
                      <wp:inline distT="0" distB="0" distL="114300" distR="114300">
                        <wp:extent cx="5440680" cy="362712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1"/>
                                <a:stretch>
                                  <a:fillRect/>
                                </a:stretch>
                              </pic:blipFill>
                              <pic:spPr>
                                <a:xfrm>
                                  <a:off x="0" y="0"/>
                                  <a:ext cx="5440680" cy="3627120"/>
                                </a:xfrm>
                                <a:prstGeom prst="rect">
                                  <a:avLst/>
                                </a:prstGeom>
                                <a:noFill/>
                                <a:ln>
                                  <a:noFill/>
                                </a:ln>
                              </pic:spPr>
                            </pic:pic>
                          </a:graphicData>
                        </a:graphic>
                      </wp:inline>
                    </w:drawing>
                  </w:r>
                </w:p>
              </w:tc>
            </w:tr>
            <w:tr w14:paraId="3CC9D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002202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其他</w:t>
                  </w:r>
                </w:p>
              </w:tc>
              <w:tc>
                <w:tcPr>
                  <w:tcW w:w="1461" w:type="pct"/>
                  <w:vAlign w:val="center"/>
                </w:tcPr>
                <w:p w14:paraId="3B2E4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0E2F3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1A884E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51541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14:paraId="55992856">
            <w:pPr>
              <w:spacing w:line="371" w:lineRule="auto"/>
              <w:ind w:left="118" w:right="368" w:firstLine="492"/>
              <w:rPr>
                <w:rFonts w:hint="default" w:ascii="Times New Roman" w:hAnsi="Times New Roman" w:eastAsia="宋体" w:cs="Times New Roman"/>
                <w:sz w:val="24"/>
                <w:szCs w:val="24"/>
              </w:rPr>
            </w:pPr>
          </w:p>
        </w:tc>
      </w:tr>
    </w:tbl>
    <w:p w14:paraId="5C8478C3">
      <w:pPr>
        <w:pStyle w:val="3"/>
        <w:bidi w:val="0"/>
        <w:rPr>
          <w:rFonts w:hint="default" w:ascii="Times New Roman" w:hAnsi="Times New Roman" w:cs="Times New Roman"/>
          <w:sz w:val="32"/>
          <w:szCs w:val="52"/>
        </w:rPr>
        <w:sectPr>
          <w:footerReference r:id="rId16"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bookmarkStart w:id="10" w:name="_Toc14210"/>
    </w:p>
    <w:p w14:paraId="3871B5D4">
      <w:pPr>
        <w:pStyle w:val="3"/>
        <w:bidi w:val="0"/>
        <w:rPr>
          <w:rFonts w:hint="default" w:ascii="Times New Roman" w:hAnsi="Times New Roman" w:cs="Times New Roman"/>
          <w:sz w:val="32"/>
          <w:szCs w:val="52"/>
        </w:rPr>
      </w:pPr>
      <w:r>
        <w:rPr>
          <w:rFonts w:hint="default" w:ascii="Times New Roman" w:hAnsi="Times New Roman" w:cs="Times New Roman"/>
          <w:sz w:val="32"/>
          <w:szCs w:val="52"/>
        </w:rPr>
        <w:t>表十 环境管理状况及监测计划</w:t>
      </w:r>
      <w:bookmarkEnd w:id="10"/>
    </w:p>
    <w:tbl>
      <w:tblPr>
        <w:tblStyle w:val="28"/>
        <w:tblW w:w="900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09"/>
      </w:tblGrid>
      <w:tr w14:paraId="71C608E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12450" w:hRule="atLeast"/>
        </w:trPr>
        <w:tc>
          <w:tcPr>
            <w:tcW w:w="9009" w:type="dxa"/>
            <w:vAlign w:val="top"/>
          </w:tcPr>
          <w:p w14:paraId="5EEFD074">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环境管理机构设置</w:t>
            </w:r>
          </w:p>
          <w:p w14:paraId="3812D986">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①工程开工初期，项目业主十分重视工程的环保工作，项目办成立环保领导小组，各级施工单位逐级成立了环保小组，从组织上保证了环保工作的顺利进行。</w:t>
            </w:r>
          </w:p>
          <w:p w14:paraId="7716FA08">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②建设单位召集各施工单位、设计单位召开了环保专题会议，并组织学习了与环保相关的法律、法规，按照污染防治原则，及环评文件要求，要求将环境保护措施设计进入工程，施工单位按照设计进行施工。</w:t>
            </w:r>
          </w:p>
          <w:p w14:paraId="2D72FD68">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③建设单位要求各施工单位及时成立环保领导小组，制定严密的环保措施，进一步加强与环保单位的联系和对施工人员的环保宣传、环保教育工作。</w:t>
            </w:r>
          </w:p>
          <w:p w14:paraId="4B8A6BFD">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④建设单位制定了科学施工计划，合理组织施工，合理布局产噪设备，噪声强度较高的设备远离生活区、居住区布置。</w:t>
            </w:r>
          </w:p>
          <w:p w14:paraId="69698109">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在施工过程中严格施工管理，缩短挖方等弃土在施工场地的堆放时间，挖方等弃土临时堆放应有序，并定期洒水降尘，有防治了扬尘的产生；对施工道路应及时清扫，并洒水降尘。对临时占地，施工营地，施工便道等进行了恢复措施。</w:t>
            </w:r>
          </w:p>
          <w:p w14:paraId="12AFE288">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⑥施工过程中定期维护施工道路，保证通畅，并加强车辆管理，车辆运输土石方采用篷布遮盖，无超载超速的现象发生。</w:t>
            </w:r>
          </w:p>
          <w:p w14:paraId="66D033B1">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⑦施工单位施工期间采用符合国家标准的优质设备，且使用优质能源，有效降低了施工对大气环境的影响。</w:t>
            </w:r>
          </w:p>
          <w:p w14:paraId="629B8CCF">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color w:val="auto"/>
                <w:kern w:val="2"/>
                <w:sz w:val="24"/>
                <w:szCs w:val="24"/>
                <w:lang w:val="en-US" w:eastAsia="zh-CN" w:bidi="ar-SA"/>
              </w:rPr>
              <w:t>综上所述，项目建设单位十分重视工程的环境保护工作，建立了健全机构，加强监督检查，落实环保目标责任制；按照环评要求，制定了具体的施工期生态保护和“三废”污染防治措施，要求施工单位严格遵照执行。严格的施工期环境管理确保了沿线生态环境没有受到大的破坏，避免了环境污染事故的发生</w:t>
            </w:r>
            <w:r>
              <w:rPr>
                <w:rFonts w:hint="default" w:ascii="Times New Roman" w:hAnsi="Times New Roman" w:eastAsia="宋体" w:cs="Times New Roman"/>
                <w:spacing w:val="-7"/>
                <w:sz w:val="24"/>
                <w:szCs w:val="24"/>
                <w:lang w:eastAsia="zh-CN"/>
              </w:rPr>
              <w:t>。</w:t>
            </w:r>
          </w:p>
          <w:p w14:paraId="73C9407A">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10.2</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环境监测能力建设情况</w:t>
            </w:r>
          </w:p>
          <w:p w14:paraId="5180CD67">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1、环境监测能力建设情况</w:t>
            </w:r>
          </w:p>
          <w:p w14:paraId="07AA3E00">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本项目环境质量监测委托具有环境监测资质的第三方检测机构承担监测工作。</w:t>
            </w:r>
          </w:p>
          <w:p w14:paraId="4A69D113">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2、环境档案管理情况</w:t>
            </w:r>
          </w:p>
          <w:p w14:paraId="7A7B6CC7">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outlineLvl w:val="6"/>
              <w:rPr>
                <w:rFonts w:hint="default" w:ascii="Times New Roman" w:hAnsi="Times New Roman" w:eastAsia="宋体" w:cs="Times New Roman"/>
                <w:snapToGrid/>
                <w:color w:val="auto"/>
                <w:kern w:val="2"/>
                <w:sz w:val="24"/>
                <w:szCs w:val="24"/>
                <w:lang w:val="en-US" w:eastAsia="zh-CN" w:bidi="ar-SA"/>
              </w:rPr>
            </w:pPr>
            <w:r>
              <w:rPr>
                <w:rFonts w:hint="eastAsia" w:ascii="宋体" w:hAnsi="宋体" w:eastAsia="宋体" w:cs="宋体"/>
                <w:color w:val="000000"/>
                <w:sz w:val="24"/>
                <w:szCs w:val="24"/>
                <w:lang w:val="en-US" w:eastAsia="zh-CN"/>
              </w:rPr>
              <w:t>新疆生产建设兵团第十四师水利工程管理服务中心</w:t>
            </w:r>
            <w:r>
              <w:rPr>
                <w:rFonts w:hint="default" w:ascii="Times New Roman" w:hAnsi="Times New Roman" w:eastAsia="宋体" w:cs="Times New Roman"/>
                <w:snapToGrid/>
                <w:color w:val="auto"/>
                <w:kern w:val="2"/>
                <w:sz w:val="24"/>
                <w:szCs w:val="24"/>
                <w:lang w:val="en-US" w:eastAsia="zh-CN" w:bidi="ar-SA"/>
              </w:rPr>
              <w:t>设有专员对项目环境保护档案，包括项目在建设过程中的相关措施及技术资料、环境影响报告表、执行标准、本项目环境影响报告表的批复等文件档案进行管理存档。</w:t>
            </w:r>
          </w:p>
          <w:p w14:paraId="6EDF2748">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10.3</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环境影响报告表中提出的监测计划及落实情况</w:t>
            </w:r>
          </w:p>
          <w:p w14:paraId="212E8AC5">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根据《</w:t>
            </w:r>
            <w:r>
              <w:rPr>
                <w:rFonts w:hint="eastAsia" w:eastAsia="宋体" w:cs="Times New Roman"/>
                <w:snapToGrid/>
                <w:color w:val="auto"/>
                <w:kern w:val="2"/>
                <w:sz w:val="24"/>
                <w:szCs w:val="24"/>
                <w:lang w:val="en-US" w:eastAsia="zh-CN" w:bidi="ar-SA"/>
              </w:rPr>
              <w:t>第十四师皮山农场污水资源化利用项目</w:t>
            </w:r>
            <w:r>
              <w:rPr>
                <w:rFonts w:hint="default" w:ascii="Times New Roman" w:hAnsi="Times New Roman" w:eastAsia="宋体" w:cs="Times New Roman"/>
                <w:snapToGrid/>
                <w:color w:val="auto"/>
                <w:kern w:val="2"/>
                <w:sz w:val="24"/>
                <w:szCs w:val="24"/>
                <w:lang w:val="en-US" w:eastAsia="zh-CN" w:bidi="ar-SA"/>
              </w:rPr>
              <w:t>环境影响报告表》及批复中对工程未提出施工期、运营期提出相应的环境监测计划，主要原因如下：</w:t>
            </w:r>
          </w:p>
          <w:p w14:paraId="3C96D29C">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（1）本次项目为非污染型项目，施工过程中只涉及到生态影响，施工结束后生态呈正面影响。工程建设过程及运营期间不涉及重大</w:t>
            </w:r>
            <w:r>
              <w:rPr>
                <w:rFonts w:hint="eastAsia" w:ascii="宋体" w:hAnsi="宋体" w:eastAsia="宋体" w:cs="宋体"/>
                <w:snapToGrid/>
                <w:color w:val="auto"/>
                <w:kern w:val="2"/>
                <w:sz w:val="24"/>
                <w:szCs w:val="24"/>
                <w:lang w:val="en-US" w:eastAsia="zh-CN" w:bidi="ar-SA"/>
              </w:rPr>
              <w:t>的“三废”污</w:t>
            </w:r>
            <w:r>
              <w:rPr>
                <w:rFonts w:hint="default" w:ascii="Times New Roman" w:hAnsi="Times New Roman" w:eastAsia="宋体" w:cs="Times New Roman"/>
                <w:snapToGrid/>
                <w:color w:val="auto"/>
                <w:kern w:val="2"/>
                <w:sz w:val="24"/>
                <w:szCs w:val="24"/>
                <w:lang w:val="en-US" w:eastAsia="zh-CN" w:bidi="ar-SA"/>
              </w:rPr>
              <w:t>染源。</w:t>
            </w:r>
          </w:p>
          <w:p w14:paraId="3C9EF3E9">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outlineLvl w:val="6"/>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（2）工程建设前后，工程所在区域环境质量变化不大，未新增重大的环境污染源。工程所在区域的环境质量现状良好，不存在重大的环境限制因素。</w:t>
            </w:r>
          </w:p>
          <w:p w14:paraId="24C99F18">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10.4</w:t>
            </w:r>
            <w:r>
              <w:rPr>
                <w:rFonts w:hint="default" w:ascii="Times New Roman" w:hAnsi="Times New Roman" w:eastAsia="Times New Roman"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环境管理状况分析与建议</w:t>
            </w:r>
          </w:p>
          <w:p w14:paraId="208929D6">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该项目进行了环境影响评价。履行了建设项目环境影响审批手续，基本执行了污染防治设施与主体工程同时设计、同时施工、同时投产使用的“三同时”制度。</w:t>
            </w:r>
          </w:p>
          <w:p w14:paraId="5955C8DE">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调查结果显示，与工程有关的各项环保档案资料（如环境影响报告表、环评批复等）均由专职人员统一保存，统一管理。在项目运营过程中，应充分学习、吸收和借鉴同行的管理经验，结合自身营运过程，建立和制定一整套严格而操作性强的管理制度，环境管理全过程应涵盖 如下内容：</w:t>
            </w:r>
          </w:p>
          <w:p w14:paraId="5C2325A2">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（1）建立健全环境管理体系和环境管理制度；</w:t>
            </w:r>
          </w:p>
          <w:p w14:paraId="68FAF604">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（2）落实环境影响评价报告表和环境影响评价报告表批复的各项环保措施；</w:t>
            </w:r>
          </w:p>
          <w:p w14:paraId="7B7B2876">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（3）安排兼职环境保护管理人员，建立环保宣传栏，加强环保设施及环保档案管理；</w:t>
            </w:r>
          </w:p>
          <w:p w14:paraId="1BF06D4B">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color w:val="auto"/>
                <w:kern w:val="2"/>
                <w:sz w:val="24"/>
                <w:szCs w:val="24"/>
                <w:lang w:val="en-US" w:eastAsia="zh-CN" w:bidi="ar-SA"/>
              </w:rPr>
              <w:t>（4）加强环保设施的运行管理，确保各项污染物长期稳定达标排放</w:t>
            </w:r>
            <w:r>
              <w:rPr>
                <w:rFonts w:hint="eastAsia" w:eastAsia="宋体" w:cs="Times New Roman"/>
                <w:snapToGrid/>
                <w:color w:val="auto"/>
                <w:kern w:val="2"/>
                <w:sz w:val="24"/>
                <w:szCs w:val="24"/>
                <w:lang w:val="en-US" w:eastAsia="zh-CN" w:bidi="ar-SA"/>
              </w:rPr>
              <w:t>。</w:t>
            </w:r>
          </w:p>
        </w:tc>
      </w:tr>
    </w:tbl>
    <w:p w14:paraId="79F4F7EC">
      <w:pPr>
        <w:rPr>
          <w:rFonts w:hint="default" w:ascii="Times New Roman" w:hAnsi="Times New Roman" w:cs="Times New Roman"/>
          <w:sz w:val="21"/>
        </w:rPr>
        <w:sectPr>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2112C412">
      <w:pPr>
        <w:pStyle w:val="3"/>
        <w:bidi w:val="0"/>
        <w:rPr>
          <w:rFonts w:hint="default" w:ascii="Times New Roman" w:hAnsi="Times New Roman" w:cs="Times New Roman"/>
          <w:sz w:val="32"/>
          <w:szCs w:val="52"/>
        </w:rPr>
      </w:pPr>
      <w:bookmarkStart w:id="11" w:name="_Toc13206"/>
      <w:r>
        <w:rPr>
          <w:rFonts w:hint="default" w:ascii="Times New Roman" w:hAnsi="Times New Roman" w:cs="Times New Roman"/>
          <w:sz w:val="32"/>
          <w:szCs w:val="52"/>
        </w:rPr>
        <w:t>表十一 调查结论及建议</w:t>
      </w:r>
      <w:bookmarkEnd w:id="11"/>
    </w:p>
    <w:tbl>
      <w:tblPr>
        <w:tblStyle w:val="28"/>
        <w:tblW w:w="902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4"/>
      </w:tblGrid>
      <w:tr w14:paraId="6E6C8342">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223" w:hRule="atLeast"/>
        </w:trPr>
        <w:tc>
          <w:tcPr>
            <w:tcW w:w="9024" w:type="dxa"/>
            <w:vAlign w:val="top"/>
          </w:tcPr>
          <w:p w14:paraId="10ED34B7">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宋体" w:cs="Times New Roman"/>
                <w:sz w:val="28"/>
                <w:szCs w:val="28"/>
              </w:rPr>
            </w:pPr>
            <w:r>
              <w:rPr>
                <w:rFonts w:hint="default" w:ascii="Times New Roman" w:hAnsi="Times New Roman" w:eastAsia="Times New Roman" w:cs="Times New Roman"/>
                <w:b/>
                <w:bCs/>
                <w:spacing w:val="-2"/>
                <w:sz w:val="28"/>
                <w:szCs w:val="28"/>
              </w:rPr>
              <w:t>1</w:t>
            </w:r>
            <w:r>
              <w:rPr>
                <w:rFonts w:hint="default" w:ascii="Times New Roman" w:hAnsi="Times New Roman" w:eastAsia="Times New Roman" w:cs="Times New Roman"/>
                <w:b/>
                <w:bCs/>
                <w:spacing w:val="-1"/>
                <w:sz w:val="28"/>
                <w:szCs w:val="28"/>
              </w:rPr>
              <w:t>1.1</w:t>
            </w:r>
            <w:r>
              <w:rPr>
                <w:rFonts w:hint="default" w:ascii="Times New Roman" w:hAnsi="Times New Roman" w:eastAsia="宋体" w:cs="Times New Roman"/>
                <w:b/>
                <w:bCs/>
                <w:spacing w:val="-1"/>
                <w:sz w:val="28"/>
                <w:szCs w:val="28"/>
                <w:lang w:val="en-US" w:eastAsia="zh-CN"/>
              </w:rPr>
              <w:t xml:space="preserve"> </w:t>
            </w:r>
            <w:r>
              <w:rPr>
                <w:rFonts w:hint="default" w:ascii="Times New Roman" w:hAnsi="Times New Roman" w:eastAsia="宋体" w:cs="Times New Roman"/>
                <w:spacing w:val="-1"/>
                <w:sz w:val="28"/>
                <w:szCs w:val="28"/>
                <w14:textOutline w14:w="5094" w14:cap="flat" w14:cmpd="sng">
                  <w14:solidFill>
                    <w14:srgbClr w14:val="000000"/>
                  </w14:solidFill>
                  <w14:prstDash w14:val="solid"/>
                  <w14:miter w14:val="0"/>
                </w14:textOutline>
              </w:rPr>
              <w:t>调查结论及建议</w:t>
            </w:r>
          </w:p>
          <w:p w14:paraId="66923965">
            <w:pPr>
              <w:keepNext w:val="0"/>
              <w:keepLines w:val="0"/>
              <w:pageBreakBefore w:val="0"/>
              <w:widowControl/>
              <w:kinsoku w:val="0"/>
              <w:wordWrap/>
              <w:overflowPunct/>
              <w:topLinePunct w:val="0"/>
              <w:autoSpaceDE w:val="0"/>
              <w:autoSpaceDN w:val="0"/>
              <w:bidi w:val="0"/>
              <w:adjustRightInd/>
              <w:snapToGrid/>
              <w:spacing w:line="360" w:lineRule="auto"/>
              <w:ind w:left="0" w:firstLine="53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3"/>
                <w:sz w:val="24"/>
                <w:szCs w:val="24"/>
                <w:lang w:val="en-US" w:eastAsia="zh-CN"/>
              </w:rPr>
              <w:t>1、</w:t>
            </w:r>
            <w:r>
              <w:rPr>
                <w:rFonts w:hint="default" w:ascii="Times New Roman" w:hAnsi="Times New Roman" w:eastAsia="宋体" w:cs="Times New Roman"/>
                <w:spacing w:val="13"/>
                <w:sz w:val="24"/>
                <w:szCs w:val="24"/>
              </w:rPr>
              <w:t>工程概况</w:t>
            </w:r>
          </w:p>
          <w:p w14:paraId="04CD23A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本次建设内容为新建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 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w:t>
            </w:r>
          </w:p>
          <w:p w14:paraId="45BE431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p>
          <w:p w14:paraId="73422D4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布置在在建污水厂东侧，设计容积70万m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平面上呈“口”型布置，</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单侧堤防长度454m，堤防总长度1.816km。</w:t>
            </w:r>
          </w:p>
          <w:p w14:paraId="54EA556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（2）提水泵站</w:t>
            </w:r>
          </w:p>
          <w:p w14:paraId="408C046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提水泵站位于</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北侧，泵站顺提水方向依次是前</w:t>
            </w:r>
            <w:r>
              <w:rPr>
                <w:rFonts w:hint="eastAsia" w:cs="Times New Roman"/>
                <w:color w:val="000000" w:themeColor="text1"/>
                <w:kern w:val="0"/>
                <w:sz w:val="24"/>
                <w:szCs w:val="24"/>
                <w:highlight w:val="none"/>
                <w:lang w:val="en-US" w:eastAsia="zh-CN" w:bidi="ar-SA"/>
                <w14:textFill>
                  <w14:solidFill>
                    <w14:schemeClr w14:val="tx1"/>
                  </w14:solidFill>
                </w14:textFill>
              </w:rPr>
              <w:t>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、泵房、出水管道等。泵房内布置3台机组，3四台机组并排布置，每台水泵控制一个灌溉片区，水泵采用离心泵，其中1区提水泵站设计流量720m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/h，型号为300KQW720-50-132/4，扬程50m。2区提水泵站设计流量690m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/h，水泵型号为300KQW670-70-200/4，扬程70m。3区提水泵站设计流量370m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w:t>
            </w:r>
          </w:p>
          <w:p w14:paraId="5118E0F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（3）库前引水管</w:t>
            </w:r>
          </w:p>
          <w:p w14:paraId="182671C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库前引水管起点接污水处理厂的消毒池后的闸阀井，终点汇入</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，输水方式为重力流输水，管道长度450m，管道输水流量800m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/h，采用DN800 的钢管。</w:t>
            </w:r>
          </w:p>
          <w:p w14:paraId="6DC49C4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（4）输水管网</w:t>
            </w:r>
          </w:p>
          <w:p w14:paraId="7B3B26B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本次输水管网总长度21.514km，输送方式均为压力流态，管道分为三个区，每个片区为独立管道。</w:t>
            </w:r>
          </w:p>
          <w:p w14:paraId="7AB11FD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 区主要控制范围为皮山农场场部绿化区域，灌溉面积2200亩。提水泵站设计流量720m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 xml:space="preserve">/h，型号为300KQW720-50-132/4，扬程50m，电机功率 114kw。管道总长度5.499km，采用管径DN450管道长度1951m，DN400管道长度3548m。 </w:t>
            </w:r>
          </w:p>
          <w:p w14:paraId="52ECDC70">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 区主要控制范围为阿火公路和二连道路防护林区域，灌溉面积3100亩。提水泵站设计流量690m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/h，水泵型号为300KQW670-70-200/4，扬程70m，电机功率160kw。管道总长度8.779km，采用管径DN450 管道4015m，DN400管道4764m。</w:t>
            </w:r>
          </w:p>
          <w:p w14:paraId="36F1D772">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 区主要控制范围为工业园区防护林区域，灌溉面积1700亩。提水泵站设计流量370m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/h，水泵型号为200KQL346-60-90/4，扬程60m，电机功率90kw。管道总长度7.236km，管径DN300。</w:t>
            </w:r>
          </w:p>
          <w:p w14:paraId="403F194E">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napToGrid/>
                <w:color w:val="auto"/>
                <w:kern w:val="2"/>
                <w:sz w:val="24"/>
                <w:szCs w:val="24"/>
                <w:lang w:val="en-US" w:eastAsia="zh-CN" w:bidi="ar-SA"/>
              </w:rPr>
              <w:t>该项</w:t>
            </w:r>
            <w:r>
              <w:rPr>
                <w:rFonts w:hint="default" w:ascii="Times New Roman" w:hAnsi="Times New Roman" w:eastAsia="宋体" w:cs="Times New Roman"/>
                <w:spacing w:val="-1"/>
                <w:sz w:val="24"/>
                <w:szCs w:val="24"/>
              </w:rPr>
              <w:t>项目投资共</w:t>
            </w:r>
            <w:r>
              <w:rPr>
                <w:rFonts w:hint="eastAsia" w:ascii="Times New Roman" w:hAnsi="Times New Roman" w:eastAsia="宋体" w:cs="Times New Roman"/>
                <w:spacing w:val="18"/>
                <w:sz w:val="24"/>
                <w:szCs w:val="24"/>
                <w:lang w:val="en-US" w:eastAsia="zh-CN"/>
              </w:rPr>
              <w:t>6030.78</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2180</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36.15</w:t>
            </w:r>
            <w:r>
              <w:rPr>
                <w:rFonts w:hint="default" w:ascii="Times New Roman" w:hAnsi="Times New Roman" w:eastAsia="宋体" w:cs="Times New Roman"/>
                <w:spacing w:val="-1"/>
                <w:sz w:val="24"/>
                <w:szCs w:val="24"/>
                <w:lang w:val="en-US" w:eastAsia="zh-CN"/>
              </w:rPr>
              <w:t>%</w:t>
            </w:r>
            <w:r>
              <w:rPr>
                <w:rFonts w:hint="eastAsia" w:ascii="Times New Roman" w:hAnsi="Times New Roman" w:eastAsia="宋体" w:cs="Times New Roman"/>
                <w:spacing w:val="-1"/>
                <w:sz w:val="24"/>
                <w:szCs w:val="24"/>
                <w:lang w:val="en-US" w:eastAsia="zh-CN"/>
              </w:rPr>
              <w:t>。</w:t>
            </w:r>
          </w:p>
          <w:p w14:paraId="41C5A40A">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2、验收调查结论</w:t>
            </w:r>
          </w:p>
          <w:p w14:paraId="1585434B">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本项目属于生态影响类项目，项目施工期间、运营期间，严格落实生态环境影响防治措施。</w:t>
            </w:r>
          </w:p>
          <w:p w14:paraId="468E0A21">
            <w:pPr>
              <w:pStyle w:val="9"/>
              <w:widowControl w:val="0"/>
              <w:numPr>
                <w:ilvl w:val="0"/>
                <w:numId w:val="6"/>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水环境影响调查结论</w:t>
            </w:r>
          </w:p>
          <w:p w14:paraId="6AEC9A7A">
            <w:pPr>
              <w:pStyle w:val="9"/>
              <w:widowControl w:val="0"/>
              <w:numPr>
                <w:ilvl w:val="0"/>
                <w:numId w:val="0"/>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施工废水经沉淀池处理后回用于施工现场洒水抑尘，不外排。生活污水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排入污水管网中，最终进入皮山农场污水处理厂处理</w:t>
            </w:r>
            <w:r>
              <w:rPr>
                <w:rFonts w:hint="default" w:ascii="Times New Roman" w:hAnsi="Times New Roman" w:eastAsia="宋体" w:cs="Times New Roman"/>
                <w:snapToGrid/>
                <w:color w:val="auto"/>
                <w:kern w:val="2"/>
                <w:sz w:val="24"/>
                <w:szCs w:val="24"/>
                <w:lang w:val="en-US" w:eastAsia="zh-CN" w:bidi="ar-SA"/>
              </w:rPr>
              <w:t>。运营期</w:t>
            </w:r>
            <w:r>
              <w:rPr>
                <w:rFonts w:hint="default" w:ascii="Times New Roman" w:hAnsi="Times New Roman" w:eastAsia="宋体" w:cs="Times New Roman"/>
                <w:snapToGrid w:val="0"/>
                <w:color w:val="000000"/>
                <w:spacing w:val="4"/>
                <w:kern w:val="0"/>
                <w:sz w:val="24"/>
                <w:szCs w:val="24"/>
                <w:lang w:val="en-US" w:eastAsia="zh-CN"/>
              </w:rPr>
              <w:t>为中水回用工程，工程实施后可将污水处理厂处理过的水经过调蓄用于绿化灌溉。本项目运营过程废水主要为储存污水处理站处理废水一级A标准废水，本工程无新增管理人员，管理人员来自污水处理厂调配。本项目在运营期间不会产生废气及固废等污染。</w:t>
            </w:r>
          </w:p>
          <w:p w14:paraId="192C1F22">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环境空气影响调查结论</w:t>
            </w:r>
          </w:p>
          <w:p w14:paraId="19C1E2FA">
            <w:pPr>
              <w:pStyle w:val="9"/>
              <w:widowControl w:val="0"/>
              <w:numPr>
                <w:ilvl w:val="0"/>
                <w:numId w:val="0"/>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施工单位文明施工，定期对施工工作地面洒水；施工应尽量减少建筑材料运输过程中的洒漏，要求车辆采用封闭式运输，运输车辆装载量适当，并对撒落在路面的渣土及时清除，清理阶段做到先洒水后清扫减少扬尘对环境空气的影响；混凝土拌合站采用封闭式站拌方式；料场区采用防尘网苫盖；施工工地周围按要求设置2m的硬质密闭围挡；避免大风天气施工，加强施工管理；禁止在风天进行渣土堆放作业，建材堆放地点要相对集中，临时堆放土方及时回填，并对裸露地面进行硬化和绿化，减少建材的露天堆放时间；使用先进设备和优质燃料油，保持施工机械的良好运行状态。施工废气对大气环境影响较小。运营期无废气产生。</w:t>
            </w:r>
          </w:p>
          <w:p w14:paraId="219D1E78">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声环境影响调查结论</w:t>
            </w:r>
          </w:p>
          <w:p w14:paraId="2DD9419B">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eastAsia="宋体" w:cs="Times New Roman"/>
                <w:snapToGrid/>
                <w:color w:val="auto"/>
                <w:kern w:val="2"/>
                <w:sz w:val="24"/>
                <w:szCs w:val="24"/>
                <w:lang w:val="en-US" w:eastAsia="zh-CN" w:bidi="ar-SA"/>
              </w:rPr>
            </w:pPr>
            <w:r>
              <w:rPr>
                <w:rFonts w:hint="eastAsia" w:ascii="宋体" w:hAnsi="宋体" w:eastAsia="宋体" w:cs="宋体"/>
                <w:sz w:val="24"/>
                <w:szCs w:val="24"/>
                <w:lang w:val="en-US" w:eastAsia="zh-CN"/>
              </w:rPr>
              <w:t>尽可能选取噪声低、能耗小设备，避免长时间使用高噪声设备;加强施工设备的维护保养；加强对现场工作人员进行培训，严格按操作规范使用各类机械设备；加强对施工人员的个人防护，对高噪声机械设备附近工作的施工人员，配备耳塞、耳机、防声头盔等防噪用具。</w:t>
            </w:r>
            <w:r>
              <w:rPr>
                <w:rFonts w:hint="default" w:ascii="Times New Roman" w:hAnsi="Times New Roman" w:eastAsia="宋体" w:cs="Times New Roman"/>
                <w:snapToGrid/>
                <w:color w:val="auto"/>
                <w:kern w:val="2"/>
                <w:sz w:val="24"/>
                <w:szCs w:val="24"/>
                <w:lang w:val="en-US" w:eastAsia="zh-CN" w:bidi="ar-SA"/>
              </w:rPr>
              <w:t>本项目运营期无噪声产生。</w:t>
            </w:r>
          </w:p>
          <w:p w14:paraId="03C80CF4">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固体废物影响调查结论</w:t>
            </w:r>
          </w:p>
          <w:p w14:paraId="75E7A077">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z w:val="24"/>
                <w:szCs w:val="24"/>
                <w:lang w:val="en-US" w:eastAsia="zh-CN"/>
              </w:rPr>
              <w:t>弃土弃渣施工期间采取临时性防护措施，布设挡墙，施工结束后回填至弃土(渣)场;设置截排水措施，在弃土(渣)场上游设置截水沟，周围和下游设置排水沟；在渣场内侧修建横向排水沟，末端接入土(渣)场周边截水沟；施工结束后，遵循“挖填平衡”的设计原则，对弃土(渣)场堆渣平台、坡面进行土地整治。</w:t>
            </w:r>
            <w:r>
              <w:rPr>
                <w:rFonts w:hint="default" w:ascii="Times New Roman" w:hAnsi="Times New Roman" w:eastAsia="宋体" w:cs="Times New Roman"/>
                <w:snapToGrid/>
                <w:color w:val="auto"/>
                <w:kern w:val="2"/>
                <w:sz w:val="24"/>
                <w:szCs w:val="24"/>
                <w:lang w:val="en-US" w:eastAsia="zh-CN" w:bidi="ar-SA"/>
              </w:rPr>
              <w:t>在生活区设置垃圾桶，集中收集后交由当地环卫部门处理，因此不会对环境造成影响。运营期</w:t>
            </w:r>
            <w:r>
              <w:rPr>
                <w:rFonts w:hint="eastAsia" w:ascii="Times New Roman" w:hAnsi="Times New Roman" w:eastAsia="宋体" w:cs="Times New Roman"/>
                <w:snapToGrid/>
                <w:color w:val="auto"/>
                <w:kern w:val="2"/>
                <w:sz w:val="24"/>
                <w:szCs w:val="24"/>
                <w:lang w:val="en-US" w:eastAsia="zh-CN" w:bidi="ar-SA"/>
              </w:rPr>
              <w:t>无固废产生</w:t>
            </w:r>
            <w:r>
              <w:rPr>
                <w:rFonts w:hint="default" w:ascii="Times New Roman" w:hAnsi="Times New Roman" w:eastAsia="宋体" w:cs="Times New Roman"/>
                <w:snapToGrid/>
                <w:color w:val="auto"/>
                <w:kern w:val="2"/>
                <w:sz w:val="24"/>
                <w:szCs w:val="24"/>
                <w:lang w:val="en-US" w:eastAsia="zh-CN" w:bidi="ar-SA"/>
              </w:rPr>
              <w:t>。</w:t>
            </w:r>
          </w:p>
          <w:p w14:paraId="523BCC84">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生态环境影响调查结论</w:t>
            </w:r>
          </w:p>
          <w:p w14:paraId="4C3FA84C">
            <w:pPr>
              <w:pStyle w:val="7"/>
              <w:keepNext w:val="0"/>
              <w:keepLines w:val="0"/>
              <w:pageBreakBefore w:val="0"/>
              <w:widowControl/>
              <w:tabs>
                <w:tab w:val="left" w:pos="6845"/>
              </w:tabs>
              <w:kinsoku/>
              <w:wordWrap/>
              <w:overflowPunct/>
              <w:topLinePunct w:val="0"/>
              <w:autoSpaceDE/>
              <w:autoSpaceDN/>
              <w:bidi w:val="0"/>
              <w:adjustRightInd/>
              <w:snapToGrid/>
              <w:spacing w:line="360" w:lineRule="auto"/>
              <w:ind w:left="0" w:leftChars="0" w:right="0" w:firstLine="496" w:firstLineChars="200"/>
              <w:jc w:val="both"/>
              <w:textAlignment w:val="auto"/>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pacing w:val="4"/>
                <w:sz w:val="24"/>
                <w:szCs w:val="24"/>
                <w:lang w:val="en-US" w:eastAsia="zh-CN"/>
              </w:rPr>
              <w:t>本项目</w:t>
            </w:r>
            <w:r>
              <w:rPr>
                <w:rFonts w:hint="default" w:ascii="Times New Roman" w:hAnsi="Times New Roman" w:eastAsia="宋体" w:cs="Times New Roman"/>
                <w:snapToGrid w:val="0"/>
                <w:color w:val="000000"/>
                <w:spacing w:val="4"/>
                <w:kern w:val="0"/>
                <w:sz w:val="24"/>
                <w:szCs w:val="24"/>
                <w:lang w:val="en-US" w:eastAsia="zh-CN"/>
              </w:rPr>
              <w:t>对区域野生动物的影响不属于永久性和伤害性影响，只是造成短时间的“干扰”，随着项目进入运营期，对野生动物的干扰强度明显下降，动物有可能逐渐熟悉新的景观，野生动物种群和数量有可能逐渐恢复；</w:t>
            </w:r>
            <w:r>
              <w:rPr>
                <w:rFonts w:hint="default" w:ascii="Times New Roman" w:hAnsi="Times New Roman" w:eastAsia="宋体" w:cs="Times New Roman"/>
                <w:sz w:val="24"/>
                <w:szCs w:val="24"/>
                <w:lang w:val="en-US" w:eastAsia="zh-CN"/>
              </w:rPr>
              <w:t>施工期间划定施工区域，强化施工管理，增强施工人员的环境保护意识，严格控制施工人员、施工机械的范围，严禁随意扩大扰动范围;施工作业结束后，及时平整各类施工迹地，恢复原有地貌，防止新增水土流失。</w:t>
            </w:r>
          </w:p>
          <w:p w14:paraId="46478766">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11.2 总结论</w:t>
            </w:r>
          </w:p>
          <w:p w14:paraId="5F9ED72C">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①未按环境影响报告书(表)及其审批部门审批决定要来建成环境保护设施，或者环境保护设施不能与主体工程同时投产或者使用的；</w:t>
            </w:r>
          </w:p>
          <w:p w14:paraId="222F0CBA">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②污染物排放不符合国家和地方相关标准、环境影响报告书(表)及其审按部门审批决定或者重点污染物排放总量控制指标要求的；</w:t>
            </w:r>
          </w:p>
          <w:p w14:paraId="6831D30C">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环境影响报告书(表)经批准后，该建设项目的性质、规模、地点、采用的生产工艺或者防治污染、防止生态破坏的措施发生重大变动，建设单位未重新报批环境影响报告书(表)或者环境影响报告书(表)未经批准的；</w:t>
            </w:r>
          </w:p>
          <w:p w14:paraId="2698055D">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④建设过程中造成重大环境污染未治理完成，或者造成重大生态破坏未恢复的；</w:t>
            </w:r>
          </w:p>
          <w:p w14:paraId="37D5DD46">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⑤纳入排污许可管理的建设项目，无证排污或者不按证排污的；</w:t>
            </w:r>
          </w:p>
          <w:p w14:paraId="4A74F9CB">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⑥分期建设、分期投入生产或者使用依法应当分期验收的建设项目，其分期建设、分期投入生产或者使用的环境保护设施防治环境污染和生态破坏的能力不能满足其相应主体工程需要的；</w:t>
            </w:r>
          </w:p>
          <w:p w14:paraId="1F1D9D07">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⑦建设单位因该建设项目违反国家和地方环境保护法律法规受到处罚，被责令改正，尚未改正完成的；</w:t>
            </w:r>
          </w:p>
          <w:p w14:paraId="73DF85CC">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⑧验收报告的基础资料数据明显不实，内容存在重大缺项、遗漏，或者验收结论不明确、不合理的；</w:t>
            </w:r>
          </w:p>
          <w:p w14:paraId="706F0F19">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⑨其他环境保护法律法规规章等规定不得通过环境保护验收的。</w:t>
            </w:r>
          </w:p>
          <w:p w14:paraId="00FC6DCB">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综上所述，根据《建设项目竣工环境保护验收暂行办法》，</w:t>
            </w:r>
            <w:r>
              <w:rPr>
                <w:rFonts w:hint="eastAsia" w:eastAsia="宋体" w:cs="Times New Roman"/>
                <w:snapToGrid/>
                <w:color w:val="auto"/>
                <w:kern w:val="2"/>
                <w:sz w:val="24"/>
                <w:szCs w:val="24"/>
                <w:lang w:val="en-US" w:eastAsia="zh-CN" w:bidi="ar-SA"/>
              </w:rPr>
              <w:t>第十四师皮山农场污水资源化利用项目</w:t>
            </w:r>
            <w:r>
              <w:rPr>
                <w:rFonts w:hint="default" w:ascii="Times New Roman" w:hAnsi="Times New Roman" w:eastAsia="宋体" w:cs="Times New Roman"/>
                <w:snapToGrid/>
                <w:color w:val="auto"/>
                <w:kern w:val="2"/>
                <w:sz w:val="24"/>
                <w:szCs w:val="24"/>
                <w:lang w:val="en-US" w:eastAsia="zh-CN" w:bidi="ar-SA"/>
              </w:rPr>
              <w:t>不属于验收不合格的九种情形之列。按照关于发布《建设项目竣工环境保护验收暂行办法》的公告（国家环保总局国环规环评[2017]4号，2017年11月22日）、《建设项目竣工环境保护验收技术规范 生态影响类》（HJ/T394-2007）、《中华人民共和国固体废物污染环境防治法》、《建设项目环境保护管理条例》中所规定对项目逐一对照核查，项目属于生态影响类项目。本工程实施后，能合理配置灌区水资源，改善灌区生态环境及周边居民出行环境，同时促进农业生产力的发展，减轻农民负担，对生态环境保护提供了保障。</w:t>
            </w:r>
          </w:p>
          <w:p w14:paraId="3F050E55">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项目工程在建设过程中，建设单位严格按环境影响评价报告及批复要求进行工程设计和施工，全面执行建设项目环境保护“三同时”制度。</w:t>
            </w:r>
            <w:r>
              <w:rPr>
                <w:rFonts w:hint="eastAsia" w:eastAsia="宋体" w:cs="Times New Roman"/>
                <w:snapToGrid/>
                <w:color w:val="auto"/>
                <w:kern w:val="2"/>
                <w:sz w:val="24"/>
                <w:szCs w:val="24"/>
                <w:lang w:val="en-US" w:eastAsia="zh-CN" w:bidi="ar-SA"/>
              </w:rPr>
              <w:t>第十四师皮山农场污水资源化利用项目</w:t>
            </w:r>
            <w:r>
              <w:rPr>
                <w:rFonts w:hint="default" w:ascii="Times New Roman" w:hAnsi="Times New Roman" w:eastAsia="宋体" w:cs="Times New Roman"/>
                <w:snapToGrid/>
                <w:color w:val="auto"/>
                <w:kern w:val="2"/>
                <w:sz w:val="24"/>
                <w:szCs w:val="24"/>
                <w:lang w:val="en-US" w:eastAsia="zh-CN" w:bidi="ar-SA"/>
              </w:rPr>
              <w:t>履行了环评审批手续，项目在建设过程中基本按照环境影响评价文件及批复文件要求建设了相应的环保设施和措施。调查报告表明，可做到污染物达标排放。项目环保设施符合竣工环境保护设施验收的条件，可申请环保验收。</w:t>
            </w:r>
          </w:p>
          <w:p w14:paraId="32EDCD4F">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11.3 建议</w:t>
            </w:r>
          </w:p>
          <w:p w14:paraId="2F3B93C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（1）加强项目环境管理，健全项目环境保护管理规章制度；</w:t>
            </w:r>
          </w:p>
          <w:p w14:paraId="4929CA5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（2）根据现场植被恢复情况，建议加强植被恢复；</w:t>
            </w:r>
          </w:p>
          <w:p w14:paraId="425818E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napToGrid/>
                <w:color w:val="auto"/>
                <w:kern w:val="2"/>
                <w:sz w:val="24"/>
                <w:szCs w:val="24"/>
                <w:lang w:val="en-US" w:eastAsia="zh-CN" w:bidi="ar-SA"/>
              </w:rPr>
              <w:t>（3）加强工程日常巡视工作，做好维修养护任务。</w:t>
            </w:r>
          </w:p>
        </w:tc>
      </w:tr>
    </w:tbl>
    <w:p w14:paraId="11132DE2">
      <w:pPr>
        <w:rPr>
          <w:rFonts w:hint="default" w:ascii="Times New Roman" w:hAnsi="Times New Roman" w:cs="Times New Roman"/>
        </w:rPr>
        <w:sectPr>
          <w:footerReference r:id="rId17"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1BB1355A">
      <w:pPr>
        <w:spacing w:line="251" w:lineRule="auto"/>
        <w:rPr>
          <w:rFonts w:hint="default" w:ascii="Times New Roman" w:hAnsi="Times New Roman" w:cs="Times New Roman"/>
          <w:sz w:val="21"/>
        </w:rPr>
      </w:pPr>
    </w:p>
    <w:p w14:paraId="305C0AD7">
      <w:pPr>
        <w:spacing w:line="251" w:lineRule="auto"/>
        <w:rPr>
          <w:rFonts w:hint="default" w:ascii="Times New Roman" w:hAnsi="Times New Roman" w:cs="Times New Roman"/>
          <w:sz w:val="21"/>
        </w:rPr>
      </w:pPr>
    </w:p>
    <w:p w14:paraId="1B472F50">
      <w:pPr>
        <w:spacing w:line="252" w:lineRule="auto"/>
        <w:rPr>
          <w:rFonts w:hint="default" w:ascii="Times New Roman" w:hAnsi="Times New Roman" w:cs="Times New Roman"/>
          <w:sz w:val="21"/>
        </w:rPr>
      </w:pPr>
    </w:p>
    <w:p w14:paraId="09C36B75">
      <w:pPr>
        <w:spacing w:line="252" w:lineRule="auto"/>
        <w:rPr>
          <w:rFonts w:hint="default" w:ascii="Times New Roman" w:hAnsi="Times New Roman" w:cs="Times New Roman"/>
          <w:sz w:val="21"/>
        </w:rPr>
      </w:pPr>
    </w:p>
    <w:p w14:paraId="2C68799B">
      <w:pPr>
        <w:spacing w:line="252" w:lineRule="auto"/>
        <w:rPr>
          <w:rFonts w:hint="default" w:ascii="Times New Roman" w:hAnsi="Times New Roman" w:cs="Times New Roman"/>
          <w:sz w:val="21"/>
        </w:rPr>
      </w:pPr>
    </w:p>
    <w:p w14:paraId="5E75AE62">
      <w:pPr>
        <w:spacing w:line="252" w:lineRule="auto"/>
        <w:rPr>
          <w:rFonts w:hint="default" w:ascii="Times New Roman" w:hAnsi="Times New Roman" w:cs="Times New Roman"/>
          <w:sz w:val="21"/>
        </w:rPr>
      </w:pPr>
    </w:p>
    <w:p w14:paraId="394844B8">
      <w:pPr>
        <w:spacing w:line="252" w:lineRule="auto"/>
        <w:rPr>
          <w:rFonts w:hint="default" w:ascii="Times New Roman" w:hAnsi="Times New Roman" w:cs="Times New Roman"/>
          <w:sz w:val="21"/>
        </w:rPr>
      </w:pPr>
    </w:p>
    <w:p w14:paraId="0BBF5503">
      <w:pPr>
        <w:spacing w:line="252" w:lineRule="auto"/>
        <w:rPr>
          <w:rFonts w:hint="default" w:ascii="Times New Roman" w:hAnsi="Times New Roman" w:cs="Times New Roman"/>
          <w:sz w:val="21"/>
        </w:rPr>
      </w:pPr>
    </w:p>
    <w:p w14:paraId="44685FF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textAlignment w:val="baseline"/>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drawing>
          <wp:inline distT="0" distB="0" distL="114300" distR="114300">
            <wp:extent cx="5293995" cy="7482840"/>
            <wp:effectExtent l="0" t="0" r="9525" b="0"/>
            <wp:docPr id="5" name="图片 5" descr="委托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委托书"/>
                    <pic:cNvPicPr>
                      <a:picLocks noChangeAspect="1"/>
                    </pic:cNvPicPr>
                  </pic:nvPicPr>
                  <pic:blipFill>
                    <a:blip r:embed="rId32"/>
                    <a:stretch>
                      <a:fillRect/>
                    </a:stretch>
                  </pic:blipFill>
                  <pic:spPr>
                    <a:xfrm>
                      <a:off x="0" y="0"/>
                      <a:ext cx="5293995" cy="7482840"/>
                    </a:xfrm>
                    <a:prstGeom prst="rect">
                      <a:avLst/>
                    </a:prstGeom>
                  </pic:spPr>
                </pic:pic>
              </a:graphicData>
            </a:graphic>
          </wp:inline>
        </w:drawing>
      </w:r>
    </w:p>
    <w:p w14:paraId="774B4705">
      <w:pPr>
        <w:keepNext w:val="0"/>
        <w:keepLines w:val="0"/>
        <w:pageBreakBefore w:val="0"/>
        <w:widowControl/>
        <w:kinsoku w:val="0"/>
        <w:wordWrap/>
        <w:overflowPunct/>
        <w:topLinePunct w:val="0"/>
        <w:autoSpaceDE w:val="0"/>
        <w:autoSpaceDN w:val="0"/>
        <w:bidi w:val="0"/>
        <w:adjustRightInd w:val="0"/>
        <w:snapToGrid w:val="0"/>
        <w:spacing w:before="78" w:line="360" w:lineRule="auto"/>
        <w:ind w:left="4788" w:leftChars="2280" w:firstLine="720" w:firstLineChars="300"/>
        <w:textAlignment w:val="baseline"/>
        <w:rPr>
          <w:rFonts w:hint="default" w:ascii="Times New Roman" w:hAnsi="Times New Roman" w:eastAsia="宋体" w:cs="Times New Roman"/>
          <w:sz w:val="24"/>
          <w:szCs w:val="24"/>
        </w:rPr>
      </w:pPr>
    </w:p>
    <w:p w14:paraId="795F0FD0">
      <w:pPr>
        <w:rPr>
          <w:rFonts w:hint="default" w:ascii="Times New Roman" w:hAnsi="Times New Roman" w:cs="Times New Roman"/>
        </w:rPr>
        <w:sectPr>
          <w:footerReference r:id="rId18" w:type="default"/>
          <w:pgSz w:w="11907" w:h="16839"/>
          <w:pgMar w:top="400" w:right="1785" w:bottom="400" w:left="1785" w:header="0" w:footer="0" w:gutter="0"/>
          <w:pgBorders>
            <w:top w:val="none" w:sz="0" w:space="0"/>
            <w:left w:val="none" w:sz="0" w:space="0"/>
            <w:bottom w:val="none" w:sz="0" w:space="0"/>
            <w:right w:val="none" w:sz="0" w:space="0"/>
          </w:pgBorders>
          <w:pgNumType w:fmt="decimal"/>
          <w:cols w:space="720" w:num="1"/>
        </w:sectPr>
      </w:pPr>
    </w:p>
    <w:p w14:paraId="4E9637A0">
      <w:pPr>
        <w:spacing w:before="71" w:line="219" w:lineRule="auto"/>
        <w:ind w:left="5872"/>
        <w:outlineLvl w:val="9"/>
        <w:rPr>
          <w:rFonts w:hint="default" w:ascii="Times New Roman" w:hAnsi="Times New Roman" w:eastAsia="黑体" w:cs="Times New Roman"/>
          <w:sz w:val="22"/>
          <w:szCs w:val="22"/>
        </w:rPr>
      </w:pPr>
      <w:r>
        <w:rPr>
          <w:rFonts w:hint="default" w:ascii="Times New Roman" w:hAnsi="Times New Roman" w:eastAsia="黑体" w:cs="Times New Roman"/>
          <w:spacing w:val="1"/>
          <w:sz w:val="22"/>
          <w:szCs w:val="22"/>
          <w14:textOutline w14:w="4005" w14:cap="flat" w14:cmpd="sng">
            <w14:solidFill>
              <w14:srgbClr w14:val="000000"/>
            </w14:solidFill>
            <w14:prstDash w14:val="solid"/>
            <w14:miter w14:val="0"/>
          </w14:textOutline>
        </w:rPr>
        <w:t>建设项目竣工</w:t>
      </w:r>
      <w:r>
        <w:rPr>
          <w:rFonts w:hint="default" w:ascii="Times New Roman" w:hAnsi="Times New Roman" w:eastAsia="黑体" w:cs="Times New Roman"/>
          <w:sz w:val="22"/>
          <w:szCs w:val="22"/>
          <w14:textOutline w14:w="4005" w14:cap="flat" w14:cmpd="sng">
            <w14:solidFill>
              <w14:srgbClr w14:val="000000"/>
            </w14:solidFill>
            <w14:prstDash w14:val="solid"/>
            <w14:miter w14:val="0"/>
          </w14:textOutline>
        </w:rPr>
        <w:t>环境保护</w:t>
      </w:r>
      <w:r>
        <w:rPr>
          <w:rFonts w:hint="default" w:ascii="Times New Roman" w:hAnsi="Times New Roman" w:eastAsia="Times New Roman" w:cs="Times New Roman"/>
          <w:b/>
          <w:bCs/>
          <w:sz w:val="22"/>
          <w:szCs w:val="22"/>
        </w:rPr>
        <w:t>“</w:t>
      </w:r>
      <w:r>
        <w:rPr>
          <w:rFonts w:hint="default" w:ascii="Times New Roman" w:hAnsi="Times New Roman" w:eastAsia="黑体" w:cs="Times New Roman"/>
          <w:sz w:val="22"/>
          <w:szCs w:val="22"/>
          <w14:textOutline w14:w="4005" w14:cap="flat" w14:cmpd="sng">
            <w14:solidFill>
              <w14:srgbClr w14:val="000000"/>
            </w14:solidFill>
            <w14:prstDash w14:val="solid"/>
            <w14:miter w14:val="0"/>
          </w14:textOutline>
        </w:rPr>
        <w:t>三同时</w:t>
      </w:r>
      <w:r>
        <w:rPr>
          <w:rFonts w:hint="default" w:ascii="Times New Roman" w:hAnsi="Times New Roman" w:eastAsia="Times New Roman" w:cs="Times New Roman"/>
          <w:b/>
          <w:bCs/>
          <w:sz w:val="22"/>
          <w:szCs w:val="22"/>
        </w:rPr>
        <w:t>”</w:t>
      </w:r>
      <w:r>
        <w:rPr>
          <w:rFonts w:hint="default" w:ascii="Times New Roman" w:hAnsi="Times New Roman" w:eastAsia="黑体" w:cs="Times New Roman"/>
          <w:sz w:val="22"/>
          <w:szCs w:val="22"/>
          <w14:textOutline w14:w="4005" w14:cap="flat" w14:cmpd="sng">
            <w14:solidFill>
              <w14:srgbClr w14:val="000000"/>
            </w14:solidFill>
            <w14:prstDash w14:val="solid"/>
            <w14:miter w14:val="0"/>
          </w14:textOutline>
        </w:rPr>
        <w:t>验收登记表</w:t>
      </w:r>
    </w:p>
    <w:p w14:paraId="66DCD1CB">
      <w:pPr>
        <w:spacing w:before="35" w:line="219" w:lineRule="auto"/>
        <w:ind w:left="1042"/>
        <w:rPr>
          <w:rFonts w:hint="default" w:ascii="Times New Roman" w:hAnsi="Times New Roman" w:cs="Times New Roman"/>
          <w:sz w:val="2"/>
        </w:rPr>
      </w:pPr>
      <w:r>
        <w:rPr>
          <w:rFonts w:hint="default" w:ascii="Times New Roman" w:hAnsi="Times New Roman" w:eastAsia="宋体" w:cs="Times New Roman"/>
          <w:spacing w:val="5"/>
          <w:sz w:val="22"/>
          <w:szCs w:val="22"/>
        </w:rPr>
        <w:drawing>
          <wp:anchor distT="0" distB="0" distL="114300" distR="114300" simplePos="0" relativeHeight="251673600" behindDoc="0" locked="0" layoutInCell="1" allowOverlap="1">
            <wp:simplePos x="0" y="0"/>
            <wp:positionH relativeFrom="column">
              <wp:posOffset>3601720</wp:posOffset>
            </wp:positionH>
            <wp:positionV relativeFrom="paragraph">
              <wp:posOffset>10160</wp:posOffset>
            </wp:positionV>
            <wp:extent cx="923290" cy="240665"/>
            <wp:effectExtent l="0" t="0" r="0" b="6350"/>
            <wp:wrapSquare wrapText="bothSides"/>
            <wp:docPr id="2" name="图片 2" descr="马秀兰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马秀兰签名"/>
                    <pic:cNvPicPr>
                      <a:picLocks noChangeAspect="1"/>
                    </pic:cNvPicPr>
                  </pic:nvPicPr>
                  <pic:blipFill>
                    <a:blip r:embed="rId22"/>
                    <a:stretch>
                      <a:fillRect/>
                    </a:stretch>
                  </pic:blipFill>
                  <pic:spPr>
                    <a:xfrm>
                      <a:off x="0" y="0"/>
                      <a:ext cx="923290" cy="240665"/>
                    </a:xfrm>
                    <a:prstGeom prst="rect">
                      <a:avLst/>
                    </a:prstGeom>
                  </pic:spPr>
                </pic:pic>
              </a:graphicData>
            </a:graphic>
          </wp:anchor>
        </w:drawing>
      </w:r>
      <w:r>
        <w:rPr>
          <w:rFonts w:hint="default" w:ascii="Times New Roman" w:hAnsi="Times New Roman" w:eastAsia="宋体" w:cs="Times New Roman"/>
          <w:spacing w:val="10"/>
          <w:sz w:val="22"/>
          <w:szCs w:val="22"/>
          <w14:textOutline w14:w="4005" w14:cap="flat" w14:cmpd="sng">
            <w14:solidFill>
              <w14:srgbClr w14:val="000000"/>
            </w14:solidFill>
            <w14:prstDash w14:val="solid"/>
            <w14:miter w14:val="0"/>
          </w14:textOutline>
        </w:rPr>
        <w:t>填表单位(盖章</w:t>
      </w:r>
      <w:r>
        <w:rPr>
          <w:rFonts w:hint="default" w:ascii="Times New Roman" w:hAnsi="Times New Roman" w:eastAsia="宋体" w:cs="Times New Roman"/>
          <w:spacing w:val="5"/>
          <w:sz w:val="22"/>
          <w:szCs w:val="22"/>
          <w14:textOutline w14:w="4005" w14:cap="flat" w14:cmpd="sng">
            <w14:solidFill>
              <w14:srgbClr w14:val="000000"/>
            </w14:solidFill>
            <w14:prstDash w14:val="solid"/>
            <w14:miter w14:val="0"/>
          </w14:textOutline>
        </w:rPr>
        <w:t>)：</w:t>
      </w:r>
      <w:r>
        <w:rPr>
          <w:rFonts w:hint="default" w:ascii="Times New Roman" w:hAnsi="Times New Roman" w:eastAsia="宋体" w:cs="Times New Roman"/>
          <w:spacing w:val="5"/>
          <w:sz w:val="22"/>
          <w:szCs w:val="22"/>
        </w:rPr>
        <w:t xml:space="preserve">                   </w:t>
      </w:r>
      <w:r>
        <w:rPr>
          <w:rFonts w:hint="default" w:ascii="Times New Roman" w:hAnsi="Times New Roman" w:eastAsia="宋体" w:cs="Times New Roman"/>
          <w:spacing w:val="5"/>
          <w:sz w:val="22"/>
          <w:szCs w:val="22"/>
          <w14:textOutline w14:w="4005" w14:cap="flat" w14:cmpd="sng">
            <w14:solidFill>
              <w14:srgbClr w14:val="000000"/>
            </w14:solidFill>
            <w14:prstDash w14:val="solid"/>
            <w14:miter w14:val="0"/>
          </w14:textOutline>
        </w:rPr>
        <w:t>填表人(签字)：</w:t>
      </w:r>
      <w:r>
        <w:rPr>
          <w:rFonts w:hint="default" w:ascii="Times New Roman" w:hAnsi="Times New Roman" w:eastAsia="宋体" w:cs="Times New Roman"/>
          <w:spacing w:val="5"/>
          <w:sz w:val="22"/>
          <w:szCs w:val="22"/>
        </w:rPr>
        <w:t xml:space="preserve">        </w:t>
      </w:r>
      <w:r>
        <w:rPr>
          <w:rFonts w:hint="default" w:ascii="Times New Roman" w:hAnsi="Times New Roman" w:eastAsia="宋体" w:cs="Times New Roman"/>
          <w:spacing w:val="5"/>
          <w:sz w:val="22"/>
          <w:szCs w:val="22"/>
          <w14:textOutline w14:w="4005" w14:cap="flat" w14:cmpd="sng">
            <w14:solidFill>
              <w14:srgbClr w14:val="000000"/>
            </w14:solidFill>
            <w14:prstDash w14:val="solid"/>
            <w14:miter w14:val="0"/>
          </w14:textOutline>
        </w:rPr>
        <w:t>项目经办人(签字)：</w:t>
      </w:r>
    </w:p>
    <w:tbl>
      <w:tblPr>
        <w:tblStyle w:val="28"/>
        <w:tblpPr w:leftFromText="180" w:rightFromText="180" w:vertAnchor="text" w:horzAnchor="page" w:tblpX="1" w:tblpY="177"/>
        <w:tblOverlap w:val="never"/>
        <w:tblW w:w="16007"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39"/>
        <w:gridCol w:w="1724"/>
        <w:gridCol w:w="240"/>
        <w:gridCol w:w="827"/>
        <w:gridCol w:w="1280"/>
        <w:gridCol w:w="1166"/>
        <w:gridCol w:w="784"/>
        <w:gridCol w:w="573"/>
        <w:gridCol w:w="489"/>
        <w:gridCol w:w="1514"/>
        <w:gridCol w:w="707"/>
        <w:gridCol w:w="374"/>
        <w:gridCol w:w="1091"/>
        <w:gridCol w:w="1766"/>
        <w:gridCol w:w="1079"/>
        <w:gridCol w:w="1026"/>
        <w:gridCol w:w="928"/>
      </w:tblGrid>
      <w:tr w14:paraId="5BAA12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9" w:hRule="atLeast"/>
        </w:trPr>
        <w:tc>
          <w:tcPr>
            <w:tcW w:w="439" w:type="dxa"/>
            <w:vMerge w:val="restart"/>
            <w:tcBorders>
              <w:left w:val="single" w:color="000000" w:sz="6" w:space="0"/>
              <w:bottom w:val="nil"/>
            </w:tcBorders>
            <w:textDirection w:val="tbRlV"/>
            <w:vAlign w:val="center"/>
          </w:tcPr>
          <w:p w14:paraId="5FE155A2">
            <w:pPr>
              <w:spacing w:before="163" w:line="181" w:lineRule="auto"/>
              <w:ind w:left="150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4"/>
                <w:sz w:val="15"/>
                <w:szCs w:val="15"/>
              </w:rPr>
              <w:t>建</w:t>
            </w:r>
            <w:r>
              <w:rPr>
                <w:rFonts w:hint="default" w:ascii="Times New Roman" w:hAnsi="Times New Roman" w:eastAsia="宋体" w:cs="Times New Roman"/>
                <w:b/>
                <w:bCs/>
                <w:spacing w:val="3"/>
                <w:sz w:val="15"/>
                <w:szCs w:val="15"/>
              </w:rPr>
              <w:t>设项目</w:t>
            </w:r>
          </w:p>
        </w:tc>
        <w:tc>
          <w:tcPr>
            <w:tcW w:w="1964" w:type="dxa"/>
            <w:gridSpan w:val="2"/>
            <w:vAlign w:val="center"/>
          </w:tcPr>
          <w:p w14:paraId="36289D25">
            <w:pPr>
              <w:spacing w:before="83" w:line="164" w:lineRule="auto"/>
              <w:ind w:left="6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项</w:t>
            </w:r>
            <w:r>
              <w:rPr>
                <w:rFonts w:hint="default" w:ascii="Times New Roman" w:hAnsi="Times New Roman" w:eastAsia="宋体" w:cs="Times New Roman"/>
                <w:b/>
                <w:bCs/>
                <w:sz w:val="15"/>
                <w:szCs w:val="15"/>
              </w:rPr>
              <w:t>目名称</w:t>
            </w:r>
          </w:p>
        </w:tc>
        <w:tc>
          <w:tcPr>
            <w:tcW w:w="5119" w:type="dxa"/>
            <w:gridSpan w:val="6"/>
            <w:vAlign w:val="center"/>
          </w:tcPr>
          <w:p w14:paraId="5D8F5AC6">
            <w:pPr>
              <w:spacing w:before="83" w:line="164" w:lineRule="auto"/>
              <w:ind w:left="1243"/>
              <w:jc w:val="left"/>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pacing w:val="-1"/>
                <w:sz w:val="15"/>
                <w:szCs w:val="15"/>
                <w:lang w:val="en-US" w:eastAsia="zh-CN"/>
              </w:rPr>
              <w:t>第十四师皮山农场污水资源化利用项目</w:t>
            </w:r>
          </w:p>
        </w:tc>
        <w:tc>
          <w:tcPr>
            <w:tcW w:w="1514" w:type="dxa"/>
            <w:vAlign w:val="center"/>
          </w:tcPr>
          <w:p w14:paraId="65281D5C">
            <w:pPr>
              <w:spacing w:before="83" w:line="164" w:lineRule="auto"/>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项</w:t>
            </w:r>
            <w:r>
              <w:rPr>
                <w:rFonts w:hint="default" w:ascii="Times New Roman" w:hAnsi="Times New Roman" w:eastAsia="宋体" w:cs="Times New Roman"/>
                <w:b/>
                <w:bCs/>
                <w:sz w:val="15"/>
                <w:szCs w:val="15"/>
              </w:rPr>
              <w:t>目代码</w:t>
            </w:r>
          </w:p>
        </w:tc>
        <w:tc>
          <w:tcPr>
            <w:tcW w:w="2172" w:type="dxa"/>
            <w:gridSpan w:val="3"/>
            <w:vAlign w:val="center"/>
          </w:tcPr>
          <w:p w14:paraId="6C40A470">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z w:val="15"/>
                <w:szCs w:val="15"/>
                <w:lang w:val="en-US" w:eastAsia="zh-CN"/>
              </w:rPr>
              <w:t>/</w:t>
            </w:r>
          </w:p>
        </w:tc>
        <w:tc>
          <w:tcPr>
            <w:tcW w:w="1766" w:type="dxa"/>
            <w:vAlign w:val="center"/>
          </w:tcPr>
          <w:p w14:paraId="650C7979">
            <w:pPr>
              <w:spacing w:before="83" w:line="164" w:lineRule="auto"/>
              <w:ind w:left="531"/>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建</w:t>
            </w:r>
            <w:r>
              <w:rPr>
                <w:rFonts w:hint="default" w:ascii="Times New Roman" w:hAnsi="Times New Roman" w:eastAsia="宋体" w:cs="Times New Roman"/>
                <w:b/>
                <w:bCs/>
                <w:sz w:val="15"/>
                <w:szCs w:val="15"/>
              </w:rPr>
              <w:t>设地点</w:t>
            </w:r>
          </w:p>
        </w:tc>
        <w:tc>
          <w:tcPr>
            <w:tcW w:w="3033" w:type="dxa"/>
            <w:gridSpan w:val="3"/>
            <w:tcBorders>
              <w:right w:val="single" w:color="000000" w:sz="6" w:space="0"/>
            </w:tcBorders>
            <w:vAlign w:val="center"/>
          </w:tcPr>
          <w:p w14:paraId="5EDF9193">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auto"/>
              <w:rPr>
                <w:rFonts w:hint="default" w:ascii="Times New Roman" w:hAnsi="Times New Roman" w:eastAsia="宋体" w:cs="Times New Roman"/>
                <w:sz w:val="15"/>
                <w:szCs w:val="15"/>
                <w:lang w:val="en-US" w:eastAsia="zh-CN"/>
              </w:rPr>
            </w:pPr>
            <w:r>
              <w:rPr>
                <w:rFonts w:hint="default" w:ascii="Times New Roman" w:hAnsi="Times New Roman" w:eastAsia="宋体" w:cs="Times New Roman"/>
                <w:color w:val="000000"/>
                <w:kern w:val="0"/>
                <w:sz w:val="15"/>
                <w:szCs w:val="15"/>
                <w:lang w:val="en-US" w:eastAsia="zh-CN" w:bidi="ar"/>
              </w:rPr>
              <w:t>新疆生产建设兵团第十四师皮山农场</w:t>
            </w:r>
          </w:p>
        </w:tc>
      </w:tr>
      <w:tr w14:paraId="71F886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439" w:type="dxa"/>
            <w:vMerge w:val="continue"/>
            <w:tcBorders>
              <w:top w:val="nil"/>
              <w:left w:val="single" w:color="000000" w:sz="6" w:space="0"/>
              <w:bottom w:val="nil"/>
            </w:tcBorders>
            <w:textDirection w:val="tbRlV"/>
            <w:vAlign w:val="center"/>
          </w:tcPr>
          <w:p w14:paraId="67C168F2">
            <w:pPr>
              <w:jc w:val="left"/>
              <w:rPr>
                <w:rFonts w:hint="default" w:ascii="Times New Roman" w:hAnsi="Times New Roman" w:eastAsia="宋体" w:cs="Times New Roman"/>
                <w:sz w:val="15"/>
                <w:szCs w:val="15"/>
              </w:rPr>
            </w:pPr>
          </w:p>
        </w:tc>
        <w:tc>
          <w:tcPr>
            <w:tcW w:w="1964" w:type="dxa"/>
            <w:gridSpan w:val="2"/>
            <w:vAlign w:val="center"/>
          </w:tcPr>
          <w:p w14:paraId="1BCD8B10">
            <w:pPr>
              <w:spacing w:before="65" w:line="190" w:lineRule="auto"/>
              <w:ind w:left="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2"/>
                <w:sz w:val="15"/>
                <w:szCs w:val="15"/>
              </w:rPr>
              <w:t>行业类</w:t>
            </w:r>
            <w:r>
              <w:rPr>
                <w:rFonts w:hint="default" w:ascii="Times New Roman" w:hAnsi="Times New Roman" w:eastAsia="宋体" w:cs="Times New Roman"/>
                <w:spacing w:val="12"/>
                <w:sz w:val="15"/>
                <w:szCs w:val="15"/>
              </w:rPr>
              <w:t>别(</w:t>
            </w:r>
            <w:r>
              <w:rPr>
                <w:rFonts w:hint="default" w:ascii="Times New Roman" w:hAnsi="Times New Roman" w:eastAsia="宋体" w:cs="Times New Roman"/>
                <w:b/>
                <w:bCs/>
                <w:spacing w:val="12"/>
                <w:sz w:val="15"/>
                <w:szCs w:val="15"/>
              </w:rPr>
              <w:t>分类管理名录</w:t>
            </w:r>
            <w:r>
              <w:rPr>
                <w:rFonts w:hint="default" w:ascii="Times New Roman" w:hAnsi="Times New Roman" w:eastAsia="宋体" w:cs="Times New Roman"/>
                <w:spacing w:val="9"/>
                <w:sz w:val="15"/>
                <w:szCs w:val="15"/>
              </w:rPr>
              <w:t>)</w:t>
            </w:r>
          </w:p>
        </w:tc>
        <w:tc>
          <w:tcPr>
            <w:tcW w:w="5119" w:type="dxa"/>
            <w:gridSpan w:val="6"/>
            <w:vAlign w:val="center"/>
          </w:tcPr>
          <w:p w14:paraId="3963840E">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color w:val="000000" w:themeColor="text1"/>
                <w:sz w:val="15"/>
                <w:szCs w:val="15"/>
                <w14:textFill>
                  <w14:solidFill>
                    <w14:schemeClr w14:val="tx1"/>
                  </w14:solidFill>
                </w14:textFill>
              </w:rPr>
              <w:t>四十三、水的生产和供应业 其他水的处理、利用与分配469</w:t>
            </w:r>
          </w:p>
        </w:tc>
        <w:tc>
          <w:tcPr>
            <w:tcW w:w="1514" w:type="dxa"/>
            <w:vAlign w:val="center"/>
          </w:tcPr>
          <w:p w14:paraId="3811A223">
            <w:pPr>
              <w:spacing w:before="64" w:line="196" w:lineRule="auto"/>
              <w:ind w:left="208"/>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建</w:t>
            </w:r>
            <w:r>
              <w:rPr>
                <w:rFonts w:hint="default" w:ascii="Times New Roman" w:hAnsi="Times New Roman" w:eastAsia="宋体" w:cs="Times New Roman"/>
                <w:b/>
                <w:bCs/>
                <w:sz w:val="15"/>
                <w:szCs w:val="15"/>
              </w:rPr>
              <w:t>设性质</w:t>
            </w:r>
          </w:p>
        </w:tc>
        <w:tc>
          <w:tcPr>
            <w:tcW w:w="2172" w:type="dxa"/>
            <w:gridSpan w:val="3"/>
            <w:vAlign w:val="center"/>
          </w:tcPr>
          <w:p w14:paraId="6EDEBAA0">
            <w:pPr>
              <w:spacing w:before="64" w:line="195" w:lineRule="auto"/>
              <w:ind w:left="1127"/>
              <w:jc w:val="both"/>
              <w:rPr>
                <w:rFonts w:hint="default" w:ascii="Times New Roman" w:hAnsi="Times New Roman" w:eastAsia="宋体" w:cs="Times New Roman"/>
                <w:b/>
                <w:bCs/>
                <w:sz w:val="15"/>
                <w:szCs w:val="15"/>
                <w:lang w:eastAsia="zh-CN"/>
              </w:rPr>
            </w:pPr>
            <w:r>
              <w:rPr>
                <w:rFonts w:hint="default" w:ascii="Times New Roman" w:hAnsi="Times New Roman" w:eastAsia="宋体" w:cs="Times New Roman"/>
                <w:b/>
                <w:bCs/>
                <w:spacing w:val="1"/>
                <w:sz w:val="15"/>
                <w:szCs w:val="15"/>
                <w:lang w:val="en-US" w:eastAsia="zh-CN"/>
              </w:rPr>
              <w:t>新建</w:t>
            </w:r>
          </w:p>
        </w:tc>
        <w:tc>
          <w:tcPr>
            <w:tcW w:w="1766" w:type="dxa"/>
            <w:vAlign w:val="center"/>
          </w:tcPr>
          <w:p w14:paraId="5E6A2D23">
            <w:pPr>
              <w:spacing w:before="64" w:line="195" w:lineRule="auto"/>
              <w:ind w:left="171"/>
              <w:jc w:val="center"/>
              <w:rPr>
                <w:rFonts w:hint="default" w:ascii="Times New Roman" w:hAnsi="Times New Roman" w:eastAsia="宋体" w:cs="Times New Roman"/>
                <w:b/>
                <w:bCs/>
                <w:sz w:val="15"/>
                <w:szCs w:val="15"/>
              </w:rPr>
            </w:pPr>
            <w:r>
              <w:rPr>
                <w:rFonts w:hint="default" w:ascii="Times New Roman" w:hAnsi="Times New Roman" w:eastAsia="宋体" w:cs="Times New Roman"/>
                <w:b/>
                <w:bCs/>
                <w:sz w:val="15"/>
                <w:szCs w:val="15"/>
              </w:rPr>
              <w:t>项目厂区中心经度/纬度</w:t>
            </w:r>
          </w:p>
        </w:tc>
        <w:tc>
          <w:tcPr>
            <w:tcW w:w="3033" w:type="dxa"/>
            <w:gridSpan w:val="3"/>
            <w:tcBorders>
              <w:right w:val="single" w:color="000000" w:sz="6" w:space="0"/>
            </w:tcBorders>
            <w:vAlign w:val="center"/>
          </w:tcPr>
          <w:p w14:paraId="11D2398A">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中水储库：E78°30′23.455″、N37°41′22.381″；</w:t>
            </w:r>
          </w:p>
          <w:p w14:paraId="6FA0A0C9">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输水管网起点：E78°30′9.783″、N37°41′28.753″；</w:t>
            </w:r>
          </w:p>
          <w:p w14:paraId="14F55598">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1区输水管网终点：E78°28′21.655″、N37°41′41.422″；</w:t>
            </w:r>
          </w:p>
          <w:p w14:paraId="5AC392CC">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2区输水管网终点：E78°25′31.459″、N37°38′46.96″；</w:t>
            </w:r>
          </w:p>
          <w:p w14:paraId="56B6D70F">
            <w:pPr>
              <w:keepNext w:val="0"/>
              <w:keepLines w:val="0"/>
              <w:pageBreakBefore w:val="0"/>
              <w:widowControl/>
              <w:suppressLineNumbers w:val="0"/>
              <w:kinsoku w:val="0"/>
              <w:wordWrap/>
              <w:overflowPunct/>
              <w:topLinePunct w:val="0"/>
              <w:autoSpaceDE/>
              <w:autoSpaceDN/>
              <w:bidi w:val="0"/>
              <w:adjustRightInd w:val="0"/>
              <w:snapToGrid w:val="0"/>
              <w:jc w:val="center"/>
              <w:textAlignment w:val="baseline"/>
              <w:rPr>
                <w:rFonts w:hint="default" w:ascii="Times New Roman" w:hAnsi="Times New Roman" w:eastAsia="宋体" w:cs="Times New Roman"/>
                <w:b/>
                <w:bCs/>
                <w:sz w:val="15"/>
                <w:szCs w:val="15"/>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3区输水管网终点：E78°29′43.547″、N37°44′7.101″；</w:t>
            </w:r>
          </w:p>
        </w:tc>
      </w:tr>
      <w:tr w14:paraId="2942B7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439" w:type="dxa"/>
            <w:vMerge w:val="continue"/>
            <w:tcBorders>
              <w:top w:val="nil"/>
              <w:left w:val="single" w:color="000000" w:sz="6" w:space="0"/>
              <w:bottom w:val="nil"/>
            </w:tcBorders>
            <w:textDirection w:val="tbRlV"/>
            <w:vAlign w:val="center"/>
          </w:tcPr>
          <w:p w14:paraId="2156A8A2">
            <w:pPr>
              <w:jc w:val="left"/>
              <w:rPr>
                <w:rFonts w:hint="default" w:ascii="Times New Roman" w:hAnsi="Times New Roman" w:eastAsia="宋体" w:cs="Times New Roman"/>
                <w:sz w:val="15"/>
                <w:szCs w:val="15"/>
              </w:rPr>
            </w:pPr>
          </w:p>
        </w:tc>
        <w:tc>
          <w:tcPr>
            <w:tcW w:w="1964" w:type="dxa"/>
            <w:gridSpan w:val="2"/>
            <w:vAlign w:val="center"/>
          </w:tcPr>
          <w:p w14:paraId="693AE37D">
            <w:pPr>
              <w:spacing w:before="70" w:line="163" w:lineRule="auto"/>
              <w:ind w:left="52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设</w:t>
            </w:r>
            <w:r>
              <w:rPr>
                <w:rFonts w:hint="default" w:ascii="Times New Roman" w:hAnsi="Times New Roman" w:eastAsia="宋体" w:cs="Times New Roman"/>
                <w:b/>
                <w:bCs/>
                <w:sz w:val="15"/>
                <w:szCs w:val="15"/>
              </w:rPr>
              <w:t>计生产能力</w:t>
            </w:r>
          </w:p>
        </w:tc>
        <w:tc>
          <w:tcPr>
            <w:tcW w:w="5119" w:type="dxa"/>
            <w:gridSpan w:val="6"/>
            <w:vAlign w:val="center"/>
          </w:tcPr>
          <w:p w14:paraId="16A4F1E1">
            <w:pPr>
              <w:keepNext w:val="0"/>
              <w:keepLines w:val="0"/>
              <w:pageBreakBefore w:val="0"/>
              <w:widowControl/>
              <w:kinsoku w:val="0"/>
              <w:wordWrap/>
              <w:overflowPunct/>
              <w:topLinePunct w:val="0"/>
              <w:autoSpaceDE w:val="0"/>
              <w:autoSpaceDN w:val="0"/>
              <w:bidi w:val="0"/>
              <w:adjustRightInd w:val="0"/>
              <w:snapToGrid w:val="0"/>
              <w:spacing w:line="360" w:lineRule="auto"/>
              <w:ind w:firstLine="75" w:firstLineChars="50"/>
              <w:jc w:val="center"/>
              <w:textAlignment w:val="baseline"/>
              <w:rPr>
                <w:rFonts w:hint="default" w:ascii="Times New Roman" w:hAnsi="Times New Roman" w:eastAsia="宋体" w:cs="Times New Roman"/>
                <w:b w:val="0"/>
                <w:bCs w:val="0"/>
                <w:snapToGrid w:val="0"/>
                <w:color w:val="000000"/>
                <w:kern w:val="0"/>
                <w:sz w:val="15"/>
                <w:szCs w:val="15"/>
                <w:lang w:val="en-US" w:eastAsia="zh-CN"/>
              </w:rPr>
            </w:pPr>
            <w:r>
              <w:rPr>
                <w:rFonts w:hint="default" w:ascii="Times New Roman" w:hAnsi="Times New Roman" w:eastAsia="宋体" w:cs="Times New Roman"/>
                <w:b w:val="0"/>
                <w:bCs w:val="0"/>
                <w:color w:val="000000" w:themeColor="text1"/>
                <w:kern w:val="0"/>
                <w:sz w:val="15"/>
                <w:szCs w:val="15"/>
                <w:highlight w:val="none"/>
                <w:lang w:val="en-US" w:eastAsia="zh-CN" w:bidi="ar-SA"/>
                <w14:textFill>
                  <w14:solidFill>
                    <w14:schemeClr w14:val="tx1"/>
                  </w14:solidFill>
                </w14:textFill>
              </w:rPr>
              <w:t>1座中水储库容积70万m</w:t>
            </w:r>
            <w:r>
              <w:rPr>
                <w:rFonts w:hint="default" w:ascii="Times New Roman" w:hAnsi="Times New Roman" w:eastAsia="宋体" w:cs="Times New Roman"/>
                <w:b w:val="0"/>
                <w:bCs w:val="0"/>
                <w:color w:val="000000" w:themeColor="text1"/>
                <w:kern w:val="0"/>
                <w:sz w:val="15"/>
                <w:szCs w:val="15"/>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b w:val="0"/>
                <w:bCs w:val="0"/>
                <w:color w:val="000000" w:themeColor="text1"/>
                <w:kern w:val="0"/>
                <w:sz w:val="15"/>
                <w:szCs w:val="15"/>
                <w:highlight w:val="none"/>
                <w:lang w:val="en-US" w:eastAsia="zh-CN" w:bidi="ar-SA"/>
                <w14:textFill>
                  <w14:solidFill>
                    <w14:schemeClr w14:val="tx1"/>
                  </w14:solidFill>
                </w14:textFill>
              </w:rPr>
              <w:t>，1座提水泵站，库前引水管，输水管网及辅助工程</w:t>
            </w:r>
          </w:p>
        </w:tc>
        <w:tc>
          <w:tcPr>
            <w:tcW w:w="1514" w:type="dxa"/>
            <w:vAlign w:val="center"/>
          </w:tcPr>
          <w:p w14:paraId="2FB4D8E9">
            <w:pPr>
              <w:spacing w:before="39" w:line="220" w:lineRule="auto"/>
              <w:ind w:left="212"/>
              <w:jc w:val="both"/>
              <w:rPr>
                <w:rFonts w:hint="default" w:ascii="Times New Roman" w:hAnsi="Times New Roman" w:eastAsia="宋体" w:cs="Times New Roman"/>
                <w:snapToGrid w:val="0"/>
                <w:color w:val="000000"/>
                <w:kern w:val="0"/>
                <w:sz w:val="15"/>
                <w:szCs w:val="15"/>
              </w:rPr>
            </w:pPr>
            <w:r>
              <w:rPr>
                <w:rFonts w:hint="default" w:ascii="Times New Roman" w:hAnsi="Times New Roman" w:eastAsia="宋体" w:cs="Times New Roman"/>
                <w:spacing w:val="-5"/>
                <w:sz w:val="15"/>
                <w:szCs w:val="15"/>
                <w14:textOutline w14:w="4354" w14:cap="flat" w14:cmpd="sng">
                  <w14:solidFill>
                    <w14:srgbClr w14:val="000000"/>
                  </w14:solidFill>
                  <w14:prstDash w14:val="solid"/>
                  <w14:miter w14:val="0"/>
                </w14:textOutline>
              </w:rPr>
              <w:t>建</w:t>
            </w:r>
            <w:r>
              <w:rPr>
                <w:rFonts w:hint="default" w:ascii="Times New Roman" w:hAnsi="Times New Roman" w:eastAsia="宋体" w:cs="Times New Roman"/>
                <w:spacing w:val="-3"/>
                <w:sz w:val="15"/>
                <w:szCs w:val="15"/>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spacing w:val="-20"/>
                <w:sz w:val="15"/>
                <w:szCs w:val="15"/>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17"/>
                <w:sz w:val="15"/>
                <w:szCs w:val="15"/>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spacing w:val="-6"/>
                <w:sz w:val="15"/>
                <w:szCs w:val="15"/>
                <w14:textOutline w14:w="4354" w14:cap="flat" w14:cmpd="sng">
                  <w14:solidFill>
                    <w14:srgbClr w14:val="000000"/>
                  </w14:solidFill>
                  <w14:prstDash w14:val="solid"/>
                  <w14:miter w14:val="0"/>
                </w14:textOutline>
              </w:rPr>
              <w:t>时</w:t>
            </w:r>
            <w:r>
              <w:rPr>
                <w:rFonts w:hint="default" w:ascii="Times New Roman" w:hAnsi="Times New Roman" w:eastAsia="宋体" w:cs="Times New Roman"/>
                <w:spacing w:val="-4"/>
                <w:sz w:val="15"/>
                <w:szCs w:val="15"/>
                <w14:textOutline w14:w="4354" w14:cap="flat" w14:cmpd="sng">
                  <w14:solidFill>
                    <w14:srgbClr w14:val="000000"/>
                  </w14:solidFill>
                  <w14:prstDash w14:val="solid"/>
                  <w14:miter w14:val="0"/>
                </w14:textOutline>
              </w:rPr>
              <w:t>间</w:t>
            </w:r>
          </w:p>
        </w:tc>
        <w:tc>
          <w:tcPr>
            <w:tcW w:w="2172" w:type="dxa"/>
            <w:gridSpan w:val="3"/>
            <w:vAlign w:val="center"/>
          </w:tcPr>
          <w:p w14:paraId="36F81287">
            <w:pPr>
              <w:spacing w:before="70" w:line="163" w:lineRule="auto"/>
              <w:jc w:val="center"/>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2022年4月</w:t>
            </w:r>
          </w:p>
        </w:tc>
        <w:tc>
          <w:tcPr>
            <w:tcW w:w="1766" w:type="dxa"/>
            <w:vAlign w:val="center"/>
          </w:tcPr>
          <w:p w14:paraId="07172E87">
            <w:pPr>
              <w:spacing w:before="70" w:line="163" w:lineRule="auto"/>
              <w:ind w:left="188"/>
              <w:jc w:val="center"/>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评单位</w:t>
            </w:r>
          </w:p>
        </w:tc>
        <w:tc>
          <w:tcPr>
            <w:tcW w:w="3033" w:type="dxa"/>
            <w:gridSpan w:val="3"/>
            <w:tcBorders>
              <w:right w:val="single" w:color="000000" w:sz="6" w:space="0"/>
            </w:tcBorders>
            <w:vAlign w:val="center"/>
          </w:tcPr>
          <w:p w14:paraId="6D8B2CB2">
            <w:pPr>
              <w:spacing w:before="70" w:line="163" w:lineRule="auto"/>
              <w:jc w:val="center"/>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color w:val="auto"/>
                <w:sz w:val="15"/>
                <w:szCs w:val="15"/>
                <w:lang w:eastAsia="zh-CN"/>
              </w:rPr>
              <w:t>新疆祥达亿源环保科技有限公司</w:t>
            </w:r>
          </w:p>
        </w:tc>
      </w:tr>
      <w:tr w14:paraId="7B6EC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439" w:type="dxa"/>
            <w:vMerge w:val="continue"/>
            <w:tcBorders>
              <w:top w:val="nil"/>
              <w:left w:val="single" w:color="000000" w:sz="6" w:space="0"/>
              <w:bottom w:val="nil"/>
            </w:tcBorders>
            <w:textDirection w:val="tbRlV"/>
            <w:vAlign w:val="center"/>
          </w:tcPr>
          <w:p w14:paraId="280067AC">
            <w:pPr>
              <w:jc w:val="left"/>
              <w:rPr>
                <w:rFonts w:hint="default" w:ascii="Times New Roman" w:hAnsi="Times New Roman" w:eastAsia="宋体" w:cs="Times New Roman"/>
                <w:sz w:val="15"/>
                <w:szCs w:val="15"/>
              </w:rPr>
            </w:pPr>
          </w:p>
        </w:tc>
        <w:tc>
          <w:tcPr>
            <w:tcW w:w="1964" w:type="dxa"/>
            <w:gridSpan w:val="2"/>
            <w:vAlign w:val="center"/>
          </w:tcPr>
          <w:p w14:paraId="187E8220">
            <w:pPr>
              <w:spacing w:before="72" w:line="163" w:lineRule="auto"/>
              <w:ind w:left="3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评文件审批机关</w:t>
            </w:r>
          </w:p>
        </w:tc>
        <w:tc>
          <w:tcPr>
            <w:tcW w:w="5119" w:type="dxa"/>
            <w:gridSpan w:val="6"/>
            <w:vAlign w:val="center"/>
          </w:tcPr>
          <w:p w14:paraId="3CA39CC5">
            <w:pPr>
              <w:spacing w:before="33" w:line="220" w:lineRule="auto"/>
              <w:jc w:val="center"/>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z w:val="15"/>
                <w:szCs w:val="15"/>
                <w:lang w:val="en-US" w:eastAsia="zh-CN"/>
              </w:rPr>
              <w:t>新疆生产建设兵团第十四师昆玉市生态环境局</w:t>
            </w:r>
          </w:p>
        </w:tc>
        <w:tc>
          <w:tcPr>
            <w:tcW w:w="1514" w:type="dxa"/>
            <w:vAlign w:val="center"/>
          </w:tcPr>
          <w:p w14:paraId="77EA9FCF">
            <w:pPr>
              <w:spacing w:before="72" w:line="163" w:lineRule="auto"/>
              <w:ind w:left="214"/>
              <w:jc w:val="both"/>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审批文号</w:t>
            </w:r>
          </w:p>
        </w:tc>
        <w:tc>
          <w:tcPr>
            <w:tcW w:w="2172" w:type="dxa"/>
            <w:gridSpan w:val="3"/>
            <w:vAlign w:val="center"/>
          </w:tcPr>
          <w:p w14:paraId="744B7DA5">
            <w:pPr>
              <w:spacing w:before="72" w:line="163" w:lineRule="auto"/>
              <w:jc w:val="center"/>
              <w:rPr>
                <w:rFonts w:hint="default" w:ascii="Times New Roman" w:hAnsi="Times New Roman" w:eastAsia="宋体" w:cs="Times New Roman"/>
                <w:b/>
                <w:bCs/>
                <w:sz w:val="15"/>
                <w:szCs w:val="15"/>
              </w:rPr>
            </w:pPr>
            <w:r>
              <w:rPr>
                <w:rFonts w:hint="default" w:ascii="Times New Roman" w:hAnsi="Times New Roman" w:eastAsia="宋体" w:cs="Times New Roman"/>
                <w:b/>
                <w:bCs/>
                <w:color w:val="auto"/>
                <w:sz w:val="15"/>
                <w:szCs w:val="15"/>
                <w:lang w:val="en-US" w:eastAsia="zh-CN"/>
              </w:rPr>
              <w:t>十四</w:t>
            </w:r>
            <w:r>
              <w:rPr>
                <w:rFonts w:hint="default" w:ascii="Times New Roman" w:hAnsi="Times New Roman" w:eastAsia="宋体" w:cs="Times New Roman"/>
                <w:b/>
                <w:bCs/>
                <w:sz w:val="15"/>
                <w:szCs w:val="15"/>
                <w:lang w:val="en-US" w:eastAsia="zh-CN"/>
              </w:rPr>
              <w:t>师</w:t>
            </w:r>
            <w:r>
              <w:rPr>
                <w:rFonts w:hint="default" w:ascii="Times New Roman" w:hAnsi="Times New Roman" w:eastAsia="宋体" w:cs="Times New Roman"/>
                <w:b/>
                <w:bCs/>
                <w:sz w:val="15"/>
                <w:szCs w:val="15"/>
                <w:lang w:eastAsia="zh-CN"/>
              </w:rPr>
              <w:t>环</w:t>
            </w:r>
            <w:r>
              <w:rPr>
                <w:rFonts w:hint="default" w:ascii="Times New Roman" w:hAnsi="Times New Roman" w:eastAsia="宋体" w:cs="Times New Roman"/>
                <w:b/>
                <w:bCs/>
                <w:sz w:val="15"/>
                <w:szCs w:val="15"/>
                <w:lang w:val="en-US" w:eastAsia="zh-CN"/>
              </w:rPr>
              <w:t>发</w:t>
            </w:r>
            <w:r>
              <w:rPr>
                <w:rFonts w:hint="default" w:ascii="Times New Roman" w:hAnsi="Times New Roman" w:eastAsia="宋体" w:cs="Times New Roman"/>
                <w:b/>
                <w:bCs/>
                <w:sz w:val="15"/>
                <w:szCs w:val="15"/>
              </w:rPr>
              <w:t>[</w:t>
            </w:r>
            <w:r>
              <w:rPr>
                <w:rFonts w:hint="default" w:ascii="Times New Roman" w:hAnsi="Times New Roman" w:eastAsia="宋体" w:cs="Times New Roman"/>
                <w:b/>
                <w:bCs/>
                <w:sz w:val="15"/>
                <w:szCs w:val="15"/>
                <w:lang w:val="en-US" w:eastAsia="zh-CN"/>
              </w:rPr>
              <w:t>2022</w:t>
            </w:r>
            <w:r>
              <w:rPr>
                <w:rFonts w:hint="default" w:ascii="Times New Roman" w:hAnsi="Times New Roman" w:eastAsia="宋体" w:cs="Times New Roman"/>
                <w:b/>
                <w:bCs/>
                <w:sz w:val="15"/>
                <w:szCs w:val="15"/>
              </w:rPr>
              <w:t>]</w:t>
            </w:r>
            <w:r>
              <w:rPr>
                <w:rFonts w:hint="default" w:ascii="Times New Roman" w:hAnsi="Times New Roman" w:eastAsia="宋体" w:cs="Times New Roman"/>
                <w:b/>
                <w:bCs/>
                <w:sz w:val="15"/>
                <w:szCs w:val="15"/>
                <w:lang w:val="en-US" w:eastAsia="zh-CN"/>
              </w:rPr>
              <w:t>23</w:t>
            </w:r>
            <w:r>
              <w:rPr>
                <w:rFonts w:hint="default" w:ascii="Times New Roman" w:hAnsi="Times New Roman" w:eastAsia="宋体" w:cs="Times New Roman"/>
                <w:b/>
                <w:bCs/>
                <w:sz w:val="15"/>
                <w:szCs w:val="15"/>
              </w:rPr>
              <w:t>号</w:t>
            </w:r>
          </w:p>
        </w:tc>
        <w:tc>
          <w:tcPr>
            <w:tcW w:w="1766" w:type="dxa"/>
            <w:vAlign w:val="center"/>
          </w:tcPr>
          <w:p w14:paraId="23ACFD27">
            <w:pPr>
              <w:spacing w:before="70" w:line="165" w:lineRule="auto"/>
              <w:ind w:left="382"/>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评文件类型</w:t>
            </w:r>
          </w:p>
        </w:tc>
        <w:tc>
          <w:tcPr>
            <w:tcW w:w="3033" w:type="dxa"/>
            <w:gridSpan w:val="3"/>
            <w:tcBorders>
              <w:right w:val="single" w:color="000000" w:sz="6" w:space="0"/>
            </w:tcBorders>
            <w:vAlign w:val="center"/>
          </w:tcPr>
          <w:p w14:paraId="4834626F">
            <w:pPr>
              <w:spacing w:before="72" w:line="163" w:lineRule="auto"/>
              <w:ind w:left="1288"/>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报</w:t>
            </w:r>
            <w:r>
              <w:rPr>
                <w:rFonts w:hint="default" w:ascii="Times New Roman" w:hAnsi="Times New Roman" w:eastAsia="宋体" w:cs="Times New Roman"/>
                <w:b/>
                <w:bCs/>
                <w:sz w:val="15"/>
                <w:szCs w:val="15"/>
              </w:rPr>
              <w:t>告表</w:t>
            </w:r>
          </w:p>
        </w:tc>
      </w:tr>
      <w:tr w14:paraId="5E6F2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textDirection w:val="tbRlV"/>
            <w:vAlign w:val="center"/>
          </w:tcPr>
          <w:p w14:paraId="23520A0C">
            <w:pPr>
              <w:jc w:val="left"/>
              <w:rPr>
                <w:rFonts w:hint="default" w:ascii="Times New Roman" w:hAnsi="Times New Roman" w:eastAsia="宋体" w:cs="Times New Roman"/>
                <w:sz w:val="15"/>
                <w:szCs w:val="15"/>
              </w:rPr>
            </w:pPr>
          </w:p>
        </w:tc>
        <w:tc>
          <w:tcPr>
            <w:tcW w:w="1964" w:type="dxa"/>
            <w:gridSpan w:val="2"/>
            <w:vAlign w:val="center"/>
          </w:tcPr>
          <w:p w14:paraId="156A544B">
            <w:pPr>
              <w:spacing w:before="70" w:line="163" w:lineRule="auto"/>
              <w:ind w:left="674"/>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开工日期</w:t>
            </w:r>
          </w:p>
        </w:tc>
        <w:tc>
          <w:tcPr>
            <w:tcW w:w="5119" w:type="dxa"/>
            <w:gridSpan w:val="6"/>
            <w:vAlign w:val="center"/>
          </w:tcPr>
          <w:p w14:paraId="33ADB08B">
            <w:pPr>
              <w:spacing w:before="90" w:line="215" w:lineRule="auto"/>
              <w:ind w:left="2350"/>
              <w:jc w:val="center"/>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pacing w:val="-1"/>
                <w:sz w:val="15"/>
                <w:szCs w:val="15"/>
                <w:highlight w:val="none"/>
                <w:lang w:val="en-US" w:eastAsia="zh-CN"/>
              </w:rPr>
              <w:t>2022.4</w:t>
            </w:r>
          </w:p>
        </w:tc>
        <w:tc>
          <w:tcPr>
            <w:tcW w:w="2595" w:type="dxa"/>
            <w:gridSpan w:val="3"/>
            <w:vAlign w:val="center"/>
          </w:tcPr>
          <w:p w14:paraId="51DE28D6">
            <w:pPr>
              <w:spacing w:before="70" w:line="163" w:lineRule="auto"/>
              <w:ind w:left="996"/>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竣</w:t>
            </w:r>
            <w:r>
              <w:rPr>
                <w:rFonts w:hint="default" w:ascii="Times New Roman" w:hAnsi="Times New Roman" w:eastAsia="宋体" w:cs="Times New Roman"/>
                <w:b/>
                <w:bCs/>
                <w:sz w:val="15"/>
                <w:szCs w:val="15"/>
              </w:rPr>
              <w:t>工日期</w:t>
            </w:r>
          </w:p>
        </w:tc>
        <w:tc>
          <w:tcPr>
            <w:tcW w:w="1091" w:type="dxa"/>
            <w:vAlign w:val="center"/>
          </w:tcPr>
          <w:p w14:paraId="3C9ED5F7">
            <w:pPr>
              <w:spacing w:before="90" w:line="215" w:lineRule="auto"/>
              <w:ind w:left="399"/>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pacing w:val="-1"/>
                <w:sz w:val="15"/>
                <w:szCs w:val="15"/>
                <w:highlight w:val="none"/>
                <w:lang w:val="en-US" w:eastAsia="zh-CN"/>
              </w:rPr>
              <w:t>2023.9</w:t>
            </w:r>
          </w:p>
        </w:tc>
        <w:tc>
          <w:tcPr>
            <w:tcW w:w="1766" w:type="dxa"/>
            <w:vAlign w:val="center"/>
          </w:tcPr>
          <w:p w14:paraId="14073B77">
            <w:pPr>
              <w:spacing w:before="70" w:line="163" w:lineRule="auto"/>
              <w:ind w:left="157"/>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排</w:t>
            </w:r>
            <w:r>
              <w:rPr>
                <w:rFonts w:hint="default" w:ascii="Times New Roman" w:hAnsi="Times New Roman" w:eastAsia="宋体" w:cs="Times New Roman"/>
                <w:b/>
                <w:bCs/>
                <w:sz w:val="15"/>
                <w:szCs w:val="15"/>
              </w:rPr>
              <w:t>污许可证申领时间</w:t>
            </w:r>
          </w:p>
        </w:tc>
        <w:tc>
          <w:tcPr>
            <w:tcW w:w="3033" w:type="dxa"/>
            <w:gridSpan w:val="3"/>
            <w:tcBorders>
              <w:right w:val="single" w:color="000000" w:sz="6" w:space="0"/>
            </w:tcBorders>
            <w:vAlign w:val="center"/>
          </w:tcPr>
          <w:p w14:paraId="1C32D68B">
            <w:pPr>
              <w:spacing w:before="90" w:line="215" w:lineRule="auto"/>
              <w:ind w:left="1492"/>
              <w:jc w:val="left"/>
              <w:rPr>
                <w:rFonts w:hint="default" w:ascii="Times New Roman" w:hAnsi="Times New Roman" w:eastAsia="宋体" w:cs="Times New Roman"/>
                <w:b/>
                <w:bCs/>
                <w:sz w:val="15"/>
                <w:szCs w:val="15"/>
              </w:rPr>
            </w:pPr>
            <w:r>
              <w:rPr>
                <w:rFonts w:hint="default" w:ascii="Times New Roman" w:hAnsi="Times New Roman" w:eastAsia="宋体" w:cs="Times New Roman"/>
                <w:b/>
                <w:bCs/>
                <w:sz w:val="15"/>
                <w:szCs w:val="15"/>
              </w:rPr>
              <w:t>/</w:t>
            </w:r>
          </w:p>
        </w:tc>
      </w:tr>
      <w:tr w14:paraId="6ADA1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textDirection w:val="tbRlV"/>
            <w:vAlign w:val="center"/>
          </w:tcPr>
          <w:p w14:paraId="0663F2EF">
            <w:pPr>
              <w:jc w:val="left"/>
              <w:rPr>
                <w:rFonts w:hint="default" w:ascii="Times New Roman" w:hAnsi="Times New Roman" w:eastAsia="宋体" w:cs="Times New Roman"/>
                <w:sz w:val="15"/>
                <w:szCs w:val="15"/>
              </w:rPr>
            </w:pPr>
          </w:p>
        </w:tc>
        <w:tc>
          <w:tcPr>
            <w:tcW w:w="1964" w:type="dxa"/>
            <w:gridSpan w:val="2"/>
            <w:vAlign w:val="center"/>
          </w:tcPr>
          <w:p w14:paraId="5D17B3D3">
            <w:pPr>
              <w:spacing w:before="69" w:line="163" w:lineRule="auto"/>
              <w:ind w:left="3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保设施设计单位</w:t>
            </w:r>
          </w:p>
        </w:tc>
        <w:tc>
          <w:tcPr>
            <w:tcW w:w="5119" w:type="dxa"/>
            <w:gridSpan w:val="6"/>
            <w:vAlign w:val="center"/>
          </w:tcPr>
          <w:p w14:paraId="7686C47B">
            <w:pPr>
              <w:spacing w:before="89" w:line="215" w:lineRule="auto"/>
              <w:ind w:left="2532"/>
              <w:jc w:val="center"/>
              <w:rPr>
                <w:rFonts w:hint="default" w:ascii="Times New Roman" w:hAnsi="Times New Roman" w:eastAsia="宋体" w:cs="Times New Roman"/>
                <w:b w:val="0"/>
                <w:bCs w:val="0"/>
                <w:sz w:val="15"/>
                <w:szCs w:val="15"/>
              </w:rPr>
            </w:pPr>
            <w:r>
              <w:rPr>
                <w:rFonts w:hint="default" w:ascii="Times New Roman" w:hAnsi="Times New Roman" w:eastAsia="宋体" w:cs="Times New Roman"/>
                <w:b w:val="0"/>
                <w:bCs w:val="0"/>
                <w:sz w:val="15"/>
                <w:szCs w:val="15"/>
              </w:rPr>
              <w:t>/</w:t>
            </w:r>
          </w:p>
        </w:tc>
        <w:tc>
          <w:tcPr>
            <w:tcW w:w="2595" w:type="dxa"/>
            <w:gridSpan w:val="3"/>
            <w:vAlign w:val="center"/>
          </w:tcPr>
          <w:p w14:paraId="6D9A634B">
            <w:pPr>
              <w:spacing w:before="69" w:line="163" w:lineRule="auto"/>
              <w:ind w:left="69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保设施施工单位</w:t>
            </w:r>
          </w:p>
        </w:tc>
        <w:tc>
          <w:tcPr>
            <w:tcW w:w="1091" w:type="dxa"/>
            <w:vAlign w:val="center"/>
          </w:tcPr>
          <w:p w14:paraId="7D1D3574">
            <w:pPr>
              <w:spacing w:before="89" w:line="215"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1C3390AF">
            <w:pPr>
              <w:spacing w:before="69" w:line="163" w:lineRule="auto"/>
              <w:ind w:left="82"/>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工程排污许可证编号</w:t>
            </w:r>
          </w:p>
        </w:tc>
        <w:tc>
          <w:tcPr>
            <w:tcW w:w="3033" w:type="dxa"/>
            <w:gridSpan w:val="3"/>
            <w:tcBorders>
              <w:right w:val="single" w:color="000000" w:sz="6" w:space="0"/>
            </w:tcBorders>
            <w:vAlign w:val="center"/>
          </w:tcPr>
          <w:p w14:paraId="1D8BF4E2">
            <w:pPr>
              <w:spacing w:before="89" w:line="215" w:lineRule="auto"/>
              <w:ind w:left="149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2F1288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textDirection w:val="tbRlV"/>
            <w:vAlign w:val="center"/>
          </w:tcPr>
          <w:p w14:paraId="2A320BC2">
            <w:pPr>
              <w:jc w:val="left"/>
              <w:rPr>
                <w:rFonts w:hint="default" w:ascii="Times New Roman" w:hAnsi="Times New Roman" w:eastAsia="宋体" w:cs="Times New Roman"/>
                <w:sz w:val="15"/>
                <w:szCs w:val="15"/>
              </w:rPr>
            </w:pPr>
          </w:p>
        </w:tc>
        <w:tc>
          <w:tcPr>
            <w:tcW w:w="1964" w:type="dxa"/>
            <w:gridSpan w:val="2"/>
            <w:vAlign w:val="center"/>
          </w:tcPr>
          <w:p w14:paraId="4A03C8AD">
            <w:pPr>
              <w:spacing w:before="70" w:line="163" w:lineRule="auto"/>
              <w:ind w:left="6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验</w:t>
            </w:r>
            <w:r>
              <w:rPr>
                <w:rFonts w:hint="default" w:ascii="Times New Roman" w:hAnsi="Times New Roman" w:eastAsia="宋体" w:cs="Times New Roman"/>
                <w:b/>
                <w:bCs/>
                <w:sz w:val="15"/>
                <w:szCs w:val="15"/>
              </w:rPr>
              <w:t>收单位</w:t>
            </w:r>
          </w:p>
        </w:tc>
        <w:tc>
          <w:tcPr>
            <w:tcW w:w="5119" w:type="dxa"/>
            <w:gridSpan w:val="6"/>
            <w:vAlign w:val="center"/>
          </w:tcPr>
          <w:p w14:paraId="2740419A">
            <w:pPr>
              <w:spacing w:before="70" w:line="163" w:lineRule="auto"/>
              <w:jc w:val="center"/>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color w:val="000000"/>
                <w:sz w:val="15"/>
                <w:szCs w:val="15"/>
                <w:lang w:val="en-US" w:eastAsia="zh-CN"/>
              </w:rPr>
              <w:t>新疆生产建设兵团第十四师水利工程管理服务中心</w:t>
            </w:r>
          </w:p>
        </w:tc>
        <w:tc>
          <w:tcPr>
            <w:tcW w:w="1514" w:type="dxa"/>
            <w:vAlign w:val="center"/>
          </w:tcPr>
          <w:p w14:paraId="7FF941A5">
            <w:pPr>
              <w:spacing w:before="70" w:line="163" w:lineRule="auto"/>
              <w:ind w:left="15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保设施监测单位</w:t>
            </w:r>
          </w:p>
        </w:tc>
        <w:tc>
          <w:tcPr>
            <w:tcW w:w="2172" w:type="dxa"/>
            <w:gridSpan w:val="3"/>
            <w:vAlign w:val="center"/>
          </w:tcPr>
          <w:p w14:paraId="43F22A0B">
            <w:pPr>
              <w:spacing w:before="90" w:line="215" w:lineRule="auto"/>
              <w:ind w:left="1121"/>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2B56C6F7">
            <w:pPr>
              <w:spacing w:before="70" w:line="163" w:lineRule="auto"/>
              <w:ind w:left="30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验</w:t>
            </w:r>
            <w:r>
              <w:rPr>
                <w:rFonts w:hint="default" w:ascii="Times New Roman" w:hAnsi="Times New Roman" w:eastAsia="宋体" w:cs="Times New Roman"/>
                <w:b/>
                <w:bCs/>
                <w:sz w:val="15"/>
                <w:szCs w:val="15"/>
              </w:rPr>
              <w:t>收监测时工况</w:t>
            </w:r>
          </w:p>
        </w:tc>
        <w:tc>
          <w:tcPr>
            <w:tcW w:w="3033" w:type="dxa"/>
            <w:gridSpan w:val="3"/>
            <w:tcBorders>
              <w:right w:val="single" w:color="000000" w:sz="6" w:space="0"/>
            </w:tcBorders>
            <w:vAlign w:val="center"/>
          </w:tcPr>
          <w:p w14:paraId="7370DE50">
            <w:pPr>
              <w:spacing w:before="90" w:line="215" w:lineRule="auto"/>
              <w:ind w:left="149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032E43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textDirection w:val="tbRlV"/>
            <w:vAlign w:val="center"/>
          </w:tcPr>
          <w:p w14:paraId="75107FD1">
            <w:pPr>
              <w:jc w:val="left"/>
              <w:rPr>
                <w:rFonts w:hint="default" w:ascii="Times New Roman" w:hAnsi="Times New Roman" w:eastAsia="宋体" w:cs="Times New Roman"/>
                <w:sz w:val="15"/>
                <w:szCs w:val="15"/>
              </w:rPr>
            </w:pPr>
          </w:p>
        </w:tc>
        <w:tc>
          <w:tcPr>
            <w:tcW w:w="1964" w:type="dxa"/>
            <w:gridSpan w:val="2"/>
            <w:vAlign w:val="center"/>
          </w:tcPr>
          <w:p w14:paraId="1E394E49">
            <w:pPr>
              <w:spacing w:before="69" w:line="163" w:lineRule="auto"/>
              <w:ind w:left="299"/>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6"/>
                <w:sz w:val="15"/>
                <w:szCs w:val="15"/>
              </w:rPr>
              <w:t>投资总概算(万元</w:t>
            </w:r>
            <w:r>
              <w:rPr>
                <w:rFonts w:hint="default" w:ascii="Times New Roman" w:hAnsi="Times New Roman" w:eastAsia="宋体" w:cs="Times New Roman"/>
                <w:b/>
                <w:bCs/>
                <w:spacing w:val="14"/>
                <w:sz w:val="15"/>
                <w:szCs w:val="15"/>
              </w:rPr>
              <w:t>)</w:t>
            </w:r>
          </w:p>
        </w:tc>
        <w:tc>
          <w:tcPr>
            <w:tcW w:w="5119" w:type="dxa"/>
            <w:gridSpan w:val="6"/>
            <w:vAlign w:val="center"/>
          </w:tcPr>
          <w:p w14:paraId="491F3A42">
            <w:pPr>
              <w:spacing w:before="90" w:line="214" w:lineRule="auto"/>
              <w:ind w:left="2351"/>
              <w:jc w:val="left"/>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pacing w:val="-1"/>
                <w:sz w:val="15"/>
                <w:szCs w:val="15"/>
                <w:lang w:val="en-US" w:eastAsia="zh-CN"/>
              </w:rPr>
              <w:t>6030.78</w:t>
            </w:r>
          </w:p>
        </w:tc>
        <w:tc>
          <w:tcPr>
            <w:tcW w:w="2595" w:type="dxa"/>
            <w:gridSpan w:val="3"/>
            <w:vAlign w:val="center"/>
          </w:tcPr>
          <w:p w14:paraId="0A1071BA">
            <w:pPr>
              <w:spacing w:before="69" w:line="163" w:lineRule="auto"/>
              <w:ind w:left="470"/>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3"/>
                <w:sz w:val="15"/>
                <w:szCs w:val="15"/>
              </w:rPr>
              <w:t>环保投资总概算</w:t>
            </w:r>
            <w:r>
              <w:rPr>
                <w:rFonts w:hint="default" w:ascii="Times New Roman" w:hAnsi="Times New Roman" w:eastAsia="宋体" w:cs="Times New Roman"/>
                <w:spacing w:val="13"/>
                <w:sz w:val="15"/>
                <w:szCs w:val="15"/>
              </w:rPr>
              <w:t>(万元)</w:t>
            </w:r>
          </w:p>
        </w:tc>
        <w:tc>
          <w:tcPr>
            <w:tcW w:w="1091" w:type="dxa"/>
            <w:vAlign w:val="center"/>
          </w:tcPr>
          <w:p w14:paraId="323C91A0">
            <w:pPr>
              <w:spacing w:before="90" w:line="187" w:lineRule="auto"/>
              <w:ind w:left="531"/>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2180</w:t>
            </w:r>
          </w:p>
        </w:tc>
        <w:tc>
          <w:tcPr>
            <w:tcW w:w="1766" w:type="dxa"/>
            <w:vAlign w:val="center"/>
          </w:tcPr>
          <w:p w14:paraId="1A54AB80">
            <w:pPr>
              <w:spacing w:before="69" w:line="163" w:lineRule="auto"/>
              <w:ind w:left="30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9"/>
                <w:sz w:val="15"/>
                <w:szCs w:val="15"/>
              </w:rPr>
              <w:t>所</w:t>
            </w:r>
            <w:r>
              <w:rPr>
                <w:rFonts w:hint="default" w:ascii="Times New Roman" w:hAnsi="Times New Roman" w:eastAsia="宋体" w:cs="Times New Roman"/>
                <w:b/>
                <w:bCs/>
                <w:spacing w:val="7"/>
                <w:sz w:val="15"/>
                <w:szCs w:val="15"/>
              </w:rPr>
              <w:t>占比</w:t>
            </w:r>
            <w:r>
              <w:rPr>
                <w:rFonts w:hint="default" w:ascii="Times New Roman" w:hAnsi="Times New Roman" w:eastAsia="宋体" w:cs="Times New Roman"/>
                <w:spacing w:val="7"/>
                <w:sz w:val="15"/>
                <w:szCs w:val="15"/>
              </w:rPr>
              <w:t>例(</w:t>
            </w:r>
            <w:r>
              <w:rPr>
                <w:rFonts w:hint="default" w:ascii="Times New Roman" w:hAnsi="Times New Roman" w:eastAsia="宋体" w:cs="Times New Roman"/>
                <w:b/>
                <w:bCs/>
                <w:spacing w:val="7"/>
                <w:sz w:val="15"/>
                <w:szCs w:val="15"/>
              </w:rPr>
              <w:t>%</w:t>
            </w:r>
            <w:r>
              <w:rPr>
                <w:rFonts w:hint="default" w:ascii="Times New Roman" w:hAnsi="Times New Roman" w:eastAsia="宋体" w:cs="Times New Roman"/>
                <w:spacing w:val="7"/>
                <w:sz w:val="15"/>
                <w:szCs w:val="15"/>
              </w:rPr>
              <w:t>)</w:t>
            </w:r>
          </w:p>
        </w:tc>
        <w:tc>
          <w:tcPr>
            <w:tcW w:w="3033" w:type="dxa"/>
            <w:gridSpan w:val="3"/>
            <w:tcBorders>
              <w:right w:val="single" w:color="000000" w:sz="6" w:space="0"/>
            </w:tcBorders>
            <w:vAlign w:val="center"/>
          </w:tcPr>
          <w:p w14:paraId="4632775B">
            <w:pPr>
              <w:spacing w:before="90" w:line="214" w:lineRule="auto"/>
              <w:ind w:left="1384"/>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36.15</w:t>
            </w:r>
          </w:p>
        </w:tc>
      </w:tr>
      <w:tr w14:paraId="27932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0" w:hRule="atLeast"/>
        </w:trPr>
        <w:tc>
          <w:tcPr>
            <w:tcW w:w="439" w:type="dxa"/>
            <w:vMerge w:val="continue"/>
            <w:tcBorders>
              <w:top w:val="nil"/>
              <w:left w:val="single" w:color="000000" w:sz="6" w:space="0"/>
              <w:bottom w:val="nil"/>
            </w:tcBorders>
            <w:textDirection w:val="tbRlV"/>
            <w:vAlign w:val="center"/>
          </w:tcPr>
          <w:p w14:paraId="2007A697">
            <w:pPr>
              <w:jc w:val="left"/>
              <w:rPr>
                <w:rFonts w:hint="default" w:ascii="Times New Roman" w:hAnsi="Times New Roman" w:eastAsia="宋体" w:cs="Times New Roman"/>
                <w:sz w:val="15"/>
                <w:szCs w:val="15"/>
              </w:rPr>
            </w:pPr>
          </w:p>
        </w:tc>
        <w:tc>
          <w:tcPr>
            <w:tcW w:w="1964" w:type="dxa"/>
            <w:gridSpan w:val="2"/>
            <w:vAlign w:val="center"/>
          </w:tcPr>
          <w:p w14:paraId="07980175">
            <w:pPr>
              <w:spacing w:before="89" w:line="178" w:lineRule="auto"/>
              <w:ind w:left="601"/>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实</w:t>
            </w:r>
            <w:r>
              <w:rPr>
                <w:rFonts w:hint="default" w:ascii="Times New Roman" w:hAnsi="Times New Roman" w:eastAsia="宋体" w:cs="Times New Roman"/>
                <w:b/>
                <w:bCs/>
                <w:sz w:val="15"/>
                <w:szCs w:val="15"/>
              </w:rPr>
              <w:t>际总投资</w:t>
            </w:r>
          </w:p>
        </w:tc>
        <w:tc>
          <w:tcPr>
            <w:tcW w:w="5119" w:type="dxa"/>
            <w:gridSpan w:val="6"/>
            <w:vAlign w:val="center"/>
          </w:tcPr>
          <w:p w14:paraId="2E6EFC5A">
            <w:pPr>
              <w:spacing w:before="109" w:line="230" w:lineRule="auto"/>
              <w:ind w:left="2351"/>
              <w:jc w:val="left"/>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z w:val="15"/>
                <w:szCs w:val="15"/>
                <w:lang w:val="en-US" w:eastAsia="zh-CN"/>
              </w:rPr>
              <w:t>6030.78</w:t>
            </w:r>
          </w:p>
        </w:tc>
        <w:tc>
          <w:tcPr>
            <w:tcW w:w="2595" w:type="dxa"/>
            <w:gridSpan w:val="3"/>
            <w:vAlign w:val="center"/>
          </w:tcPr>
          <w:p w14:paraId="787484E0">
            <w:pPr>
              <w:spacing w:before="89" w:line="178" w:lineRule="auto"/>
              <w:ind w:left="548"/>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4"/>
                <w:sz w:val="15"/>
                <w:szCs w:val="15"/>
              </w:rPr>
              <w:t>实际环保投</w:t>
            </w:r>
            <w:r>
              <w:rPr>
                <w:rFonts w:hint="default" w:ascii="Times New Roman" w:hAnsi="Times New Roman" w:eastAsia="宋体" w:cs="Times New Roman"/>
                <w:spacing w:val="14"/>
                <w:sz w:val="15"/>
                <w:szCs w:val="15"/>
              </w:rPr>
              <w:t>资(</w:t>
            </w:r>
            <w:r>
              <w:rPr>
                <w:rFonts w:hint="default" w:ascii="Times New Roman" w:hAnsi="Times New Roman" w:eastAsia="宋体" w:cs="Times New Roman"/>
                <w:b/>
                <w:bCs/>
                <w:spacing w:val="14"/>
                <w:sz w:val="15"/>
                <w:szCs w:val="15"/>
              </w:rPr>
              <w:t>万元</w:t>
            </w:r>
            <w:r>
              <w:rPr>
                <w:rFonts w:hint="default" w:ascii="Times New Roman" w:hAnsi="Times New Roman" w:eastAsia="宋体" w:cs="Times New Roman"/>
                <w:spacing w:val="13"/>
                <w:sz w:val="15"/>
                <w:szCs w:val="15"/>
              </w:rPr>
              <w:t>)</w:t>
            </w:r>
          </w:p>
        </w:tc>
        <w:tc>
          <w:tcPr>
            <w:tcW w:w="1091" w:type="dxa"/>
            <w:vAlign w:val="center"/>
          </w:tcPr>
          <w:p w14:paraId="7D8983E0">
            <w:pPr>
              <w:spacing w:before="110" w:line="187" w:lineRule="auto"/>
              <w:ind w:left="530"/>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2180</w:t>
            </w:r>
          </w:p>
        </w:tc>
        <w:tc>
          <w:tcPr>
            <w:tcW w:w="1766" w:type="dxa"/>
            <w:vAlign w:val="center"/>
          </w:tcPr>
          <w:p w14:paraId="5CBD6E59">
            <w:pPr>
              <w:spacing w:before="89" w:line="178" w:lineRule="auto"/>
              <w:ind w:left="30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9"/>
                <w:sz w:val="15"/>
                <w:szCs w:val="15"/>
              </w:rPr>
              <w:t>所</w:t>
            </w:r>
            <w:r>
              <w:rPr>
                <w:rFonts w:hint="default" w:ascii="Times New Roman" w:hAnsi="Times New Roman" w:eastAsia="宋体" w:cs="Times New Roman"/>
                <w:b/>
                <w:bCs/>
                <w:spacing w:val="7"/>
                <w:sz w:val="15"/>
                <w:szCs w:val="15"/>
              </w:rPr>
              <w:t>占比</w:t>
            </w:r>
            <w:r>
              <w:rPr>
                <w:rFonts w:hint="default" w:ascii="Times New Roman" w:hAnsi="Times New Roman" w:eastAsia="宋体" w:cs="Times New Roman"/>
                <w:spacing w:val="7"/>
                <w:sz w:val="15"/>
                <w:szCs w:val="15"/>
              </w:rPr>
              <w:t>例(</w:t>
            </w:r>
            <w:r>
              <w:rPr>
                <w:rFonts w:hint="default" w:ascii="Times New Roman" w:hAnsi="Times New Roman" w:eastAsia="宋体" w:cs="Times New Roman"/>
                <w:b/>
                <w:bCs/>
                <w:spacing w:val="7"/>
                <w:sz w:val="15"/>
                <w:szCs w:val="15"/>
              </w:rPr>
              <w:t>%</w:t>
            </w:r>
            <w:r>
              <w:rPr>
                <w:rFonts w:hint="default" w:ascii="Times New Roman" w:hAnsi="Times New Roman" w:eastAsia="宋体" w:cs="Times New Roman"/>
                <w:spacing w:val="7"/>
                <w:sz w:val="15"/>
                <w:szCs w:val="15"/>
              </w:rPr>
              <w:t>)</w:t>
            </w:r>
          </w:p>
        </w:tc>
        <w:tc>
          <w:tcPr>
            <w:tcW w:w="3033" w:type="dxa"/>
            <w:gridSpan w:val="3"/>
            <w:tcBorders>
              <w:right w:val="single" w:color="000000" w:sz="6" w:space="0"/>
            </w:tcBorders>
            <w:vAlign w:val="center"/>
          </w:tcPr>
          <w:p w14:paraId="69C3CBAD">
            <w:pPr>
              <w:spacing w:before="109" w:line="230" w:lineRule="auto"/>
              <w:ind w:left="1384"/>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36.15</w:t>
            </w:r>
          </w:p>
        </w:tc>
      </w:tr>
      <w:tr w14:paraId="5591CB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textDirection w:val="tbRlV"/>
            <w:vAlign w:val="center"/>
          </w:tcPr>
          <w:p w14:paraId="427EA144">
            <w:pPr>
              <w:jc w:val="left"/>
              <w:rPr>
                <w:rFonts w:hint="default" w:ascii="Times New Roman" w:hAnsi="Times New Roman" w:eastAsia="宋体" w:cs="Times New Roman"/>
                <w:sz w:val="15"/>
                <w:szCs w:val="15"/>
              </w:rPr>
            </w:pPr>
          </w:p>
        </w:tc>
        <w:tc>
          <w:tcPr>
            <w:tcW w:w="1964" w:type="dxa"/>
            <w:gridSpan w:val="2"/>
            <w:vAlign w:val="center"/>
          </w:tcPr>
          <w:p w14:paraId="2F62B065">
            <w:pPr>
              <w:spacing w:before="71" w:line="161" w:lineRule="auto"/>
              <w:ind w:left="374"/>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22"/>
                <w:sz w:val="15"/>
                <w:szCs w:val="15"/>
              </w:rPr>
              <w:t>废</w:t>
            </w:r>
            <w:r>
              <w:rPr>
                <w:rFonts w:hint="default" w:ascii="Times New Roman" w:hAnsi="Times New Roman" w:eastAsia="宋体" w:cs="Times New Roman"/>
                <w:b/>
                <w:bCs/>
                <w:spacing w:val="17"/>
                <w:sz w:val="15"/>
                <w:szCs w:val="15"/>
              </w:rPr>
              <w:t>水治理(万元)</w:t>
            </w:r>
          </w:p>
        </w:tc>
        <w:tc>
          <w:tcPr>
            <w:tcW w:w="827" w:type="dxa"/>
            <w:vAlign w:val="center"/>
          </w:tcPr>
          <w:p w14:paraId="7600DF4E">
            <w:pPr>
              <w:spacing w:before="91" w:line="187" w:lineRule="auto"/>
              <w:ind w:left="370"/>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2000</w:t>
            </w:r>
          </w:p>
        </w:tc>
        <w:tc>
          <w:tcPr>
            <w:tcW w:w="1280" w:type="dxa"/>
            <w:vAlign w:val="center"/>
          </w:tcPr>
          <w:p w14:paraId="21932C65">
            <w:pPr>
              <w:spacing w:before="71" w:line="161" w:lineRule="auto"/>
              <w:ind w:left="81"/>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22"/>
                <w:sz w:val="15"/>
                <w:szCs w:val="15"/>
              </w:rPr>
              <w:t>废</w:t>
            </w:r>
            <w:r>
              <w:rPr>
                <w:rFonts w:hint="default" w:ascii="Times New Roman" w:hAnsi="Times New Roman" w:eastAsia="宋体" w:cs="Times New Roman"/>
                <w:b/>
                <w:bCs/>
                <w:spacing w:val="17"/>
                <w:sz w:val="15"/>
                <w:szCs w:val="15"/>
              </w:rPr>
              <w:t>气治理(万元)</w:t>
            </w:r>
          </w:p>
        </w:tc>
        <w:tc>
          <w:tcPr>
            <w:tcW w:w="1166" w:type="dxa"/>
            <w:vAlign w:val="center"/>
          </w:tcPr>
          <w:p w14:paraId="05492241">
            <w:pPr>
              <w:spacing w:before="91" w:line="187" w:lineRule="auto"/>
              <w:ind w:left="510"/>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35</w:t>
            </w:r>
          </w:p>
        </w:tc>
        <w:tc>
          <w:tcPr>
            <w:tcW w:w="1357" w:type="dxa"/>
            <w:gridSpan w:val="2"/>
            <w:vAlign w:val="center"/>
          </w:tcPr>
          <w:p w14:paraId="3B650449">
            <w:pPr>
              <w:spacing w:before="71" w:line="161" w:lineRule="auto"/>
              <w:ind w:left="69"/>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7"/>
                <w:sz w:val="15"/>
                <w:szCs w:val="15"/>
              </w:rPr>
              <w:t>噪声治理(万元</w:t>
            </w:r>
            <w:r>
              <w:rPr>
                <w:rFonts w:hint="default" w:ascii="Times New Roman" w:hAnsi="Times New Roman" w:eastAsia="宋体" w:cs="Times New Roman"/>
                <w:b/>
                <w:bCs/>
                <w:spacing w:val="16"/>
                <w:sz w:val="15"/>
                <w:szCs w:val="15"/>
              </w:rPr>
              <w:t>)</w:t>
            </w:r>
          </w:p>
        </w:tc>
        <w:tc>
          <w:tcPr>
            <w:tcW w:w="489" w:type="dxa"/>
            <w:vAlign w:val="center"/>
          </w:tcPr>
          <w:p w14:paraId="179AD121">
            <w:pPr>
              <w:spacing w:before="91" w:line="187" w:lineRule="auto"/>
              <w:ind w:left="207"/>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15</w:t>
            </w:r>
          </w:p>
        </w:tc>
        <w:tc>
          <w:tcPr>
            <w:tcW w:w="2595" w:type="dxa"/>
            <w:gridSpan w:val="3"/>
            <w:vAlign w:val="center"/>
          </w:tcPr>
          <w:p w14:paraId="7457BBFA">
            <w:pPr>
              <w:spacing w:before="71" w:line="161" w:lineRule="auto"/>
              <w:ind w:left="55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8"/>
                <w:sz w:val="15"/>
                <w:szCs w:val="15"/>
              </w:rPr>
              <w:t>固</w:t>
            </w:r>
            <w:r>
              <w:rPr>
                <w:rFonts w:hint="default" w:ascii="Times New Roman" w:hAnsi="Times New Roman" w:eastAsia="宋体" w:cs="Times New Roman"/>
                <w:b/>
                <w:bCs/>
                <w:spacing w:val="13"/>
                <w:sz w:val="15"/>
                <w:szCs w:val="15"/>
              </w:rPr>
              <w:t>体废物治</w:t>
            </w:r>
            <w:r>
              <w:rPr>
                <w:rFonts w:hint="default" w:ascii="Times New Roman" w:hAnsi="Times New Roman" w:eastAsia="宋体" w:cs="Times New Roman"/>
                <w:spacing w:val="13"/>
                <w:sz w:val="15"/>
                <w:szCs w:val="15"/>
              </w:rPr>
              <w:t>理(</w:t>
            </w:r>
            <w:r>
              <w:rPr>
                <w:rFonts w:hint="default" w:ascii="Times New Roman" w:hAnsi="Times New Roman" w:eastAsia="宋体" w:cs="Times New Roman"/>
                <w:b/>
                <w:bCs/>
                <w:spacing w:val="13"/>
                <w:sz w:val="15"/>
                <w:szCs w:val="15"/>
              </w:rPr>
              <w:t>万元</w:t>
            </w:r>
            <w:r>
              <w:rPr>
                <w:rFonts w:hint="default" w:ascii="Times New Roman" w:hAnsi="Times New Roman" w:eastAsia="宋体" w:cs="Times New Roman"/>
                <w:spacing w:val="13"/>
                <w:sz w:val="15"/>
                <w:szCs w:val="15"/>
              </w:rPr>
              <w:t>)</w:t>
            </w:r>
          </w:p>
        </w:tc>
        <w:tc>
          <w:tcPr>
            <w:tcW w:w="1091" w:type="dxa"/>
            <w:vAlign w:val="center"/>
          </w:tcPr>
          <w:p w14:paraId="35CEA824">
            <w:pPr>
              <w:spacing w:before="91" w:line="187" w:lineRule="auto"/>
              <w:ind w:left="571"/>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z w:val="15"/>
                <w:szCs w:val="15"/>
                <w:lang w:val="en-US" w:eastAsia="zh-CN"/>
              </w:rPr>
              <w:t>5</w:t>
            </w:r>
          </w:p>
        </w:tc>
        <w:tc>
          <w:tcPr>
            <w:tcW w:w="1766" w:type="dxa"/>
            <w:vAlign w:val="center"/>
          </w:tcPr>
          <w:p w14:paraId="66068858">
            <w:pPr>
              <w:spacing w:before="71" w:line="161" w:lineRule="auto"/>
              <w:ind w:left="15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6"/>
                <w:sz w:val="15"/>
                <w:szCs w:val="15"/>
              </w:rPr>
              <w:t>绿化及生态</w:t>
            </w:r>
            <w:r>
              <w:rPr>
                <w:rFonts w:hint="default" w:ascii="Times New Roman" w:hAnsi="Times New Roman" w:eastAsia="宋体" w:cs="Times New Roman"/>
                <w:spacing w:val="16"/>
                <w:sz w:val="15"/>
                <w:szCs w:val="15"/>
              </w:rPr>
              <w:t>(万元</w:t>
            </w:r>
            <w:r>
              <w:rPr>
                <w:rFonts w:hint="default" w:ascii="Times New Roman" w:hAnsi="Times New Roman" w:eastAsia="宋体" w:cs="Times New Roman"/>
                <w:spacing w:val="15"/>
                <w:sz w:val="15"/>
                <w:szCs w:val="15"/>
              </w:rPr>
              <w:t>)</w:t>
            </w:r>
          </w:p>
        </w:tc>
        <w:tc>
          <w:tcPr>
            <w:tcW w:w="1079" w:type="dxa"/>
            <w:vAlign w:val="center"/>
          </w:tcPr>
          <w:p w14:paraId="43C23382">
            <w:pPr>
              <w:spacing w:before="91" w:line="187" w:lineRule="auto"/>
              <w:ind w:left="472"/>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2"/>
                <w:sz w:val="15"/>
                <w:szCs w:val="15"/>
                <w:lang w:val="en-US" w:eastAsia="zh-CN"/>
              </w:rPr>
              <w:t>15</w:t>
            </w:r>
          </w:p>
        </w:tc>
        <w:tc>
          <w:tcPr>
            <w:tcW w:w="1026" w:type="dxa"/>
            <w:vAlign w:val="center"/>
          </w:tcPr>
          <w:p w14:paraId="60B78877">
            <w:pPr>
              <w:spacing w:before="71" w:line="161" w:lineRule="auto"/>
              <w:ind w:left="70"/>
              <w:jc w:val="left"/>
              <w:rPr>
                <w:rFonts w:hint="default" w:ascii="Times New Roman" w:hAnsi="Times New Roman" w:eastAsia="宋体" w:cs="Times New Roman"/>
                <w:sz w:val="15"/>
                <w:szCs w:val="15"/>
              </w:rPr>
            </w:pPr>
            <w:r>
              <w:rPr>
                <w:rFonts w:hint="default" w:ascii="Times New Roman" w:hAnsi="Times New Roman" w:eastAsia="宋体" w:cs="Times New Roman"/>
                <w:spacing w:val="25"/>
                <w:sz w:val="15"/>
                <w:szCs w:val="15"/>
              </w:rPr>
              <w:t>其</w:t>
            </w:r>
            <w:r>
              <w:rPr>
                <w:rFonts w:hint="default" w:ascii="Times New Roman" w:hAnsi="Times New Roman" w:eastAsia="宋体" w:cs="Times New Roman"/>
                <w:spacing w:val="23"/>
                <w:sz w:val="15"/>
                <w:szCs w:val="15"/>
              </w:rPr>
              <w:t>他(</w:t>
            </w:r>
            <w:r>
              <w:rPr>
                <w:rFonts w:hint="default" w:ascii="Times New Roman" w:hAnsi="Times New Roman" w:eastAsia="宋体" w:cs="Times New Roman"/>
                <w:b/>
                <w:bCs/>
                <w:spacing w:val="23"/>
                <w:sz w:val="15"/>
                <w:szCs w:val="15"/>
              </w:rPr>
              <w:t>万元</w:t>
            </w:r>
            <w:r>
              <w:rPr>
                <w:rFonts w:hint="default" w:ascii="Times New Roman" w:hAnsi="Times New Roman" w:eastAsia="宋体" w:cs="Times New Roman"/>
                <w:spacing w:val="23"/>
                <w:sz w:val="15"/>
                <w:szCs w:val="15"/>
              </w:rPr>
              <w:t>)</w:t>
            </w:r>
          </w:p>
        </w:tc>
        <w:tc>
          <w:tcPr>
            <w:tcW w:w="928" w:type="dxa"/>
            <w:tcBorders>
              <w:right w:val="single" w:color="000000" w:sz="6" w:space="0"/>
            </w:tcBorders>
            <w:vAlign w:val="center"/>
          </w:tcPr>
          <w:p w14:paraId="72CA89AC">
            <w:pPr>
              <w:spacing w:before="91" w:line="187" w:lineRule="auto"/>
              <w:ind w:left="430"/>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z w:val="15"/>
                <w:szCs w:val="15"/>
                <w:lang w:val="en-US" w:eastAsia="zh-CN"/>
              </w:rPr>
              <w:t>110</w:t>
            </w:r>
          </w:p>
        </w:tc>
      </w:tr>
      <w:tr w14:paraId="71586F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9" w:hRule="atLeast"/>
        </w:trPr>
        <w:tc>
          <w:tcPr>
            <w:tcW w:w="439" w:type="dxa"/>
            <w:vMerge w:val="continue"/>
            <w:tcBorders>
              <w:top w:val="nil"/>
              <w:left w:val="single" w:color="000000" w:sz="6" w:space="0"/>
            </w:tcBorders>
            <w:textDirection w:val="tbRlV"/>
            <w:vAlign w:val="center"/>
          </w:tcPr>
          <w:p w14:paraId="509DFE29">
            <w:pPr>
              <w:jc w:val="left"/>
              <w:rPr>
                <w:rFonts w:hint="default" w:ascii="Times New Roman" w:hAnsi="Times New Roman" w:eastAsia="宋体" w:cs="Times New Roman"/>
                <w:sz w:val="15"/>
                <w:szCs w:val="15"/>
              </w:rPr>
            </w:pPr>
          </w:p>
        </w:tc>
        <w:tc>
          <w:tcPr>
            <w:tcW w:w="1964" w:type="dxa"/>
            <w:gridSpan w:val="2"/>
            <w:vAlign w:val="center"/>
          </w:tcPr>
          <w:p w14:paraId="3EB08B60">
            <w:pPr>
              <w:spacing w:before="74" w:line="163" w:lineRule="auto"/>
              <w:ind w:left="22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新增废</w:t>
            </w:r>
            <w:r>
              <w:rPr>
                <w:rFonts w:hint="default" w:ascii="Times New Roman" w:hAnsi="Times New Roman" w:eastAsia="宋体" w:cs="Times New Roman"/>
                <w:b/>
                <w:bCs/>
                <w:sz w:val="15"/>
                <w:szCs w:val="15"/>
              </w:rPr>
              <w:t>水处理设施能力</w:t>
            </w:r>
          </w:p>
        </w:tc>
        <w:tc>
          <w:tcPr>
            <w:tcW w:w="5119" w:type="dxa"/>
            <w:gridSpan w:val="6"/>
            <w:vAlign w:val="center"/>
          </w:tcPr>
          <w:p w14:paraId="14C67D14">
            <w:pPr>
              <w:spacing w:before="94" w:line="215" w:lineRule="auto"/>
              <w:ind w:left="253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2595" w:type="dxa"/>
            <w:gridSpan w:val="3"/>
            <w:vAlign w:val="center"/>
          </w:tcPr>
          <w:p w14:paraId="7CA8FFF2">
            <w:pPr>
              <w:spacing w:before="74" w:line="163" w:lineRule="auto"/>
              <w:ind w:left="54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新增废</w:t>
            </w:r>
            <w:r>
              <w:rPr>
                <w:rFonts w:hint="default" w:ascii="Times New Roman" w:hAnsi="Times New Roman" w:eastAsia="宋体" w:cs="Times New Roman"/>
                <w:b/>
                <w:bCs/>
                <w:sz w:val="15"/>
                <w:szCs w:val="15"/>
              </w:rPr>
              <w:t>气处理设施能力</w:t>
            </w:r>
          </w:p>
        </w:tc>
        <w:tc>
          <w:tcPr>
            <w:tcW w:w="1091" w:type="dxa"/>
            <w:vAlign w:val="center"/>
          </w:tcPr>
          <w:p w14:paraId="45115E6F">
            <w:pPr>
              <w:spacing w:before="94" w:line="215"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3C2DA435">
            <w:pPr>
              <w:spacing w:before="74" w:line="163"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年平均工作时</w:t>
            </w:r>
          </w:p>
        </w:tc>
        <w:tc>
          <w:tcPr>
            <w:tcW w:w="3033" w:type="dxa"/>
            <w:gridSpan w:val="3"/>
            <w:tcBorders>
              <w:right w:val="single" w:color="000000" w:sz="6" w:space="0"/>
            </w:tcBorders>
            <w:vAlign w:val="center"/>
          </w:tcPr>
          <w:p w14:paraId="18DEF205">
            <w:pPr>
              <w:spacing w:before="94" w:line="215" w:lineRule="auto"/>
              <w:ind w:left="149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0C509D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2403" w:type="dxa"/>
            <w:gridSpan w:val="3"/>
            <w:tcBorders>
              <w:left w:val="single" w:color="000000" w:sz="6" w:space="0"/>
            </w:tcBorders>
            <w:vAlign w:val="center"/>
          </w:tcPr>
          <w:p w14:paraId="5ACC6590">
            <w:pPr>
              <w:spacing w:before="74" w:line="161" w:lineRule="auto"/>
              <w:ind w:left="894"/>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运</w:t>
            </w:r>
            <w:r>
              <w:rPr>
                <w:rFonts w:hint="default" w:ascii="Times New Roman" w:hAnsi="Times New Roman" w:eastAsia="宋体" w:cs="Times New Roman"/>
                <w:b/>
                <w:bCs/>
                <w:sz w:val="15"/>
                <w:szCs w:val="15"/>
              </w:rPr>
              <w:t>营单位</w:t>
            </w:r>
          </w:p>
        </w:tc>
        <w:tc>
          <w:tcPr>
            <w:tcW w:w="4057" w:type="dxa"/>
            <w:gridSpan w:val="4"/>
            <w:vAlign w:val="center"/>
          </w:tcPr>
          <w:p w14:paraId="3780CDE5">
            <w:pPr>
              <w:spacing w:before="74" w:line="161" w:lineRule="auto"/>
              <w:jc w:val="left"/>
              <w:rPr>
                <w:rFonts w:hint="default" w:ascii="Times New Roman" w:hAnsi="Times New Roman" w:eastAsia="宋体" w:cs="Times New Roman"/>
                <w:sz w:val="15"/>
                <w:szCs w:val="15"/>
              </w:rPr>
            </w:pPr>
            <w:r>
              <w:rPr>
                <w:rFonts w:hint="default" w:ascii="Times New Roman" w:hAnsi="Times New Roman" w:eastAsia="宋体" w:cs="Times New Roman"/>
                <w:b/>
                <w:bCs/>
                <w:color w:val="000000"/>
                <w:sz w:val="15"/>
                <w:szCs w:val="15"/>
                <w:lang w:val="en-US" w:eastAsia="zh-CN"/>
              </w:rPr>
              <w:t>新疆生产建设兵团第十四师水利工程管理服务中心</w:t>
            </w:r>
          </w:p>
        </w:tc>
        <w:tc>
          <w:tcPr>
            <w:tcW w:w="3283" w:type="dxa"/>
            <w:gridSpan w:val="4"/>
            <w:vAlign w:val="center"/>
          </w:tcPr>
          <w:p w14:paraId="5A40B846">
            <w:pPr>
              <w:spacing w:before="74" w:line="161" w:lineRule="auto"/>
              <w:ind w:left="6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7"/>
                <w:sz w:val="15"/>
                <w:szCs w:val="15"/>
              </w:rPr>
              <w:t>运营单位社会统一信用代</w:t>
            </w:r>
            <w:r>
              <w:rPr>
                <w:rFonts w:hint="default" w:ascii="Times New Roman" w:hAnsi="Times New Roman" w:eastAsia="宋体" w:cs="Times New Roman"/>
                <w:spacing w:val="7"/>
                <w:sz w:val="15"/>
                <w:szCs w:val="15"/>
              </w:rPr>
              <w:t>码(</w:t>
            </w:r>
            <w:r>
              <w:rPr>
                <w:rFonts w:hint="default" w:ascii="Times New Roman" w:hAnsi="Times New Roman" w:eastAsia="宋体" w:cs="Times New Roman"/>
                <w:b/>
                <w:bCs/>
                <w:spacing w:val="7"/>
                <w:sz w:val="15"/>
                <w:szCs w:val="15"/>
              </w:rPr>
              <w:t>或组织机构代</w:t>
            </w:r>
            <w:r>
              <w:rPr>
                <w:rFonts w:hint="default" w:ascii="Times New Roman" w:hAnsi="Times New Roman" w:eastAsia="宋体" w:cs="Times New Roman"/>
                <w:spacing w:val="7"/>
                <w:sz w:val="15"/>
                <w:szCs w:val="15"/>
              </w:rPr>
              <w:t>码</w:t>
            </w:r>
            <w:r>
              <w:rPr>
                <w:rFonts w:hint="default" w:ascii="Times New Roman" w:hAnsi="Times New Roman" w:eastAsia="宋体" w:cs="Times New Roman"/>
                <w:spacing w:val="3"/>
                <w:sz w:val="15"/>
                <w:szCs w:val="15"/>
              </w:rPr>
              <w:t>)</w:t>
            </w:r>
          </w:p>
        </w:tc>
        <w:tc>
          <w:tcPr>
            <w:tcW w:w="1465" w:type="dxa"/>
            <w:gridSpan w:val="2"/>
            <w:vAlign w:val="center"/>
          </w:tcPr>
          <w:p w14:paraId="58106531">
            <w:pPr>
              <w:spacing w:before="94" w:line="212" w:lineRule="auto"/>
              <w:jc w:val="left"/>
              <w:rPr>
                <w:rFonts w:hint="default" w:ascii="Times New Roman" w:hAnsi="Times New Roman" w:eastAsia="宋体" w:cs="Times New Roman"/>
                <w:sz w:val="15"/>
                <w:szCs w:val="15"/>
                <w:lang w:val="en-US"/>
              </w:rPr>
            </w:pPr>
            <w:r>
              <w:rPr>
                <w:rFonts w:hint="default" w:ascii="Times New Roman" w:hAnsi="Times New Roman" w:eastAsia="宋体" w:cs="Times New Roman"/>
                <w:b/>
                <w:bCs/>
                <w:sz w:val="15"/>
                <w:szCs w:val="15"/>
                <w:lang w:val="en-US" w:eastAsia="zh-CN"/>
              </w:rPr>
              <w:t>12991400MB1D84519C</w:t>
            </w:r>
          </w:p>
        </w:tc>
        <w:tc>
          <w:tcPr>
            <w:tcW w:w="1766" w:type="dxa"/>
            <w:vAlign w:val="center"/>
          </w:tcPr>
          <w:p w14:paraId="42E412E5">
            <w:pPr>
              <w:spacing w:before="74" w:line="161" w:lineRule="auto"/>
              <w:ind w:left="53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验</w:t>
            </w:r>
            <w:r>
              <w:rPr>
                <w:rFonts w:hint="default" w:ascii="Times New Roman" w:hAnsi="Times New Roman" w:eastAsia="宋体" w:cs="Times New Roman"/>
                <w:b/>
                <w:bCs/>
                <w:sz w:val="15"/>
                <w:szCs w:val="15"/>
              </w:rPr>
              <w:t>收时间</w:t>
            </w:r>
          </w:p>
        </w:tc>
        <w:tc>
          <w:tcPr>
            <w:tcW w:w="3033" w:type="dxa"/>
            <w:gridSpan w:val="3"/>
            <w:tcBorders>
              <w:right w:val="single" w:color="000000" w:sz="6" w:space="0"/>
            </w:tcBorders>
            <w:vAlign w:val="center"/>
          </w:tcPr>
          <w:p w14:paraId="64CADF7F">
            <w:pPr>
              <w:spacing w:before="74" w:line="161" w:lineRule="auto"/>
              <w:ind w:left="114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highlight w:val="none"/>
              </w:rPr>
              <w:t>2</w:t>
            </w:r>
            <w:r>
              <w:rPr>
                <w:rFonts w:hint="default" w:ascii="Times New Roman" w:hAnsi="Times New Roman" w:eastAsia="宋体" w:cs="Times New Roman"/>
                <w:b/>
                <w:bCs/>
                <w:sz w:val="15"/>
                <w:szCs w:val="15"/>
                <w:highlight w:val="none"/>
              </w:rPr>
              <w:t>02</w:t>
            </w:r>
            <w:r>
              <w:rPr>
                <w:rFonts w:hint="eastAsia" w:ascii="Times New Roman" w:hAnsi="Times New Roman" w:eastAsia="宋体" w:cs="Times New Roman"/>
                <w:b/>
                <w:bCs/>
                <w:sz w:val="15"/>
                <w:szCs w:val="15"/>
                <w:highlight w:val="none"/>
                <w:lang w:val="en-US" w:eastAsia="zh-CN"/>
              </w:rPr>
              <w:t>4</w:t>
            </w:r>
            <w:r>
              <w:rPr>
                <w:rFonts w:hint="default" w:ascii="Times New Roman" w:hAnsi="Times New Roman" w:eastAsia="宋体" w:cs="Times New Roman"/>
                <w:b/>
                <w:bCs/>
                <w:sz w:val="15"/>
                <w:szCs w:val="15"/>
                <w:highlight w:val="none"/>
              </w:rPr>
              <w:t>年</w:t>
            </w:r>
            <w:r>
              <w:rPr>
                <w:rFonts w:hint="eastAsia" w:ascii="Times New Roman" w:hAnsi="Times New Roman" w:eastAsia="宋体" w:cs="Times New Roman"/>
                <w:b/>
                <w:bCs/>
                <w:sz w:val="15"/>
                <w:szCs w:val="15"/>
                <w:highlight w:val="none"/>
                <w:lang w:val="en-US" w:eastAsia="zh-CN"/>
              </w:rPr>
              <w:t>8</w:t>
            </w:r>
            <w:r>
              <w:rPr>
                <w:rFonts w:hint="default" w:ascii="Times New Roman" w:hAnsi="Times New Roman" w:eastAsia="宋体" w:cs="Times New Roman"/>
                <w:b/>
                <w:bCs/>
                <w:sz w:val="15"/>
                <w:szCs w:val="15"/>
                <w:highlight w:val="none"/>
              </w:rPr>
              <w:t>月</w:t>
            </w:r>
          </w:p>
        </w:tc>
      </w:tr>
      <w:tr w14:paraId="41E6F6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trPr>
        <w:tc>
          <w:tcPr>
            <w:tcW w:w="439" w:type="dxa"/>
            <w:vMerge w:val="restart"/>
            <w:tcBorders>
              <w:left w:val="single" w:color="000000" w:sz="6" w:space="0"/>
              <w:bottom w:val="nil"/>
            </w:tcBorders>
            <w:vAlign w:val="center"/>
          </w:tcPr>
          <w:p w14:paraId="08CEC7E6">
            <w:pPr>
              <w:spacing w:line="253" w:lineRule="auto"/>
              <w:jc w:val="left"/>
              <w:rPr>
                <w:rFonts w:hint="default" w:ascii="Times New Roman" w:hAnsi="Times New Roman" w:eastAsia="宋体" w:cs="Times New Roman"/>
                <w:sz w:val="15"/>
                <w:szCs w:val="15"/>
              </w:rPr>
            </w:pPr>
          </w:p>
          <w:p w14:paraId="5B6F6FEB">
            <w:pPr>
              <w:spacing w:line="254" w:lineRule="auto"/>
              <w:jc w:val="left"/>
              <w:rPr>
                <w:rFonts w:hint="default" w:ascii="Times New Roman" w:hAnsi="Times New Roman" w:eastAsia="宋体" w:cs="Times New Roman"/>
                <w:sz w:val="15"/>
                <w:szCs w:val="15"/>
              </w:rPr>
            </w:pPr>
          </w:p>
          <w:p w14:paraId="6640D081">
            <w:pPr>
              <w:tabs>
                <w:tab w:val="left" w:pos="116"/>
              </w:tabs>
              <w:spacing w:before="64" w:line="227" w:lineRule="auto"/>
              <w:ind w:left="42" w:right="50" w:firstLine="17"/>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污</w:t>
            </w:r>
            <w:r>
              <w:rPr>
                <w:rFonts w:hint="default" w:ascii="Times New Roman" w:hAnsi="Times New Roman" w:eastAsia="宋体" w:cs="Times New Roman"/>
                <w:b/>
                <w:bCs/>
                <w:sz w:val="15"/>
                <w:szCs w:val="15"/>
              </w:rPr>
              <w:t>染</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物</w:t>
            </w:r>
            <w:r>
              <w:rPr>
                <w:rFonts w:hint="default" w:ascii="Times New Roman" w:hAnsi="Times New Roman" w:eastAsia="宋体" w:cs="Times New Roman"/>
                <w:b/>
                <w:bCs/>
                <w:spacing w:val="9"/>
                <w:sz w:val="15"/>
                <w:szCs w:val="15"/>
              </w:rPr>
              <w:t>排</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放</w:t>
            </w:r>
            <w:r>
              <w:rPr>
                <w:rFonts w:hint="default" w:ascii="Times New Roman" w:hAnsi="Times New Roman" w:eastAsia="宋体" w:cs="Times New Roman"/>
                <w:b/>
                <w:bCs/>
                <w:spacing w:val="9"/>
                <w:sz w:val="15"/>
                <w:szCs w:val="15"/>
              </w:rPr>
              <w:t>达</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标</w:t>
            </w:r>
            <w:r>
              <w:rPr>
                <w:rFonts w:hint="default" w:ascii="Times New Roman" w:hAnsi="Times New Roman" w:eastAsia="宋体" w:cs="Times New Roman"/>
                <w:b/>
                <w:bCs/>
                <w:spacing w:val="9"/>
                <w:sz w:val="15"/>
                <w:szCs w:val="15"/>
              </w:rPr>
              <w:t>与</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总</w:t>
            </w:r>
            <w:r>
              <w:rPr>
                <w:rFonts w:hint="default" w:ascii="Times New Roman" w:hAnsi="Times New Roman" w:eastAsia="宋体" w:cs="Times New Roman"/>
                <w:b/>
                <w:bCs/>
                <w:spacing w:val="9"/>
                <w:sz w:val="15"/>
                <w:szCs w:val="15"/>
              </w:rPr>
              <w:t>量</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控</w:t>
            </w:r>
            <w:r>
              <w:rPr>
                <w:rFonts w:hint="default" w:ascii="Times New Roman" w:hAnsi="Times New Roman" w:eastAsia="宋体" w:cs="Times New Roman"/>
                <w:b/>
                <w:bCs/>
                <w:spacing w:val="9"/>
                <w:sz w:val="15"/>
                <w:szCs w:val="15"/>
              </w:rPr>
              <w:t>制</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z w:val="15"/>
                <w:szCs w:val="15"/>
              </w:rPr>
              <w:tab/>
            </w:r>
            <w:r>
              <w:rPr>
                <w:rFonts w:hint="default" w:ascii="Times New Roman" w:hAnsi="Times New Roman" w:eastAsia="宋体" w:cs="Times New Roman"/>
                <w:spacing w:val="21"/>
                <w:sz w:val="15"/>
                <w:szCs w:val="15"/>
              </w:rPr>
              <w:t>(</w:t>
            </w:r>
            <w:r>
              <w:rPr>
                <w:rFonts w:hint="default" w:ascii="Times New Roman" w:hAnsi="Times New Roman" w:eastAsia="宋体" w:cs="Times New Roman"/>
                <w:spacing w:val="20"/>
                <w:sz w:val="15"/>
                <w:szCs w:val="15"/>
              </w:rPr>
              <w:t>工</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业</w:t>
            </w:r>
            <w:r>
              <w:rPr>
                <w:rFonts w:hint="default" w:ascii="Times New Roman" w:hAnsi="Times New Roman" w:eastAsia="宋体" w:cs="Times New Roman"/>
                <w:b/>
                <w:bCs/>
                <w:spacing w:val="9"/>
                <w:sz w:val="15"/>
                <w:szCs w:val="15"/>
              </w:rPr>
              <w:t>建</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设</w:t>
            </w:r>
            <w:r>
              <w:rPr>
                <w:rFonts w:hint="default" w:ascii="Times New Roman" w:hAnsi="Times New Roman" w:eastAsia="宋体" w:cs="Times New Roman"/>
                <w:b/>
                <w:bCs/>
                <w:spacing w:val="9"/>
                <w:sz w:val="15"/>
                <w:szCs w:val="15"/>
              </w:rPr>
              <w:t>项</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目</w:t>
            </w:r>
            <w:r>
              <w:rPr>
                <w:rFonts w:hint="default" w:ascii="Times New Roman" w:hAnsi="Times New Roman" w:eastAsia="宋体" w:cs="Times New Roman"/>
                <w:b/>
                <w:bCs/>
                <w:spacing w:val="9"/>
                <w:sz w:val="15"/>
                <w:szCs w:val="15"/>
              </w:rPr>
              <w:t>详</w:t>
            </w:r>
            <w:r>
              <w:rPr>
                <w:rFonts w:hint="default" w:ascii="Times New Roman" w:hAnsi="Times New Roman" w:eastAsia="宋体" w:cs="Times New Roman"/>
                <w:sz w:val="15"/>
                <w:szCs w:val="15"/>
              </w:rPr>
              <w:t xml:space="preserve"> </w:t>
            </w:r>
            <w:r>
              <w:rPr>
                <w:rFonts w:hint="default" w:ascii="Times New Roman" w:hAnsi="Times New Roman" w:eastAsia="宋体" w:cs="Times New Roman"/>
                <w:spacing w:val="31"/>
                <w:sz w:val="15"/>
                <w:szCs w:val="15"/>
              </w:rPr>
              <w:t>填</w:t>
            </w:r>
            <w:r>
              <w:rPr>
                <w:rFonts w:hint="default" w:ascii="Times New Roman" w:hAnsi="Times New Roman" w:eastAsia="宋体" w:cs="Times New Roman"/>
                <w:spacing w:val="30"/>
                <w:sz w:val="15"/>
                <w:szCs w:val="15"/>
              </w:rPr>
              <w:t>)</w:t>
            </w:r>
          </w:p>
        </w:tc>
        <w:tc>
          <w:tcPr>
            <w:tcW w:w="1964" w:type="dxa"/>
            <w:gridSpan w:val="2"/>
            <w:vAlign w:val="center"/>
          </w:tcPr>
          <w:p w14:paraId="7F0851A3">
            <w:pPr>
              <w:spacing w:before="151" w:line="195" w:lineRule="auto"/>
              <w:ind w:left="74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污染</w:t>
            </w:r>
            <w:r>
              <w:rPr>
                <w:rFonts w:hint="default" w:ascii="Times New Roman" w:hAnsi="Times New Roman" w:eastAsia="宋体" w:cs="Times New Roman"/>
                <w:b/>
                <w:bCs/>
                <w:sz w:val="15"/>
                <w:szCs w:val="15"/>
              </w:rPr>
              <w:t>物</w:t>
            </w:r>
          </w:p>
        </w:tc>
        <w:tc>
          <w:tcPr>
            <w:tcW w:w="827" w:type="dxa"/>
            <w:vAlign w:val="center"/>
          </w:tcPr>
          <w:p w14:paraId="1FC53513">
            <w:pPr>
              <w:spacing w:before="40" w:line="186" w:lineRule="auto"/>
              <w:ind w:left="178"/>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原</w:t>
            </w:r>
            <w:r>
              <w:rPr>
                <w:rFonts w:hint="default" w:ascii="Times New Roman" w:hAnsi="Times New Roman" w:eastAsia="宋体" w:cs="Times New Roman"/>
                <w:b/>
                <w:bCs/>
                <w:sz w:val="15"/>
                <w:szCs w:val="15"/>
              </w:rPr>
              <w:t>有排放量(1)</w:t>
            </w:r>
          </w:p>
        </w:tc>
        <w:tc>
          <w:tcPr>
            <w:tcW w:w="1280" w:type="dxa"/>
            <w:vAlign w:val="center"/>
          </w:tcPr>
          <w:p w14:paraId="2BA94496">
            <w:pPr>
              <w:spacing w:before="40" w:line="186" w:lineRule="auto"/>
              <w:ind w:left="81"/>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期工程实际排放浓度(2)</w:t>
            </w:r>
          </w:p>
        </w:tc>
        <w:tc>
          <w:tcPr>
            <w:tcW w:w="1166" w:type="dxa"/>
            <w:vAlign w:val="center"/>
          </w:tcPr>
          <w:p w14:paraId="59CA2D47">
            <w:pPr>
              <w:spacing w:before="40" w:line="169" w:lineRule="auto"/>
              <w:ind w:left="157" w:right="95" w:hanging="62"/>
              <w:jc w:val="center"/>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本期工程允许排放浓度(3)</w:t>
            </w:r>
          </w:p>
        </w:tc>
        <w:tc>
          <w:tcPr>
            <w:tcW w:w="784" w:type="dxa"/>
            <w:vAlign w:val="center"/>
          </w:tcPr>
          <w:p w14:paraId="78D57463">
            <w:pPr>
              <w:spacing w:before="40" w:line="169" w:lineRule="auto"/>
              <w:ind w:left="108" w:right="106" w:firstLine="12"/>
              <w:jc w:val="center"/>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本期工程</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
                <w:sz w:val="15"/>
                <w:szCs w:val="15"/>
              </w:rPr>
              <w:t>产</w:t>
            </w:r>
            <w:r>
              <w:rPr>
                <w:rFonts w:hint="default" w:ascii="Times New Roman" w:hAnsi="Times New Roman" w:eastAsia="宋体" w:cs="Times New Roman"/>
                <w:b/>
                <w:bCs/>
                <w:sz w:val="15"/>
                <w:szCs w:val="15"/>
              </w:rPr>
              <w:t>生量(4)</w:t>
            </w:r>
          </w:p>
        </w:tc>
        <w:tc>
          <w:tcPr>
            <w:tcW w:w="1062" w:type="dxa"/>
            <w:gridSpan w:val="2"/>
            <w:vAlign w:val="center"/>
          </w:tcPr>
          <w:p w14:paraId="33E2AD61">
            <w:pPr>
              <w:spacing w:before="40" w:line="169" w:lineRule="auto"/>
              <w:ind w:left="97" w:right="98" w:firstLine="12"/>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期工程自身削减量(5)</w:t>
            </w:r>
          </w:p>
        </w:tc>
        <w:tc>
          <w:tcPr>
            <w:tcW w:w="1514" w:type="dxa"/>
            <w:vAlign w:val="center"/>
          </w:tcPr>
          <w:p w14:paraId="5128DD57">
            <w:pPr>
              <w:spacing w:before="41" w:line="186" w:lineRule="auto"/>
              <w:ind w:left="102"/>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期工程实际排放</w:t>
            </w:r>
            <w:r>
              <w:rPr>
                <w:rFonts w:hint="default" w:ascii="Times New Roman" w:hAnsi="Times New Roman" w:eastAsia="宋体" w:cs="Times New Roman"/>
                <w:b/>
                <w:bCs/>
                <w:spacing w:val="-1"/>
                <w:sz w:val="15"/>
                <w:szCs w:val="15"/>
              </w:rPr>
              <w:t>量</w:t>
            </w:r>
            <w:r>
              <w:rPr>
                <w:rFonts w:hint="default" w:ascii="Times New Roman" w:hAnsi="Times New Roman" w:eastAsia="宋体" w:cs="Times New Roman"/>
                <w:b/>
                <w:bCs/>
                <w:sz w:val="15"/>
                <w:szCs w:val="15"/>
              </w:rPr>
              <w:t>(6)</w:t>
            </w:r>
          </w:p>
        </w:tc>
        <w:tc>
          <w:tcPr>
            <w:tcW w:w="1081" w:type="dxa"/>
            <w:gridSpan w:val="2"/>
            <w:vAlign w:val="center"/>
          </w:tcPr>
          <w:p w14:paraId="3AFD71C5">
            <w:pPr>
              <w:spacing w:before="40" w:line="186" w:lineRule="auto"/>
              <w:ind w:left="70"/>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期工程核定排放总量(7)</w:t>
            </w:r>
          </w:p>
        </w:tc>
        <w:tc>
          <w:tcPr>
            <w:tcW w:w="1091" w:type="dxa"/>
            <w:vAlign w:val="center"/>
          </w:tcPr>
          <w:p w14:paraId="342179F1">
            <w:pPr>
              <w:spacing w:before="40" w:line="169" w:lineRule="auto"/>
              <w:ind w:left="106" w:right="94" w:firstLine="10"/>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期工程“以新带老”削减量(8)</w:t>
            </w:r>
          </w:p>
        </w:tc>
        <w:tc>
          <w:tcPr>
            <w:tcW w:w="1766" w:type="dxa"/>
            <w:vAlign w:val="center"/>
          </w:tcPr>
          <w:p w14:paraId="1B55FD77">
            <w:pPr>
              <w:spacing w:before="41" w:line="194" w:lineRule="auto"/>
              <w:ind w:left="108"/>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全</w:t>
            </w:r>
            <w:r>
              <w:rPr>
                <w:rFonts w:hint="default" w:ascii="Times New Roman" w:hAnsi="Times New Roman" w:eastAsia="宋体" w:cs="Times New Roman"/>
                <w:b/>
                <w:bCs/>
                <w:sz w:val="15"/>
                <w:szCs w:val="15"/>
              </w:rPr>
              <w:t>厂实际排放总量</w:t>
            </w:r>
            <w:r>
              <w:rPr>
                <w:rFonts w:hint="default" w:ascii="Times New Roman" w:hAnsi="Times New Roman" w:eastAsia="宋体" w:cs="Times New Roman"/>
                <w:b/>
                <w:bCs/>
                <w:spacing w:val="-2"/>
                <w:sz w:val="15"/>
                <w:szCs w:val="15"/>
              </w:rPr>
              <w:t>(</w:t>
            </w:r>
            <w:r>
              <w:rPr>
                <w:rFonts w:hint="default" w:ascii="Times New Roman" w:hAnsi="Times New Roman" w:eastAsia="宋体" w:cs="Times New Roman"/>
                <w:b/>
                <w:bCs/>
                <w:spacing w:val="-1"/>
                <w:sz w:val="15"/>
                <w:szCs w:val="15"/>
              </w:rPr>
              <w:t>9)</w:t>
            </w:r>
          </w:p>
        </w:tc>
        <w:tc>
          <w:tcPr>
            <w:tcW w:w="1079" w:type="dxa"/>
            <w:vAlign w:val="center"/>
          </w:tcPr>
          <w:p w14:paraId="1BC0B14A">
            <w:pPr>
              <w:spacing w:before="41" w:line="195" w:lineRule="auto"/>
              <w:ind w:left="64"/>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全</w:t>
            </w:r>
            <w:r>
              <w:rPr>
                <w:rFonts w:hint="default" w:ascii="Times New Roman" w:hAnsi="Times New Roman" w:eastAsia="宋体" w:cs="Times New Roman"/>
                <w:b/>
                <w:bCs/>
                <w:sz w:val="15"/>
                <w:szCs w:val="15"/>
              </w:rPr>
              <w:t>厂核定排放总量</w:t>
            </w:r>
            <w:r>
              <w:rPr>
                <w:rFonts w:hint="default" w:ascii="Times New Roman" w:hAnsi="Times New Roman" w:eastAsia="宋体" w:cs="Times New Roman"/>
                <w:b/>
                <w:bCs/>
                <w:spacing w:val="-2"/>
                <w:sz w:val="15"/>
                <w:szCs w:val="15"/>
              </w:rPr>
              <w:t>(</w:t>
            </w:r>
            <w:r>
              <w:rPr>
                <w:rFonts w:hint="default" w:ascii="Times New Roman" w:hAnsi="Times New Roman" w:eastAsia="宋体" w:cs="Times New Roman"/>
                <w:b/>
                <w:bCs/>
                <w:spacing w:val="-1"/>
                <w:sz w:val="15"/>
                <w:szCs w:val="15"/>
              </w:rPr>
              <w:t>10)</w:t>
            </w:r>
          </w:p>
        </w:tc>
        <w:tc>
          <w:tcPr>
            <w:tcW w:w="1026" w:type="dxa"/>
            <w:vAlign w:val="center"/>
          </w:tcPr>
          <w:p w14:paraId="5982F5FC">
            <w:pPr>
              <w:spacing w:before="40" w:line="169" w:lineRule="auto"/>
              <w:ind w:left="170" w:right="50" w:hanging="92"/>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2"/>
                <w:sz w:val="15"/>
                <w:szCs w:val="15"/>
              </w:rPr>
              <w:t>区域平</w:t>
            </w:r>
            <w:r>
              <w:rPr>
                <w:rFonts w:hint="default" w:ascii="Times New Roman" w:hAnsi="Times New Roman" w:eastAsia="宋体" w:cs="Times New Roman"/>
                <w:b/>
                <w:bCs/>
                <w:spacing w:val="-1"/>
                <w:sz w:val="15"/>
                <w:szCs w:val="15"/>
              </w:rPr>
              <w:t>衡替代削减量</w:t>
            </w:r>
            <w:r>
              <w:rPr>
                <w:rFonts w:hint="default" w:ascii="Times New Roman" w:hAnsi="Times New Roman" w:eastAsia="宋体" w:cs="Times New Roman"/>
                <w:b/>
                <w:bCs/>
                <w:sz w:val="15"/>
                <w:szCs w:val="15"/>
              </w:rPr>
              <w:t>(11)</w:t>
            </w:r>
          </w:p>
        </w:tc>
        <w:tc>
          <w:tcPr>
            <w:tcW w:w="928" w:type="dxa"/>
            <w:tcBorders>
              <w:right w:val="single" w:color="000000" w:sz="6" w:space="0"/>
            </w:tcBorders>
            <w:vAlign w:val="center"/>
          </w:tcPr>
          <w:p w14:paraId="4023DDD8">
            <w:pPr>
              <w:spacing w:before="41" w:line="195" w:lineRule="auto"/>
              <w:ind w:left="90"/>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排</w:t>
            </w:r>
            <w:r>
              <w:rPr>
                <w:rFonts w:hint="default" w:ascii="Times New Roman" w:hAnsi="Times New Roman" w:eastAsia="宋体" w:cs="Times New Roman"/>
                <w:b/>
                <w:bCs/>
                <w:sz w:val="15"/>
                <w:szCs w:val="15"/>
              </w:rPr>
              <w:t>放增减量</w:t>
            </w:r>
            <w:r>
              <w:rPr>
                <w:rFonts w:hint="default" w:ascii="Times New Roman" w:hAnsi="Times New Roman" w:eastAsia="宋体" w:cs="Times New Roman"/>
                <w:b/>
                <w:bCs/>
                <w:spacing w:val="-2"/>
                <w:sz w:val="15"/>
                <w:szCs w:val="15"/>
              </w:rPr>
              <w:t>(</w:t>
            </w:r>
            <w:r>
              <w:rPr>
                <w:rFonts w:hint="default" w:ascii="Times New Roman" w:hAnsi="Times New Roman" w:eastAsia="宋体" w:cs="Times New Roman"/>
                <w:b/>
                <w:bCs/>
                <w:spacing w:val="-1"/>
                <w:sz w:val="15"/>
                <w:szCs w:val="15"/>
              </w:rPr>
              <w:t>12)</w:t>
            </w:r>
          </w:p>
        </w:tc>
      </w:tr>
      <w:tr w14:paraId="497EA8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439" w:type="dxa"/>
            <w:vMerge w:val="continue"/>
            <w:tcBorders>
              <w:top w:val="nil"/>
              <w:left w:val="single" w:color="000000" w:sz="6" w:space="0"/>
              <w:bottom w:val="nil"/>
            </w:tcBorders>
            <w:vAlign w:val="center"/>
          </w:tcPr>
          <w:p w14:paraId="79EE47FB">
            <w:pPr>
              <w:jc w:val="left"/>
              <w:rPr>
                <w:rFonts w:hint="default" w:ascii="Times New Roman" w:hAnsi="Times New Roman" w:eastAsia="宋体" w:cs="Times New Roman"/>
                <w:sz w:val="15"/>
                <w:szCs w:val="15"/>
              </w:rPr>
            </w:pPr>
          </w:p>
        </w:tc>
        <w:tc>
          <w:tcPr>
            <w:tcW w:w="1964" w:type="dxa"/>
            <w:gridSpan w:val="2"/>
            <w:vAlign w:val="center"/>
          </w:tcPr>
          <w:p w14:paraId="18F460E7">
            <w:pPr>
              <w:spacing w:before="74" w:line="161" w:lineRule="auto"/>
              <w:ind w:left="825"/>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废水</w:t>
            </w:r>
          </w:p>
        </w:tc>
        <w:tc>
          <w:tcPr>
            <w:tcW w:w="827" w:type="dxa"/>
            <w:vAlign w:val="center"/>
          </w:tcPr>
          <w:p w14:paraId="3ABA5B60">
            <w:pPr>
              <w:spacing w:before="95" w:line="211"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4444CB3D">
            <w:pPr>
              <w:spacing w:before="95" w:line="211"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4892B0AA">
            <w:pPr>
              <w:spacing w:before="95" w:line="211"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72A8E5D5">
            <w:pPr>
              <w:spacing w:before="95" w:line="211"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CE921C0">
            <w:pPr>
              <w:spacing w:before="95" w:line="211"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32CE7F85">
            <w:pPr>
              <w:spacing w:before="95" w:line="211"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AB9034D">
            <w:pPr>
              <w:spacing w:before="95" w:line="211"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65ECE08F">
            <w:pPr>
              <w:spacing w:before="95" w:line="211"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DC6D1F0">
            <w:pPr>
              <w:spacing w:before="95" w:line="211"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2CE90712">
            <w:pPr>
              <w:spacing w:before="95" w:line="211"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E844EBF">
            <w:pPr>
              <w:spacing w:before="95" w:line="211"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3037AD50">
            <w:pPr>
              <w:spacing w:before="95" w:line="211"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6AF3C5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10B33F33">
            <w:pPr>
              <w:jc w:val="left"/>
              <w:rPr>
                <w:rFonts w:hint="default" w:ascii="Times New Roman" w:hAnsi="Times New Roman" w:eastAsia="宋体" w:cs="Times New Roman"/>
                <w:sz w:val="15"/>
                <w:szCs w:val="15"/>
              </w:rPr>
            </w:pPr>
          </w:p>
        </w:tc>
        <w:tc>
          <w:tcPr>
            <w:tcW w:w="1964" w:type="dxa"/>
            <w:gridSpan w:val="2"/>
            <w:vAlign w:val="center"/>
          </w:tcPr>
          <w:p w14:paraId="02EEF8E9">
            <w:pPr>
              <w:spacing w:before="72" w:line="160" w:lineRule="auto"/>
              <w:ind w:left="599"/>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化</w:t>
            </w:r>
            <w:r>
              <w:rPr>
                <w:rFonts w:hint="default" w:ascii="Times New Roman" w:hAnsi="Times New Roman" w:eastAsia="宋体" w:cs="Times New Roman"/>
                <w:b/>
                <w:bCs/>
                <w:sz w:val="15"/>
                <w:szCs w:val="15"/>
              </w:rPr>
              <w:t>学需氧量</w:t>
            </w:r>
          </w:p>
        </w:tc>
        <w:tc>
          <w:tcPr>
            <w:tcW w:w="827" w:type="dxa"/>
            <w:vAlign w:val="center"/>
          </w:tcPr>
          <w:p w14:paraId="3200ED55">
            <w:pPr>
              <w:spacing w:before="92" w:line="211"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6E2B4F01">
            <w:pPr>
              <w:spacing w:before="92" w:line="211"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EE3E922">
            <w:pPr>
              <w:spacing w:before="92" w:line="211"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7DD5D318">
            <w:pPr>
              <w:spacing w:before="92" w:line="211"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7134660F">
            <w:pPr>
              <w:spacing w:before="92" w:line="211"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25B824A5">
            <w:pPr>
              <w:spacing w:before="92" w:line="211"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C70525A">
            <w:pPr>
              <w:spacing w:before="92" w:line="211"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4CFC73F2">
            <w:pPr>
              <w:spacing w:before="92" w:line="211"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20745822">
            <w:pPr>
              <w:spacing w:before="92" w:line="211"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35A7EF8A">
            <w:pPr>
              <w:spacing w:before="92" w:line="211"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3B97C93C">
            <w:pPr>
              <w:spacing w:before="92" w:line="211"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4F689D0D">
            <w:pPr>
              <w:spacing w:before="92" w:line="211"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485BA9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252478F9">
            <w:pPr>
              <w:jc w:val="left"/>
              <w:rPr>
                <w:rFonts w:hint="default" w:ascii="Times New Roman" w:hAnsi="Times New Roman" w:eastAsia="宋体" w:cs="Times New Roman"/>
                <w:sz w:val="15"/>
                <w:szCs w:val="15"/>
              </w:rPr>
            </w:pPr>
          </w:p>
        </w:tc>
        <w:tc>
          <w:tcPr>
            <w:tcW w:w="1964" w:type="dxa"/>
            <w:gridSpan w:val="2"/>
            <w:vAlign w:val="center"/>
          </w:tcPr>
          <w:p w14:paraId="6348EB1C">
            <w:pPr>
              <w:spacing w:before="72" w:line="160" w:lineRule="auto"/>
              <w:ind w:left="82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氨</w:t>
            </w:r>
            <w:r>
              <w:rPr>
                <w:rFonts w:hint="default" w:ascii="Times New Roman" w:hAnsi="Times New Roman" w:eastAsia="宋体" w:cs="Times New Roman"/>
                <w:b/>
                <w:bCs/>
                <w:sz w:val="15"/>
                <w:szCs w:val="15"/>
              </w:rPr>
              <w:t>氮</w:t>
            </w:r>
          </w:p>
        </w:tc>
        <w:tc>
          <w:tcPr>
            <w:tcW w:w="827" w:type="dxa"/>
            <w:vAlign w:val="center"/>
          </w:tcPr>
          <w:p w14:paraId="3AA877EA">
            <w:pPr>
              <w:spacing w:before="93" w:line="210"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439FBE89">
            <w:pPr>
              <w:spacing w:before="93" w:line="210"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05E39066">
            <w:pPr>
              <w:spacing w:before="93" w:line="210"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6A01E8D">
            <w:pPr>
              <w:spacing w:before="93" w:line="210"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32D99DAE">
            <w:pPr>
              <w:spacing w:before="93" w:line="210"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18880BCA">
            <w:pPr>
              <w:spacing w:before="93" w:line="210"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94807C3">
            <w:pPr>
              <w:spacing w:before="93" w:line="210"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2946FC0B">
            <w:pPr>
              <w:spacing w:before="93" w:line="210"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6C94DD5">
            <w:pPr>
              <w:spacing w:before="93" w:line="210"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42B2AC3F">
            <w:pPr>
              <w:spacing w:before="93" w:line="210"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1DA7F3F8">
            <w:pPr>
              <w:spacing w:before="93" w:line="210"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4404AF6C">
            <w:pPr>
              <w:spacing w:before="93" w:line="210"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7D9DF3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12C9DC37">
            <w:pPr>
              <w:jc w:val="left"/>
              <w:rPr>
                <w:rFonts w:hint="default" w:ascii="Times New Roman" w:hAnsi="Times New Roman" w:eastAsia="宋体" w:cs="Times New Roman"/>
                <w:sz w:val="15"/>
                <w:szCs w:val="15"/>
              </w:rPr>
            </w:pPr>
          </w:p>
        </w:tc>
        <w:tc>
          <w:tcPr>
            <w:tcW w:w="1964" w:type="dxa"/>
            <w:gridSpan w:val="2"/>
            <w:vAlign w:val="center"/>
          </w:tcPr>
          <w:p w14:paraId="39C05312">
            <w:pPr>
              <w:spacing w:before="73" w:line="159" w:lineRule="auto"/>
              <w:ind w:left="599"/>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动</w:t>
            </w:r>
            <w:r>
              <w:rPr>
                <w:rFonts w:hint="default" w:ascii="Times New Roman" w:hAnsi="Times New Roman" w:eastAsia="宋体" w:cs="Times New Roman"/>
                <w:b/>
                <w:bCs/>
                <w:sz w:val="15"/>
                <w:szCs w:val="15"/>
              </w:rPr>
              <w:t>植物油类</w:t>
            </w:r>
          </w:p>
        </w:tc>
        <w:tc>
          <w:tcPr>
            <w:tcW w:w="827" w:type="dxa"/>
            <w:vAlign w:val="center"/>
          </w:tcPr>
          <w:p w14:paraId="30AC0A42">
            <w:pPr>
              <w:spacing w:before="93"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4E0C5C72">
            <w:pPr>
              <w:spacing w:before="93"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249963BE">
            <w:pPr>
              <w:spacing w:before="93"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336A1D51">
            <w:pPr>
              <w:spacing w:before="93"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180E6EED">
            <w:pPr>
              <w:spacing w:before="93"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5EA3B710">
            <w:pPr>
              <w:spacing w:before="93"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51449288">
            <w:pPr>
              <w:spacing w:before="93"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6BE09D1B">
            <w:pPr>
              <w:spacing w:before="93"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60440108">
            <w:pPr>
              <w:spacing w:before="93"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6522418E">
            <w:pPr>
              <w:spacing w:before="93"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07D37C33">
            <w:pPr>
              <w:spacing w:before="93"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5FCD1939">
            <w:pPr>
              <w:spacing w:before="93"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5E99A7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6B0307D3">
            <w:pPr>
              <w:jc w:val="left"/>
              <w:rPr>
                <w:rFonts w:hint="default" w:ascii="Times New Roman" w:hAnsi="Times New Roman" w:eastAsia="宋体" w:cs="Times New Roman"/>
                <w:sz w:val="15"/>
                <w:szCs w:val="15"/>
              </w:rPr>
            </w:pPr>
          </w:p>
        </w:tc>
        <w:tc>
          <w:tcPr>
            <w:tcW w:w="1964" w:type="dxa"/>
            <w:gridSpan w:val="2"/>
            <w:vAlign w:val="center"/>
          </w:tcPr>
          <w:p w14:paraId="0DB611C2">
            <w:pPr>
              <w:spacing w:before="74" w:line="159" w:lineRule="auto"/>
              <w:ind w:left="748"/>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悬</w:t>
            </w:r>
            <w:r>
              <w:rPr>
                <w:rFonts w:hint="default" w:ascii="Times New Roman" w:hAnsi="Times New Roman" w:eastAsia="宋体" w:cs="Times New Roman"/>
                <w:b/>
                <w:bCs/>
                <w:sz w:val="15"/>
                <w:szCs w:val="15"/>
              </w:rPr>
              <w:t>浮物</w:t>
            </w:r>
          </w:p>
        </w:tc>
        <w:tc>
          <w:tcPr>
            <w:tcW w:w="827" w:type="dxa"/>
            <w:vAlign w:val="center"/>
          </w:tcPr>
          <w:p w14:paraId="560915EF">
            <w:pPr>
              <w:spacing w:before="94"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17B3E220">
            <w:pPr>
              <w:spacing w:before="94"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4B16AEA6">
            <w:pPr>
              <w:spacing w:before="94"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B1080D2">
            <w:pPr>
              <w:spacing w:before="94"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0476EAD0">
            <w:pPr>
              <w:spacing w:before="94"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4D2902F0">
            <w:pPr>
              <w:spacing w:before="94"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7C50B06A">
            <w:pPr>
              <w:spacing w:before="94"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3DBDB01C">
            <w:pPr>
              <w:spacing w:before="94"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505C9CF0">
            <w:pPr>
              <w:spacing w:before="94"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503C19C5">
            <w:pPr>
              <w:spacing w:before="94"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40793903">
            <w:pPr>
              <w:spacing w:before="94"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0C7A0D0E">
            <w:pPr>
              <w:spacing w:before="94"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338686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4A2F0413">
            <w:pPr>
              <w:jc w:val="left"/>
              <w:rPr>
                <w:rFonts w:hint="default" w:ascii="Times New Roman" w:hAnsi="Times New Roman" w:eastAsia="宋体" w:cs="Times New Roman"/>
                <w:sz w:val="15"/>
                <w:szCs w:val="15"/>
              </w:rPr>
            </w:pPr>
          </w:p>
        </w:tc>
        <w:tc>
          <w:tcPr>
            <w:tcW w:w="1964" w:type="dxa"/>
            <w:gridSpan w:val="2"/>
            <w:vAlign w:val="center"/>
          </w:tcPr>
          <w:p w14:paraId="2FDC6C4A">
            <w:pPr>
              <w:spacing w:before="73" w:line="159" w:lineRule="auto"/>
              <w:ind w:left="67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二氧</w:t>
            </w:r>
            <w:r>
              <w:rPr>
                <w:rFonts w:hint="default" w:ascii="Times New Roman" w:hAnsi="Times New Roman" w:eastAsia="宋体" w:cs="Times New Roman"/>
                <w:b/>
                <w:bCs/>
                <w:sz w:val="15"/>
                <w:szCs w:val="15"/>
              </w:rPr>
              <w:t>化硫</w:t>
            </w:r>
          </w:p>
        </w:tc>
        <w:tc>
          <w:tcPr>
            <w:tcW w:w="827" w:type="dxa"/>
            <w:vAlign w:val="center"/>
          </w:tcPr>
          <w:p w14:paraId="71EF6F29">
            <w:pPr>
              <w:spacing w:before="93"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5FCC6481">
            <w:pPr>
              <w:spacing w:before="93"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47B7EDC">
            <w:pPr>
              <w:spacing w:before="93"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07EC78E">
            <w:pPr>
              <w:spacing w:before="93"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BB5BC9B">
            <w:pPr>
              <w:spacing w:before="93"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76B9BCAE">
            <w:pPr>
              <w:spacing w:before="93"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4515CC15">
            <w:pPr>
              <w:spacing w:before="93"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7CC0D342">
            <w:pPr>
              <w:spacing w:before="93"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075DA44">
            <w:pPr>
              <w:spacing w:before="93"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3A54B526">
            <w:pPr>
              <w:spacing w:before="93"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3D43F1FD">
            <w:pPr>
              <w:spacing w:before="93"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09FE310C">
            <w:pPr>
              <w:spacing w:before="93"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0ED9E8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439" w:type="dxa"/>
            <w:vMerge w:val="continue"/>
            <w:tcBorders>
              <w:top w:val="nil"/>
              <w:left w:val="single" w:color="000000" w:sz="6" w:space="0"/>
              <w:bottom w:val="nil"/>
            </w:tcBorders>
            <w:vAlign w:val="center"/>
          </w:tcPr>
          <w:p w14:paraId="3A87121E">
            <w:pPr>
              <w:jc w:val="left"/>
              <w:rPr>
                <w:rFonts w:hint="default" w:ascii="Times New Roman" w:hAnsi="Times New Roman" w:eastAsia="宋体" w:cs="Times New Roman"/>
                <w:sz w:val="15"/>
                <w:szCs w:val="15"/>
              </w:rPr>
            </w:pPr>
          </w:p>
        </w:tc>
        <w:tc>
          <w:tcPr>
            <w:tcW w:w="1964" w:type="dxa"/>
            <w:gridSpan w:val="2"/>
            <w:vAlign w:val="center"/>
          </w:tcPr>
          <w:p w14:paraId="2A252120">
            <w:pPr>
              <w:spacing w:before="76" w:line="159" w:lineRule="auto"/>
              <w:ind w:left="824"/>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烟尘</w:t>
            </w:r>
          </w:p>
        </w:tc>
        <w:tc>
          <w:tcPr>
            <w:tcW w:w="827" w:type="dxa"/>
            <w:vAlign w:val="center"/>
          </w:tcPr>
          <w:p w14:paraId="5C206017">
            <w:pPr>
              <w:spacing w:before="96"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202FC74E">
            <w:pPr>
              <w:spacing w:before="96"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2FE14AC4">
            <w:pPr>
              <w:spacing w:before="96"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0A9C1208">
            <w:pPr>
              <w:spacing w:before="96"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47578022">
            <w:pPr>
              <w:spacing w:before="96"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2D1FDD04">
            <w:pPr>
              <w:spacing w:before="96"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2976A8F9">
            <w:pPr>
              <w:spacing w:before="96"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606BC4C5">
            <w:pPr>
              <w:spacing w:before="96"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66960C64">
            <w:pPr>
              <w:spacing w:before="96"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2455AA3A">
            <w:pPr>
              <w:spacing w:before="96"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61BEAD0E">
            <w:pPr>
              <w:spacing w:before="96"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6E853205">
            <w:pPr>
              <w:spacing w:before="96"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141F55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1D284BCB">
            <w:pPr>
              <w:jc w:val="left"/>
              <w:rPr>
                <w:rFonts w:hint="default" w:ascii="Times New Roman" w:hAnsi="Times New Roman" w:eastAsia="宋体" w:cs="Times New Roman"/>
                <w:sz w:val="15"/>
                <w:szCs w:val="15"/>
              </w:rPr>
            </w:pPr>
          </w:p>
        </w:tc>
        <w:tc>
          <w:tcPr>
            <w:tcW w:w="1964" w:type="dxa"/>
            <w:gridSpan w:val="2"/>
            <w:vAlign w:val="center"/>
          </w:tcPr>
          <w:p w14:paraId="2078AD82">
            <w:pPr>
              <w:spacing w:before="70" w:line="162" w:lineRule="auto"/>
              <w:ind w:left="67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工</w:t>
            </w:r>
            <w:r>
              <w:rPr>
                <w:rFonts w:hint="default" w:ascii="Times New Roman" w:hAnsi="Times New Roman" w:eastAsia="宋体" w:cs="Times New Roman"/>
                <w:b/>
                <w:bCs/>
                <w:sz w:val="15"/>
                <w:szCs w:val="15"/>
              </w:rPr>
              <w:t>业粉尘</w:t>
            </w:r>
          </w:p>
        </w:tc>
        <w:tc>
          <w:tcPr>
            <w:tcW w:w="827" w:type="dxa"/>
            <w:vAlign w:val="center"/>
          </w:tcPr>
          <w:p w14:paraId="4EB07BD4">
            <w:pPr>
              <w:spacing w:before="94" w:line="208"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71C95420">
            <w:pPr>
              <w:spacing w:before="94" w:line="208"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CF22309">
            <w:pPr>
              <w:spacing w:before="94" w:line="208"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66A72BAD">
            <w:pPr>
              <w:spacing w:before="94" w:line="208"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BA5110F">
            <w:pPr>
              <w:spacing w:before="94" w:line="208"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60959FB6">
            <w:pPr>
              <w:spacing w:before="94" w:line="208"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63855DFD">
            <w:pPr>
              <w:spacing w:before="94" w:line="208"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04289380">
            <w:pPr>
              <w:spacing w:before="94" w:line="208"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2E9D51EC">
            <w:pPr>
              <w:spacing w:before="94" w:line="208"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66CBB310">
            <w:pPr>
              <w:spacing w:before="94" w:line="208"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727DDDA">
            <w:pPr>
              <w:spacing w:before="94" w:line="208"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348F2374">
            <w:pPr>
              <w:spacing w:before="94" w:line="208"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4CE96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77D2B4A0">
            <w:pPr>
              <w:jc w:val="left"/>
              <w:rPr>
                <w:rFonts w:hint="default" w:ascii="Times New Roman" w:hAnsi="Times New Roman" w:eastAsia="宋体" w:cs="Times New Roman"/>
                <w:sz w:val="15"/>
                <w:szCs w:val="15"/>
              </w:rPr>
            </w:pPr>
          </w:p>
        </w:tc>
        <w:tc>
          <w:tcPr>
            <w:tcW w:w="1964" w:type="dxa"/>
            <w:gridSpan w:val="2"/>
            <w:vAlign w:val="center"/>
          </w:tcPr>
          <w:p w14:paraId="17E6C4CD">
            <w:pPr>
              <w:spacing w:before="74" w:line="159" w:lineRule="auto"/>
              <w:ind w:left="674"/>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氮</w:t>
            </w:r>
            <w:r>
              <w:rPr>
                <w:rFonts w:hint="default" w:ascii="Times New Roman" w:hAnsi="Times New Roman" w:eastAsia="宋体" w:cs="Times New Roman"/>
                <w:b/>
                <w:bCs/>
                <w:sz w:val="15"/>
                <w:szCs w:val="15"/>
              </w:rPr>
              <w:t>氧化物</w:t>
            </w:r>
          </w:p>
        </w:tc>
        <w:tc>
          <w:tcPr>
            <w:tcW w:w="827" w:type="dxa"/>
            <w:vAlign w:val="center"/>
          </w:tcPr>
          <w:p w14:paraId="37B23B78">
            <w:pPr>
              <w:spacing w:before="95" w:line="208"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2CC1995C">
            <w:pPr>
              <w:spacing w:before="95" w:line="208"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500FEC03">
            <w:pPr>
              <w:spacing w:before="95" w:line="208"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EF54666">
            <w:pPr>
              <w:spacing w:before="95" w:line="208"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3463F75C">
            <w:pPr>
              <w:spacing w:before="95" w:line="208"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73538953">
            <w:pPr>
              <w:spacing w:before="95" w:line="208"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6CB4336E">
            <w:pPr>
              <w:spacing w:before="95" w:line="208"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37599E62">
            <w:pPr>
              <w:spacing w:before="95" w:line="208"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32A77054">
            <w:pPr>
              <w:spacing w:before="95" w:line="208"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078AC323">
            <w:pPr>
              <w:spacing w:before="95" w:line="208"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0302C79">
            <w:pPr>
              <w:spacing w:before="95" w:line="208"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6076A7E5">
            <w:pPr>
              <w:spacing w:before="95" w:line="208"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48E5C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494890A9">
            <w:pPr>
              <w:jc w:val="left"/>
              <w:rPr>
                <w:rFonts w:hint="default" w:ascii="Times New Roman" w:hAnsi="Times New Roman" w:eastAsia="宋体" w:cs="Times New Roman"/>
                <w:sz w:val="15"/>
                <w:szCs w:val="15"/>
              </w:rPr>
            </w:pPr>
          </w:p>
        </w:tc>
        <w:tc>
          <w:tcPr>
            <w:tcW w:w="1964" w:type="dxa"/>
            <w:gridSpan w:val="2"/>
            <w:vAlign w:val="center"/>
          </w:tcPr>
          <w:p w14:paraId="712FBF4F">
            <w:pPr>
              <w:spacing w:before="74" w:line="159" w:lineRule="auto"/>
              <w:ind w:left="52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工</w:t>
            </w:r>
            <w:r>
              <w:rPr>
                <w:rFonts w:hint="default" w:ascii="Times New Roman" w:hAnsi="Times New Roman" w:eastAsia="宋体" w:cs="Times New Roman"/>
                <w:b/>
                <w:bCs/>
                <w:sz w:val="15"/>
                <w:szCs w:val="15"/>
              </w:rPr>
              <w:t>业固体废物</w:t>
            </w:r>
          </w:p>
        </w:tc>
        <w:tc>
          <w:tcPr>
            <w:tcW w:w="827" w:type="dxa"/>
            <w:vAlign w:val="center"/>
          </w:tcPr>
          <w:p w14:paraId="20B77C3C">
            <w:pPr>
              <w:spacing w:before="95" w:line="208"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1DC3F44A">
            <w:pPr>
              <w:spacing w:before="95" w:line="208"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4B2270E1">
            <w:pPr>
              <w:spacing w:before="95" w:line="208"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5E645F5D">
            <w:pPr>
              <w:spacing w:before="95" w:line="208"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6F1FEA2">
            <w:pPr>
              <w:spacing w:before="95" w:line="208"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4260F1B4">
            <w:pPr>
              <w:spacing w:before="95" w:line="208"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392D323B">
            <w:pPr>
              <w:spacing w:before="95" w:line="208"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1B5499DF">
            <w:pPr>
              <w:spacing w:before="95" w:line="208"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5E9A5781">
            <w:pPr>
              <w:spacing w:before="95" w:line="208"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558F41A3">
            <w:pPr>
              <w:spacing w:before="95" w:line="208"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1331C0DC">
            <w:pPr>
              <w:spacing w:before="95" w:line="208"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256122BB">
            <w:pPr>
              <w:spacing w:before="95" w:line="208"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77F9D5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2385C658">
            <w:pPr>
              <w:jc w:val="left"/>
              <w:rPr>
                <w:rFonts w:hint="default" w:ascii="Times New Roman" w:hAnsi="Times New Roman" w:eastAsia="宋体" w:cs="Times New Roman"/>
                <w:sz w:val="15"/>
                <w:szCs w:val="15"/>
              </w:rPr>
            </w:pPr>
          </w:p>
        </w:tc>
        <w:tc>
          <w:tcPr>
            <w:tcW w:w="1724" w:type="dxa"/>
            <w:vMerge w:val="restart"/>
            <w:tcBorders>
              <w:bottom w:val="nil"/>
            </w:tcBorders>
            <w:vAlign w:val="center"/>
          </w:tcPr>
          <w:p w14:paraId="7A6FDAA6">
            <w:pPr>
              <w:spacing w:before="203" w:line="243" w:lineRule="auto"/>
              <w:ind w:left="626" w:right="113" w:hanging="519"/>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与项</w:t>
            </w:r>
            <w:r>
              <w:rPr>
                <w:rFonts w:hint="default" w:ascii="Times New Roman" w:hAnsi="Times New Roman" w:eastAsia="宋体" w:cs="Times New Roman"/>
                <w:b/>
                <w:bCs/>
                <w:sz w:val="15"/>
                <w:szCs w:val="15"/>
              </w:rPr>
              <w:t>目有关的其他特征</w:t>
            </w:r>
            <w:r>
              <w:rPr>
                <w:rFonts w:hint="default" w:ascii="Times New Roman" w:hAnsi="Times New Roman" w:eastAsia="宋体" w:cs="Times New Roman"/>
                <w:b/>
                <w:bCs/>
                <w:spacing w:val="1"/>
                <w:sz w:val="15"/>
                <w:szCs w:val="15"/>
              </w:rPr>
              <w:t>污染</w:t>
            </w:r>
            <w:r>
              <w:rPr>
                <w:rFonts w:hint="default" w:ascii="Times New Roman" w:hAnsi="Times New Roman" w:eastAsia="宋体" w:cs="Times New Roman"/>
                <w:b/>
                <w:bCs/>
                <w:sz w:val="15"/>
                <w:szCs w:val="15"/>
              </w:rPr>
              <w:t>物</w:t>
            </w:r>
          </w:p>
        </w:tc>
        <w:tc>
          <w:tcPr>
            <w:tcW w:w="240" w:type="dxa"/>
            <w:vAlign w:val="center"/>
          </w:tcPr>
          <w:p w14:paraId="7C6D9E75">
            <w:pPr>
              <w:spacing w:before="94" w:line="209" w:lineRule="auto"/>
              <w:ind w:left="9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827" w:type="dxa"/>
            <w:vAlign w:val="center"/>
          </w:tcPr>
          <w:p w14:paraId="52E03743">
            <w:pPr>
              <w:spacing w:before="94"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10473B64">
            <w:pPr>
              <w:spacing w:before="94"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51E0D4C">
            <w:pPr>
              <w:spacing w:before="94"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32FE180E">
            <w:pPr>
              <w:spacing w:before="94"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1863FE10">
            <w:pPr>
              <w:spacing w:before="94"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6B2F61C4">
            <w:pPr>
              <w:spacing w:before="94"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C80DDD4">
            <w:pPr>
              <w:spacing w:before="94"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375FE71D">
            <w:pPr>
              <w:spacing w:before="94"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75F3BD9B">
            <w:pPr>
              <w:spacing w:before="94"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36937163">
            <w:pPr>
              <w:spacing w:before="94"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14D2F35">
            <w:pPr>
              <w:spacing w:before="94"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167D731A">
            <w:pPr>
              <w:spacing w:before="94"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29FF4A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65FB9A2F">
            <w:pPr>
              <w:jc w:val="left"/>
              <w:rPr>
                <w:rFonts w:hint="default" w:ascii="Times New Roman" w:hAnsi="Times New Roman" w:eastAsia="宋体" w:cs="Times New Roman"/>
                <w:sz w:val="15"/>
                <w:szCs w:val="15"/>
              </w:rPr>
            </w:pPr>
          </w:p>
        </w:tc>
        <w:tc>
          <w:tcPr>
            <w:tcW w:w="1724" w:type="dxa"/>
            <w:vMerge w:val="continue"/>
            <w:tcBorders>
              <w:top w:val="nil"/>
              <w:bottom w:val="nil"/>
            </w:tcBorders>
            <w:vAlign w:val="center"/>
          </w:tcPr>
          <w:p w14:paraId="023CA01A">
            <w:pPr>
              <w:jc w:val="left"/>
              <w:rPr>
                <w:rFonts w:hint="default" w:ascii="Times New Roman" w:hAnsi="Times New Roman" w:eastAsia="宋体" w:cs="Times New Roman"/>
                <w:sz w:val="15"/>
                <w:szCs w:val="15"/>
              </w:rPr>
            </w:pPr>
          </w:p>
        </w:tc>
        <w:tc>
          <w:tcPr>
            <w:tcW w:w="240" w:type="dxa"/>
            <w:vAlign w:val="center"/>
          </w:tcPr>
          <w:p w14:paraId="2F112703">
            <w:pPr>
              <w:spacing w:before="94" w:line="209" w:lineRule="auto"/>
              <w:ind w:left="9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827" w:type="dxa"/>
            <w:vAlign w:val="center"/>
          </w:tcPr>
          <w:p w14:paraId="2D36E8CE">
            <w:pPr>
              <w:spacing w:before="94"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632F6747">
            <w:pPr>
              <w:spacing w:before="94"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3C6C117C">
            <w:pPr>
              <w:spacing w:before="94"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795B4EA1">
            <w:pPr>
              <w:spacing w:before="94"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18CDACF7">
            <w:pPr>
              <w:spacing w:before="94"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00729394">
            <w:pPr>
              <w:spacing w:before="94"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1B128091">
            <w:pPr>
              <w:spacing w:before="94"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23D45815">
            <w:pPr>
              <w:spacing w:before="94"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7CF36BA7">
            <w:pPr>
              <w:spacing w:before="94"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4706B9C3">
            <w:pPr>
              <w:spacing w:before="94"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38DC4D37">
            <w:pPr>
              <w:spacing w:before="94"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0BBEB124">
            <w:pPr>
              <w:spacing w:before="94"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2E2133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1" w:hRule="atLeast"/>
        </w:trPr>
        <w:tc>
          <w:tcPr>
            <w:tcW w:w="439" w:type="dxa"/>
            <w:vMerge w:val="continue"/>
            <w:tcBorders>
              <w:top w:val="nil"/>
              <w:left w:val="single" w:color="000000" w:sz="6" w:space="0"/>
            </w:tcBorders>
            <w:vAlign w:val="center"/>
          </w:tcPr>
          <w:p w14:paraId="46D5FAAF">
            <w:pPr>
              <w:jc w:val="left"/>
              <w:rPr>
                <w:rFonts w:hint="default" w:ascii="Times New Roman" w:hAnsi="Times New Roman" w:eastAsia="宋体" w:cs="Times New Roman"/>
                <w:sz w:val="15"/>
                <w:szCs w:val="15"/>
              </w:rPr>
            </w:pPr>
          </w:p>
        </w:tc>
        <w:tc>
          <w:tcPr>
            <w:tcW w:w="1724" w:type="dxa"/>
            <w:vMerge w:val="continue"/>
            <w:tcBorders>
              <w:top w:val="nil"/>
            </w:tcBorders>
            <w:vAlign w:val="center"/>
          </w:tcPr>
          <w:p w14:paraId="3852A9CE">
            <w:pPr>
              <w:jc w:val="left"/>
              <w:rPr>
                <w:rFonts w:hint="default" w:ascii="Times New Roman" w:hAnsi="Times New Roman" w:eastAsia="宋体" w:cs="Times New Roman"/>
                <w:sz w:val="15"/>
                <w:szCs w:val="15"/>
              </w:rPr>
            </w:pPr>
          </w:p>
        </w:tc>
        <w:tc>
          <w:tcPr>
            <w:tcW w:w="240" w:type="dxa"/>
            <w:vAlign w:val="center"/>
          </w:tcPr>
          <w:p w14:paraId="34361296">
            <w:pPr>
              <w:spacing w:before="96" w:line="229" w:lineRule="auto"/>
              <w:ind w:left="9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827" w:type="dxa"/>
            <w:vAlign w:val="center"/>
          </w:tcPr>
          <w:p w14:paraId="37061E1E">
            <w:pPr>
              <w:spacing w:before="96" w:line="22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5C935611">
            <w:pPr>
              <w:spacing w:before="96" w:line="22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301C4D6A">
            <w:pPr>
              <w:spacing w:before="96" w:line="22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4EDE1B9F">
            <w:pPr>
              <w:spacing w:before="96" w:line="22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3A565104">
            <w:pPr>
              <w:spacing w:before="96" w:line="22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7C54971D">
            <w:pPr>
              <w:spacing w:before="96" w:line="22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19B2731D">
            <w:pPr>
              <w:spacing w:before="96" w:line="22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73CF7AEC">
            <w:pPr>
              <w:spacing w:before="96" w:line="22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65BBBCF">
            <w:pPr>
              <w:spacing w:before="96" w:line="22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5C66AE22">
            <w:pPr>
              <w:spacing w:before="96" w:line="22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6EB2E3BB">
            <w:pPr>
              <w:spacing w:before="96" w:line="22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3654EA31">
            <w:pPr>
              <w:spacing w:before="96" w:line="22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bl>
    <w:p w14:paraId="5ED4386B">
      <w:pPr>
        <w:spacing w:before="52" w:line="197" w:lineRule="auto"/>
      </w:pPr>
      <w:r>
        <w:rPr>
          <w:rFonts w:hint="default" w:ascii="Times New Roman" w:hAnsi="Times New Roman" w:eastAsia="微软雅黑" w:cs="Times New Roman"/>
          <w:spacing w:val="16"/>
          <w:sz w:val="12"/>
          <w:szCs w:val="12"/>
        </w:rPr>
        <w:t xml:space="preserve">注： </w:t>
      </w:r>
      <w:r>
        <w:rPr>
          <w:rFonts w:hint="default" w:ascii="Times New Roman" w:hAnsi="Times New Roman" w:eastAsia="Times New Roman" w:cs="Times New Roman"/>
          <w:b/>
          <w:bCs/>
          <w:spacing w:val="16"/>
          <w:sz w:val="12"/>
          <w:szCs w:val="12"/>
        </w:rPr>
        <w:t>1</w:t>
      </w:r>
      <w:r>
        <w:rPr>
          <w:rFonts w:hint="default" w:ascii="Times New Roman" w:hAnsi="Times New Roman" w:eastAsia="微软雅黑" w:cs="Times New Roman"/>
          <w:spacing w:val="16"/>
          <w:sz w:val="12"/>
          <w:szCs w:val="12"/>
        </w:rPr>
        <w:t>、排放增减量：(</w:t>
      </w:r>
      <w:r>
        <w:rPr>
          <w:rFonts w:hint="default" w:ascii="Times New Roman" w:hAnsi="Times New Roman" w:eastAsia="Times New Roman" w:cs="Times New Roman"/>
          <w:b/>
          <w:bCs/>
          <w:spacing w:val="16"/>
          <w:sz w:val="12"/>
          <w:szCs w:val="12"/>
        </w:rPr>
        <w:t>+</w:t>
      </w:r>
      <w:r>
        <w:rPr>
          <w:rFonts w:hint="default" w:ascii="Times New Roman" w:hAnsi="Times New Roman" w:eastAsia="微软雅黑" w:cs="Times New Roman"/>
          <w:spacing w:val="16"/>
          <w:sz w:val="12"/>
          <w:szCs w:val="12"/>
        </w:rPr>
        <w:t>)</w:t>
      </w:r>
      <w:r>
        <w:rPr>
          <w:rFonts w:hint="default" w:ascii="Times New Roman" w:hAnsi="Times New Roman" w:eastAsia="微软雅黑" w:cs="Times New Roman"/>
          <w:spacing w:val="15"/>
          <w:sz w:val="12"/>
          <w:szCs w:val="12"/>
        </w:rPr>
        <w:t>表</w:t>
      </w:r>
      <w:r>
        <w:rPr>
          <w:rFonts w:hint="default" w:ascii="Times New Roman" w:hAnsi="Times New Roman" w:eastAsia="微软雅黑" w:cs="Times New Roman"/>
          <w:spacing w:val="8"/>
          <w:sz w:val="12"/>
          <w:szCs w:val="12"/>
        </w:rPr>
        <w:t xml:space="preserve">示增加，( </w:t>
      </w:r>
      <w:r>
        <w:rPr>
          <w:rFonts w:hint="default" w:ascii="Times New Roman" w:hAnsi="Times New Roman" w:eastAsia="Times New Roman" w:cs="Times New Roman"/>
          <w:b/>
          <w:bCs/>
          <w:spacing w:val="8"/>
          <w:sz w:val="12"/>
          <w:szCs w:val="12"/>
        </w:rPr>
        <w:t>-</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 xml:space="preserve">)表示减少。  </w:t>
      </w:r>
      <w:r>
        <w:rPr>
          <w:rFonts w:hint="default" w:ascii="Times New Roman" w:hAnsi="Times New Roman" w:eastAsia="Times New Roman" w:cs="Times New Roman"/>
          <w:b/>
          <w:bCs/>
          <w:spacing w:val="8"/>
          <w:sz w:val="12"/>
          <w:szCs w:val="12"/>
        </w:rPr>
        <w:t>2</w:t>
      </w:r>
      <w:r>
        <w:rPr>
          <w:rFonts w:hint="default" w:ascii="Times New Roman" w:hAnsi="Times New Roman" w:eastAsia="微软雅黑" w:cs="Times New Roman"/>
          <w:spacing w:val="8"/>
          <w:sz w:val="12"/>
          <w:szCs w:val="12"/>
        </w:rPr>
        <w:t>、</w:t>
      </w:r>
      <w:r>
        <w:rPr>
          <w:rFonts w:hint="default" w:ascii="Times New Roman" w:hAnsi="Times New Roman" w:eastAsia="Times New Roman" w:cs="Times New Roman"/>
          <w:b/>
          <w:bCs/>
          <w:spacing w:val="8"/>
          <w:sz w:val="12"/>
          <w:szCs w:val="12"/>
        </w:rPr>
        <w:t>(12)=(6)-(8)-(11)</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w:t>
      </w:r>
      <w:r>
        <w:rPr>
          <w:rFonts w:hint="default" w:ascii="Times New Roman" w:hAnsi="Times New Roman" w:eastAsia="Times New Roman" w:cs="Times New Roman"/>
          <w:b/>
          <w:bCs/>
          <w:spacing w:val="8"/>
          <w:sz w:val="12"/>
          <w:szCs w:val="12"/>
        </w:rPr>
        <w:t>9</w:t>
      </w:r>
      <w:r>
        <w:rPr>
          <w:rFonts w:hint="default" w:ascii="Times New Roman" w:hAnsi="Times New Roman" w:eastAsia="微软雅黑" w:cs="Times New Roman"/>
          <w:spacing w:val="8"/>
          <w:sz w:val="12"/>
          <w:szCs w:val="12"/>
        </w:rPr>
        <w:t xml:space="preserve">) </w:t>
      </w:r>
      <w:r>
        <w:rPr>
          <w:rFonts w:hint="default" w:ascii="Times New Roman" w:hAnsi="Times New Roman" w:eastAsia="Times New Roman" w:cs="Times New Roman"/>
          <w:b/>
          <w:bCs/>
          <w:spacing w:val="8"/>
          <w:sz w:val="12"/>
          <w:szCs w:val="12"/>
        </w:rPr>
        <w:t>=</w:t>
      </w:r>
      <w:r>
        <w:rPr>
          <w:rFonts w:hint="default" w:ascii="Times New Roman" w:hAnsi="Times New Roman" w:eastAsia="Times New Roman" w:cs="Times New Roman"/>
          <w:spacing w:val="8"/>
          <w:sz w:val="12"/>
          <w:szCs w:val="12"/>
        </w:rPr>
        <w:t xml:space="preserve"> </w:t>
      </w:r>
      <w:r>
        <w:rPr>
          <w:rFonts w:hint="default" w:ascii="Times New Roman" w:hAnsi="Times New Roman" w:eastAsia="Times New Roman" w:cs="Times New Roman"/>
          <w:b/>
          <w:bCs/>
          <w:spacing w:val="8"/>
          <w:sz w:val="12"/>
          <w:szCs w:val="12"/>
        </w:rPr>
        <w:t>(4)-(5)-(8)-</w:t>
      </w:r>
      <w:r>
        <w:rPr>
          <w:rFonts w:hint="default" w:ascii="Times New Roman" w:hAnsi="Times New Roman" w:eastAsia="Times New Roman" w:cs="Times New Roman"/>
          <w:spacing w:val="8"/>
          <w:sz w:val="12"/>
          <w:szCs w:val="12"/>
        </w:rPr>
        <w:t xml:space="preserve"> </w:t>
      </w:r>
      <w:r>
        <w:rPr>
          <w:rFonts w:hint="default" w:ascii="Times New Roman" w:hAnsi="Times New Roman" w:eastAsia="Times New Roman" w:cs="Times New Roman"/>
          <w:b/>
          <w:bCs/>
          <w:spacing w:val="8"/>
          <w:sz w:val="12"/>
          <w:szCs w:val="12"/>
        </w:rPr>
        <w:t>(11)</w:t>
      </w:r>
      <w:r>
        <w:rPr>
          <w:rFonts w:hint="default" w:ascii="Times New Roman" w:hAnsi="Times New Roman" w:eastAsia="Times New Roman" w:cs="Times New Roman"/>
          <w:spacing w:val="8"/>
          <w:sz w:val="12"/>
          <w:szCs w:val="12"/>
        </w:rPr>
        <w:t xml:space="preserve"> </w:t>
      </w:r>
      <w:r>
        <w:rPr>
          <w:rFonts w:hint="default" w:ascii="Times New Roman" w:hAnsi="Times New Roman" w:eastAsia="Times New Roman" w:cs="Times New Roman"/>
          <w:b/>
          <w:bCs/>
          <w:spacing w:val="8"/>
          <w:sz w:val="12"/>
          <w:szCs w:val="12"/>
        </w:rPr>
        <w:t>+</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 xml:space="preserve">( </w:t>
      </w:r>
      <w:r>
        <w:rPr>
          <w:rFonts w:hint="default" w:ascii="Times New Roman" w:hAnsi="Times New Roman" w:eastAsia="Times New Roman" w:cs="Times New Roman"/>
          <w:b/>
          <w:bCs/>
          <w:spacing w:val="8"/>
          <w:sz w:val="12"/>
          <w:szCs w:val="12"/>
        </w:rPr>
        <w:t>1</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 xml:space="preserve">)。  </w:t>
      </w:r>
      <w:r>
        <w:rPr>
          <w:rFonts w:hint="default" w:ascii="Times New Roman" w:hAnsi="Times New Roman" w:eastAsia="Times New Roman" w:cs="Times New Roman"/>
          <w:b/>
          <w:bCs/>
          <w:spacing w:val="8"/>
          <w:sz w:val="12"/>
          <w:szCs w:val="12"/>
        </w:rPr>
        <w:t>3</w:t>
      </w:r>
      <w:r>
        <w:rPr>
          <w:rFonts w:hint="default" w:ascii="Times New Roman" w:hAnsi="Times New Roman" w:eastAsia="微软雅黑" w:cs="Times New Roman"/>
          <w:spacing w:val="8"/>
          <w:sz w:val="12"/>
          <w:szCs w:val="12"/>
        </w:rPr>
        <w:t>、计量单位：废水排放量</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万吨</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年；废气排放量</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万标立方米</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年；工业固体废物排放量</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万吨</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年；水污染物排放浓度</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毫克</w:t>
      </w:r>
      <w:r>
        <w:rPr>
          <w:rFonts w:hint="default" w:ascii="Times New Roman" w:hAnsi="Times New Roman" w:eastAsia="Times New Roman" w:cs="Times New Roman"/>
          <w:b/>
          <w:bCs/>
          <w:spacing w:val="8"/>
          <w:sz w:val="12"/>
          <w:szCs w:val="12"/>
        </w:rPr>
        <w:t>/</w:t>
      </w:r>
      <w:r>
        <w:rPr>
          <w:rFonts w:ascii="微软雅黑" w:hAnsi="微软雅黑" w:eastAsia="微软雅黑" w:cs="微软雅黑"/>
          <w:spacing w:val="8"/>
          <w:sz w:val="12"/>
          <w:szCs w:val="12"/>
        </w:rPr>
        <w:t>升</w:t>
      </w:r>
    </w:p>
    <w:p w14:paraId="71D9A37C">
      <w:pPr>
        <w:sectPr>
          <w:pgSz w:w="16839" w:h="11907"/>
          <w:pgMar w:top="400" w:right="1846" w:bottom="400" w:left="892" w:header="0" w:footer="0" w:gutter="0"/>
          <w:pgBorders>
            <w:top w:val="none" w:sz="0" w:space="0"/>
            <w:left w:val="none" w:sz="0" w:space="0"/>
            <w:bottom w:val="none" w:sz="0" w:space="0"/>
            <w:right w:val="none" w:sz="0" w:space="0"/>
          </w:pgBorders>
          <w:pgNumType w:fmt="decimal"/>
          <w:cols w:space="720" w:num="1"/>
        </w:sectPr>
      </w:pPr>
    </w:p>
    <w:p w14:paraId="5D9A538F">
      <w:pPr>
        <w:keepNext w:val="0"/>
        <w:keepLines w:val="0"/>
        <w:pageBreakBefore w:val="0"/>
        <w:widowControl/>
        <w:kinsoku w:val="0"/>
        <w:wordWrap/>
        <w:overflowPunct/>
        <w:topLinePunct w:val="0"/>
        <w:autoSpaceDE/>
        <w:autoSpaceDN/>
        <w:bidi w:val="0"/>
        <w:adjustRightInd/>
        <w:snapToGrid/>
        <w:spacing w:line="240" w:lineRule="auto"/>
        <w:textAlignment w:val="baseline"/>
        <w:rPr>
          <w:rFonts w:hint="eastAsia" w:eastAsia="宋体"/>
          <w:lang w:eastAsia="zh-CN"/>
        </w:rPr>
      </w:pPr>
      <w:r>
        <w:drawing>
          <wp:inline distT="0" distB="0" distL="114300" distR="114300">
            <wp:extent cx="5730875" cy="8211185"/>
            <wp:effectExtent l="0" t="0" r="3175" b="18415"/>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33"/>
                    <a:srcRect t="5273"/>
                    <a:stretch>
                      <a:fillRect/>
                    </a:stretch>
                  </pic:blipFill>
                  <pic:spPr>
                    <a:xfrm>
                      <a:off x="0" y="0"/>
                      <a:ext cx="5730875" cy="8211185"/>
                    </a:xfrm>
                    <a:prstGeom prst="rect">
                      <a:avLst/>
                    </a:prstGeom>
                    <a:noFill/>
                    <a:ln>
                      <a:noFill/>
                    </a:ln>
                  </pic:spPr>
                </pic:pic>
              </a:graphicData>
            </a:graphic>
          </wp:inline>
        </w:drawing>
      </w:r>
    </w:p>
    <w:p w14:paraId="1C645982">
      <w:pPr>
        <w:keepNext w:val="0"/>
        <w:keepLines w:val="0"/>
        <w:pageBreakBefore w:val="0"/>
        <w:widowControl/>
        <w:kinsoku w:val="0"/>
        <w:wordWrap/>
        <w:overflowPunct/>
        <w:topLinePunct w:val="0"/>
        <w:autoSpaceDE w:val="0"/>
        <w:autoSpaceDN w:val="0"/>
        <w:bidi w:val="0"/>
        <w:adjustRightInd w:val="0"/>
        <w:snapToGrid w:val="0"/>
        <w:textAlignment w:val="baseline"/>
        <w:rPr>
          <w:rFonts w:hint="eastAsia" w:eastAsia="宋体"/>
          <w:lang w:eastAsia="zh-CN"/>
        </w:rPr>
      </w:pPr>
      <w:r>
        <w:drawing>
          <wp:inline distT="0" distB="0" distL="114300" distR="114300">
            <wp:extent cx="5723255" cy="8453120"/>
            <wp:effectExtent l="0" t="0" r="10795" b="5080"/>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34"/>
                    <a:stretch>
                      <a:fillRect/>
                    </a:stretch>
                  </pic:blipFill>
                  <pic:spPr>
                    <a:xfrm>
                      <a:off x="0" y="0"/>
                      <a:ext cx="5723255" cy="8453120"/>
                    </a:xfrm>
                    <a:prstGeom prst="rect">
                      <a:avLst/>
                    </a:prstGeom>
                    <a:noFill/>
                    <a:ln>
                      <a:noFill/>
                    </a:ln>
                  </pic:spPr>
                </pic:pic>
              </a:graphicData>
            </a:graphic>
          </wp:inline>
        </w:drawing>
      </w:r>
    </w:p>
    <w:p w14:paraId="11A3FA0F">
      <w:pPr>
        <w:pStyle w:val="17"/>
        <w:ind w:left="0" w:leftChars="0" w:firstLine="0" w:firstLineChars="0"/>
        <w:jc w:val="center"/>
        <w:rPr>
          <w:rFonts w:hint="eastAsia" w:eastAsia="宋体"/>
          <w:lang w:eastAsia="zh-CN"/>
        </w:rPr>
      </w:pPr>
      <w:r>
        <w:drawing>
          <wp:inline distT="0" distB="0" distL="114300" distR="114300">
            <wp:extent cx="5732145" cy="8416290"/>
            <wp:effectExtent l="0" t="0" r="1905" b="381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35"/>
                    <a:stretch>
                      <a:fillRect/>
                    </a:stretch>
                  </pic:blipFill>
                  <pic:spPr>
                    <a:xfrm>
                      <a:off x="0" y="0"/>
                      <a:ext cx="5732145" cy="8416290"/>
                    </a:xfrm>
                    <a:prstGeom prst="rect">
                      <a:avLst/>
                    </a:prstGeom>
                    <a:noFill/>
                    <a:ln>
                      <a:noFill/>
                    </a:ln>
                  </pic:spPr>
                </pic:pic>
              </a:graphicData>
            </a:graphic>
          </wp:inline>
        </w:drawing>
      </w:r>
    </w:p>
    <w:p w14:paraId="23E258A1">
      <w:pPr>
        <w:pStyle w:val="17"/>
        <w:ind w:left="0" w:leftChars="0" w:firstLine="0" w:firstLineChars="0"/>
        <w:jc w:val="center"/>
        <w:rPr>
          <w:rFonts w:hint="eastAsia" w:eastAsia="宋体"/>
          <w:lang w:eastAsia="zh-CN"/>
        </w:rPr>
      </w:pPr>
      <w:r>
        <w:drawing>
          <wp:inline distT="0" distB="0" distL="114300" distR="114300">
            <wp:extent cx="5634355" cy="8462010"/>
            <wp:effectExtent l="0" t="0" r="4445" b="1524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36"/>
                    <a:stretch>
                      <a:fillRect/>
                    </a:stretch>
                  </pic:blipFill>
                  <pic:spPr>
                    <a:xfrm>
                      <a:off x="0" y="0"/>
                      <a:ext cx="5634355" cy="8462010"/>
                    </a:xfrm>
                    <a:prstGeom prst="rect">
                      <a:avLst/>
                    </a:prstGeom>
                    <a:noFill/>
                    <a:ln>
                      <a:noFill/>
                    </a:ln>
                  </pic:spPr>
                </pic:pic>
              </a:graphicData>
            </a:graphic>
          </wp:inline>
        </w:drawing>
      </w:r>
    </w:p>
    <w:p w14:paraId="78909049">
      <w:pPr>
        <w:keepNext w:val="0"/>
        <w:keepLines w:val="0"/>
        <w:pageBreakBefore w:val="0"/>
        <w:widowControl/>
        <w:kinsoku w:val="0"/>
        <w:wordWrap/>
        <w:overflowPunct/>
        <w:topLinePunct w:val="0"/>
        <w:autoSpaceDE w:val="0"/>
        <w:autoSpaceDN w:val="0"/>
        <w:bidi w:val="0"/>
        <w:adjustRightInd w:val="0"/>
        <w:snapToGrid w:val="0"/>
        <w:textAlignment w:val="baseline"/>
      </w:pPr>
      <w:r>
        <w:drawing>
          <wp:inline distT="0" distB="0" distL="114300" distR="114300">
            <wp:extent cx="5729605" cy="8442960"/>
            <wp:effectExtent l="0" t="0" r="4445" b="1524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37"/>
                    <a:stretch>
                      <a:fillRect/>
                    </a:stretch>
                  </pic:blipFill>
                  <pic:spPr>
                    <a:xfrm>
                      <a:off x="0" y="0"/>
                      <a:ext cx="5729605" cy="8442960"/>
                    </a:xfrm>
                    <a:prstGeom prst="rect">
                      <a:avLst/>
                    </a:prstGeom>
                    <a:noFill/>
                    <a:ln>
                      <a:noFill/>
                    </a:ln>
                  </pic:spPr>
                </pic:pic>
              </a:graphicData>
            </a:graphic>
          </wp:inline>
        </w:drawing>
      </w:r>
    </w:p>
    <w:p w14:paraId="35831AAB">
      <w:pPr>
        <w:keepNext w:val="0"/>
        <w:keepLines w:val="0"/>
        <w:pageBreakBefore w:val="0"/>
        <w:widowControl/>
        <w:kinsoku w:val="0"/>
        <w:wordWrap/>
        <w:overflowPunct/>
        <w:topLinePunct w:val="0"/>
        <w:autoSpaceDE w:val="0"/>
        <w:autoSpaceDN w:val="0"/>
        <w:bidi w:val="0"/>
        <w:adjustRightInd w:val="0"/>
        <w:snapToGrid w:val="0"/>
        <w:textAlignment w:val="baseline"/>
      </w:pPr>
      <w:r>
        <w:drawing>
          <wp:inline distT="0" distB="0" distL="114300" distR="114300">
            <wp:extent cx="5666105" cy="8384540"/>
            <wp:effectExtent l="0" t="0" r="10795" b="1651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38"/>
                    <a:srcRect t="3755"/>
                    <a:stretch>
                      <a:fillRect/>
                    </a:stretch>
                  </pic:blipFill>
                  <pic:spPr>
                    <a:xfrm>
                      <a:off x="0" y="0"/>
                      <a:ext cx="5666105" cy="8384540"/>
                    </a:xfrm>
                    <a:prstGeom prst="rect">
                      <a:avLst/>
                    </a:prstGeom>
                    <a:noFill/>
                    <a:ln>
                      <a:noFill/>
                    </a:ln>
                  </pic:spPr>
                </pic:pic>
              </a:graphicData>
            </a:graphic>
          </wp:inline>
        </w:drawing>
      </w:r>
    </w:p>
    <w:p w14:paraId="2B74415F">
      <w:pPr>
        <w:sectPr>
          <w:pgSz w:w="11907" w:h="16839"/>
          <w:pgMar w:top="1803" w:right="1440" w:bottom="1633" w:left="1440" w:header="0" w:footer="0" w:gutter="0"/>
          <w:pgBorders>
            <w:top w:val="none" w:sz="0" w:space="0"/>
            <w:left w:val="none" w:sz="0" w:space="0"/>
            <w:bottom w:val="none" w:sz="0" w:space="0"/>
            <w:right w:val="none" w:sz="0" w:space="0"/>
          </w:pgBorders>
          <w:pgNumType w:fmt="decimal"/>
          <w:cols w:space="720" w:num="1"/>
        </w:sectPr>
      </w:pPr>
      <w:r>
        <w:br w:type="page"/>
      </w:r>
    </w:p>
    <w:p w14:paraId="76DDE7BF">
      <w:pPr>
        <w:pStyle w:val="20"/>
        <w:keepNext w:val="0"/>
        <w:keepLines w:val="0"/>
        <w:pageBreakBefore w:val="0"/>
        <w:widowControl/>
        <w:kinsoku w:val="0"/>
        <w:wordWrap/>
        <w:overflowPunct/>
        <w:topLinePunct w:val="0"/>
        <w:autoSpaceDE w:val="0"/>
        <w:autoSpaceDN w:val="0"/>
        <w:bidi w:val="0"/>
        <w:adjustRightInd w:val="0"/>
        <w:snapToGrid w:val="0"/>
        <w:spacing w:after="0"/>
        <w:ind w:left="0" w:leftChars="0" w:firstLine="0" w:firstLineChars="0"/>
        <w:jc w:val="center"/>
        <w:textAlignment w:val="baseline"/>
        <w:rPr>
          <w:rFonts w:hint="default" w:ascii="Times New Roman" w:hAnsi="Times New Roman" w:cs="Times New Roman"/>
          <w:color w:val="000000" w:themeColor="text1"/>
          <w:sz w:val="24"/>
          <w14:textFill>
            <w14:solidFill>
              <w14:schemeClr w14:val="tx1"/>
            </w14:solidFill>
          </w14:textFill>
        </w:rPr>
      </w:pPr>
      <w:r>
        <w:rPr>
          <w:sz w:val="32"/>
        </w:rPr>
        <mc:AlternateContent>
          <mc:Choice Requires="wps">
            <w:drawing>
              <wp:anchor distT="0" distB="0" distL="114300" distR="114300" simplePos="0" relativeHeight="251666432" behindDoc="0" locked="0" layoutInCell="1" allowOverlap="1">
                <wp:simplePos x="0" y="0"/>
                <wp:positionH relativeFrom="column">
                  <wp:posOffset>5611495</wp:posOffset>
                </wp:positionH>
                <wp:positionV relativeFrom="paragraph">
                  <wp:posOffset>2686685</wp:posOffset>
                </wp:positionV>
                <wp:extent cx="1038225" cy="330835"/>
                <wp:effectExtent l="5080" t="4445" r="537845" b="712470"/>
                <wp:wrapNone/>
                <wp:docPr id="37" name="圆角矩形标注 37"/>
                <wp:cNvGraphicFramePr/>
                <a:graphic xmlns:a="http://schemas.openxmlformats.org/drawingml/2006/main">
                  <a:graphicData uri="http://schemas.microsoft.com/office/word/2010/wordprocessingShape">
                    <wps:wsp>
                      <wps:cNvSpPr/>
                      <wps:spPr>
                        <a:xfrm>
                          <a:off x="0" y="0"/>
                          <a:ext cx="1038225" cy="330835"/>
                        </a:xfrm>
                        <a:prstGeom prst="wedgeRoundRectCallout">
                          <a:avLst>
                            <a:gd name="adj1" fmla="val 97536"/>
                            <a:gd name="adj2" fmla="val 253506"/>
                            <a:gd name="adj3" fmla="val 16667"/>
                          </a:avLst>
                        </a:prstGeom>
                        <a:noFill/>
                        <a:ln w="9525" cap="flat" cmpd="sng">
                          <a:solidFill>
                            <a:srgbClr val="000000"/>
                          </a:solidFill>
                          <a:prstDash val="solid"/>
                          <a:miter/>
                          <a:headEnd type="none" w="med" len="med"/>
                          <a:tailEnd type="none" w="med" len="med"/>
                        </a:ln>
                      </wps:spPr>
                      <wps:txbx>
                        <w:txbxContent>
                          <w:p w14:paraId="1980C8E8">
                            <w:pPr>
                              <w:rPr>
                                <w:rFonts w:hint="default" w:eastAsia="宋体"/>
                                <w:sz w:val="24"/>
                                <w:szCs w:val="24"/>
                                <w:lang w:val="en-US" w:eastAsia="zh-CN"/>
                              </w:rPr>
                            </w:pPr>
                            <w:r>
                              <w:rPr>
                                <w:rFonts w:hint="eastAsia"/>
                                <w:sz w:val="24"/>
                                <w:szCs w:val="24"/>
                                <w:lang w:val="en-US" w:eastAsia="zh-CN"/>
                              </w:rPr>
                              <w:t>项目所在地</w:t>
                            </w:r>
                          </w:p>
                        </w:txbxContent>
                      </wps:txbx>
                      <wps:bodyPr upright="1"/>
                    </wps:wsp>
                  </a:graphicData>
                </a:graphic>
              </wp:anchor>
            </w:drawing>
          </mc:Choice>
          <mc:Fallback>
            <w:pict>
              <v:shape id="_x0000_s1026" o:spid="_x0000_s1026" o:spt="62" type="#_x0000_t62" style="position:absolute;left:0pt;margin-left:441.85pt;margin-top:211.55pt;height:26.05pt;width:81.75pt;z-index:251666432;mso-width-relative:page;mso-height-relative:page;" filled="f" stroked="t" coordsize="21600,21600" o:gfxdata="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h74pjcAAAADAEAAA8A&#10;AAAAAAAAAQAgAAAAIgAAAGRycy9kb3ducmV2LnhtbFBLAQIUABQAAAAIAIdO4kAyXZArTAIAAJUE&#10;AAAOAAAAAAAAAAEAIAAAACsBAABkcnMvZTJvRG9jLnhtbFBLBQYAAAAABgAGAFkBAADpBQAAAAA=&#10;" adj="31868,65557,14400">
                <v:fill on="f" focussize="0,0"/>
                <v:stroke color="#000000" joinstyle="miter"/>
                <v:imagedata o:title=""/>
                <o:lock v:ext="edit" aspectratio="f"/>
                <v:textbox>
                  <w:txbxContent>
                    <w:p w14:paraId="1980C8E8">
                      <w:pPr>
                        <w:rPr>
                          <w:rFonts w:hint="default" w:eastAsia="宋体"/>
                          <w:sz w:val="24"/>
                          <w:szCs w:val="24"/>
                          <w:lang w:val="en-US" w:eastAsia="zh-CN"/>
                        </w:rPr>
                      </w:pPr>
                      <w:r>
                        <w:rPr>
                          <w:rFonts w:hint="eastAsia"/>
                          <w:sz w:val="24"/>
                          <w:szCs w:val="24"/>
                          <w:lang w:val="en-US" w:eastAsia="zh-CN"/>
                        </w:rPr>
                        <w:t>项目所在地</w:t>
                      </w:r>
                    </w:p>
                  </w:txbxContent>
                </v:textbox>
              </v:shape>
            </w:pict>
          </mc:Fallback>
        </mc:AlternateContent>
      </w:r>
      <w:r>
        <w:rPr>
          <w:rFonts w:hint="default" w:ascii="Times New Roman" w:hAnsi="Times New Roman" w:cs="Times New Roman"/>
          <w:color w:val="000000" w:themeColor="text1"/>
          <w:sz w:val="24"/>
          <w14:textFill>
            <w14:solidFill>
              <w14:schemeClr w14:val="tx1"/>
            </w14:solidFill>
          </w14:textFill>
        </w:rPr>
        <mc:AlternateContent>
          <mc:Choice Requires="wps">
            <w:drawing>
              <wp:anchor distT="0" distB="0" distL="114300" distR="114300" simplePos="0" relativeHeight="251669504" behindDoc="0" locked="0" layoutInCell="1" allowOverlap="1">
                <wp:simplePos x="0" y="0"/>
                <wp:positionH relativeFrom="column">
                  <wp:posOffset>7035165</wp:posOffset>
                </wp:positionH>
                <wp:positionV relativeFrom="paragraph">
                  <wp:posOffset>3573145</wp:posOffset>
                </wp:positionV>
                <wp:extent cx="190500" cy="190500"/>
                <wp:effectExtent l="12700" t="12700" r="25400" b="25400"/>
                <wp:wrapNone/>
                <wp:docPr id="1" name="五角星 1"/>
                <wp:cNvGraphicFramePr/>
                <a:graphic xmlns:a="http://schemas.openxmlformats.org/drawingml/2006/main">
                  <a:graphicData uri="http://schemas.microsoft.com/office/word/2010/wordprocessingShape">
                    <wps:wsp>
                      <wps:cNvSpPr/>
                      <wps:spPr>
                        <a:xfrm>
                          <a:off x="0" y="0"/>
                          <a:ext cx="190500" cy="190500"/>
                        </a:xfrm>
                        <a:prstGeom prst="star5">
                          <a:avLst>
                            <a:gd name="adj" fmla="val 8995"/>
                            <a:gd name="hf" fmla="val 105146"/>
                            <a:gd name="vf" fmla="val 11055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A8D52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53.95pt;margin-top:281.35pt;height:15pt;width:15pt;z-index:251669504;v-text-anchor:middle;mso-width-relative:page;mso-height-relative:page;" fillcolor="#FF0000" filled="t" stroked="t" coordsize="190500,190500" o:gfxdata="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Ah&#10;zEt+2QAAAA0BAAAPAAAAAAAAAAEAIAAAACIAAABkcnMvZG93bnJldi54bWxQSwECFAAUAAAACACH&#10;TuJAymp4PZUCAABcBQAADgAAAAAAAAABACAAAAAoAQAAZHJzL2Uyb0RvYy54bWxQSwUGAAAAAAYA&#10;BgBZAQAALwYAAAAA&#10;" path="m0,72764l84659,89979,95250,0,105840,89979,190499,72764,112385,111159,154117,190499,95250,124250,36382,190499,78114,111159xe">
                <v:path textboxrect="0,0,190500,190500" o:connectlocs="95250,0;0,72764;36382,190499;154117,190499;190499,72764" o:connectangles="247,164,82,82,0"/>
                <v:fill on="t" focussize="0,0"/>
                <v:stroke weight="2pt" color="#FF0000 [3204]" joinstyle="round"/>
                <v:imagedata o:title=""/>
                <o:lock v:ext="edit" aspectratio="f"/>
                <v:textbox>
                  <w:txbxContent>
                    <w:p w14:paraId="76A8D525">
                      <w:pPr>
                        <w:jc w:val="center"/>
                      </w:pPr>
                    </w:p>
                  </w:txbxContent>
                </v:textbox>
              </v:shape>
            </w:pict>
          </mc:Fallback>
        </mc:AlternateContent>
      </w:r>
      <w:r>
        <w:rPr>
          <w:rFonts w:hint="default" w:ascii="Times New Roman" w:hAnsi="Times New Roman" w:cs="Times New Roman"/>
          <w:color w:val="000000" w:themeColor="text1"/>
          <w:sz w:val="24"/>
          <w14:textFill>
            <w14:solidFill>
              <w14:schemeClr w14:val="tx1"/>
            </w14:solidFill>
          </w14:textFill>
        </w:rPr>
        <w:drawing>
          <wp:inline distT="0" distB="0" distL="114300" distR="114300">
            <wp:extent cx="7007860" cy="4716145"/>
            <wp:effectExtent l="0" t="0" r="2540" b="8255"/>
            <wp:docPr id="10" name="图片 10" descr="昆玉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昆玉市"/>
                    <pic:cNvPicPr>
                      <a:picLocks noChangeAspect="1"/>
                    </pic:cNvPicPr>
                  </pic:nvPicPr>
                  <pic:blipFill>
                    <a:blip r:embed="rId39"/>
                    <a:stretch>
                      <a:fillRect/>
                    </a:stretch>
                  </pic:blipFill>
                  <pic:spPr>
                    <a:xfrm>
                      <a:off x="0" y="0"/>
                      <a:ext cx="7007860" cy="4716145"/>
                    </a:xfrm>
                    <a:prstGeom prst="rect">
                      <a:avLst/>
                    </a:prstGeom>
                  </pic:spPr>
                </pic:pic>
              </a:graphicData>
            </a:graphic>
          </wp:inline>
        </w:drawing>
      </w:r>
    </w:p>
    <w:p w14:paraId="3F889C87">
      <w:pPr>
        <w:pStyle w:val="20"/>
        <w:keepNext w:val="0"/>
        <w:keepLines w:val="0"/>
        <w:pageBreakBefore w:val="0"/>
        <w:widowControl/>
        <w:kinsoku w:val="0"/>
        <w:wordWrap/>
        <w:overflowPunct/>
        <w:topLinePunct w:val="0"/>
        <w:autoSpaceDE w:val="0"/>
        <w:autoSpaceDN w:val="0"/>
        <w:bidi w:val="0"/>
        <w:adjustRightInd w:val="0"/>
        <w:snapToGrid w:val="0"/>
        <w:spacing w:after="0"/>
        <w:ind w:left="0" w:leftChars="0" w:firstLine="0" w:firstLineChars="0"/>
        <w:jc w:val="center"/>
        <w:textAlignment w:val="baseline"/>
        <w:rPr>
          <w:rFonts w:hint="default"/>
          <w:sz w:val="21"/>
          <w:lang w:val="en-US"/>
        </w:rPr>
      </w:pPr>
      <w:r>
        <w:rPr>
          <w:rFonts w:hint="default" w:ascii="Times New Roman" w:hAnsi="Times New Roman" w:cs="Times New Roman"/>
          <w:b/>
          <w:bCs/>
          <w:sz w:val="28"/>
          <w:szCs w:val="28"/>
          <w:lang w:val="en-US" w:eastAsia="zh-CN"/>
        </w:rPr>
        <w:t>附图</w:t>
      </w:r>
      <w:r>
        <w:rPr>
          <w:rFonts w:hint="eastAsia" w:ascii="Times New Roman" w:hAnsi="Times New Roman" w:cs="Times New Roman"/>
          <w:b/>
          <w:bCs/>
          <w:sz w:val="28"/>
          <w:szCs w:val="28"/>
          <w:lang w:val="en-US" w:eastAsia="zh-CN"/>
        </w:rPr>
        <w:t>1</w:t>
      </w:r>
      <w:r>
        <w:rPr>
          <w:rFonts w:hint="default" w:ascii="Times New Roman" w:hAnsi="Times New Roman" w:cs="Times New Roman"/>
          <w:b/>
          <w:bCs/>
          <w:sz w:val="28"/>
          <w:szCs w:val="28"/>
          <w:lang w:val="en-US" w:eastAsia="zh-CN"/>
        </w:rPr>
        <w:t>：</w:t>
      </w:r>
      <w:r>
        <w:rPr>
          <w:rFonts w:hint="eastAsia" w:ascii="Times New Roman" w:hAnsi="Times New Roman" w:cs="Times New Roman"/>
          <w:b/>
          <w:bCs/>
          <w:sz w:val="28"/>
          <w:szCs w:val="28"/>
          <w:lang w:val="en-US" w:eastAsia="zh-CN"/>
        </w:rPr>
        <w:t>项目区地理位置图</w:t>
      </w:r>
    </w:p>
    <w:p w14:paraId="0D6F3D84">
      <w:pPr>
        <w:pStyle w:val="10"/>
        <w:sectPr>
          <w:footerReference r:id="rId19" w:type="default"/>
          <w:pgSz w:w="16839" w:h="11907" w:orient="landscape"/>
          <w:pgMar w:top="1803" w:right="1440" w:bottom="1633" w:left="1440" w:header="0" w:footer="1882" w:gutter="0"/>
          <w:pgBorders>
            <w:top w:val="none" w:sz="0" w:space="0"/>
            <w:left w:val="none" w:sz="0" w:space="0"/>
            <w:bottom w:val="none" w:sz="0" w:space="0"/>
            <w:right w:val="none" w:sz="0" w:space="0"/>
          </w:pgBorders>
          <w:pgNumType w:fmt="decimal"/>
          <w:cols w:space="720" w:num="1"/>
        </w:sectPr>
      </w:pPr>
    </w:p>
    <w:p w14:paraId="6614F688">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sz w:val="21"/>
          <w:lang w:val="en-US"/>
        </w:rPr>
        <w:sectPr>
          <w:pgSz w:w="16839" w:h="11907" w:orient="landscape"/>
          <w:pgMar w:top="1803" w:right="1440" w:bottom="1633" w:left="1440" w:header="0" w:footer="1882" w:gutter="0"/>
          <w:pgBorders>
            <w:top w:val="none" w:sz="0" w:space="0"/>
            <w:left w:val="none" w:sz="0" w:space="0"/>
            <w:bottom w:val="none" w:sz="0" w:space="0"/>
            <w:right w:val="none" w:sz="0" w:space="0"/>
          </w:pgBorders>
          <w:pgNumType w:fmt="decimal"/>
          <w:cols w:space="720" w:num="1"/>
        </w:sectPr>
      </w:pPr>
      <w:r>
        <w:drawing>
          <wp:anchor distT="0" distB="0" distL="114300" distR="114300" simplePos="0" relativeHeight="251671552" behindDoc="0" locked="0" layoutInCell="1" allowOverlap="1">
            <wp:simplePos x="0" y="0"/>
            <wp:positionH relativeFrom="column">
              <wp:posOffset>522605</wp:posOffset>
            </wp:positionH>
            <wp:positionV relativeFrom="paragraph">
              <wp:posOffset>0</wp:posOffset>
            </wp:positionV>
            <wp:extent cx="7547610" cy="5031740"/>
            <wp:effectExtent l="0" t="0" r="15240" b="16510"/>
            <wp:wrapTopAndBottom/>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40"/>
                    <a:stretch>
                      <a:fillRect/>
                    </a:stretch>
                  </pic:blipFill>
                  <pic:spPr>
                    <a:xfrm>
                      <a:off x="0" y="0"/>
                      <a:ext cx="7547610" cy="5031740"/>
                    </a:xfrm>
                    <a:prstGeom prst="rect">
                      <a:avLst/>
                    </a:prstGeom>
                    <a:noFill/>
                    <a:ln>
                      <a:noFill/>
                    </a:ln>
                  </pic:spPr>
                </pic:pic>
              </a:graphicData>
            </a:graphic>
          </wp:anchor>
        </w:drawing>
      </w:r>
      <w:r>
        <w:rPr>
          <w:color w:val="000000" w:themeColor="text1"/>
          <w:sz w:val="24"/>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4024630</wp:posOffset>
                </wp:positionH>
                <wp:positionV relativeFrom="paragraph">
                  <wp:posOffset>-2969895</wp:posOffset>
                </wp:positionV>
                <wp:extent cx="662305" cy="290195"/>
                <wp:effectExtent l="0" t="0" r="0" b="0"/>
                <wp:wrapNone/>
                <wp:docPr id="151" name="文本框 151"/>
                <wp:cNvGraphicFramePr/>
                <a:graphic xmlns:a="http://schemas.openxmlformats.org/drawingml/2006/main">
                  <a:graphicData uri="http://schemas.microsoft.com/office/word/2010/wordprocessingShape">
                    <wps:wsp>
                      <wps:cNvSpPr txBox="1"/>
                      <wps:spPr>
                        <a:xfrm>
                          <a:off x="0" y="0"/>
                          <a:ext cx="662305" cy="2901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652142">
                            <w:pPr>
                              <w:ind w:left="0" w:leftChars="0" w:firstLine="0" w:firstLineChars="0"/>
                              <w:rPr>
                                <w:rFonts w:hint="default" w:eastAsia="宋体"/>
                                <w:b/>
                                <w:bCs/>
                                <w:color w:val="FFC000"/>
                                <w:sz w:val="21"/>
                                <w:szCs w:val="21"/>
                                <w:lang w:val="en-US" w:eastAsia="zh-CN"/>
                              </w:rPr>
                            </w:pPr>
                            <w:r>
                              <w:rPr>
                                <w:rFonts w:hint="eastAsia"/>
                                <w:b/>
                                <w:bCs/>
                                <w:color w:val="FFC000"/>
                                <w:sz w:val="21"/>
                                <w:szCs w:val="21"/>
                                <w:lang w:val="en-US" w:eastAsia="zh-CN"/>
                              </w:rPr>
                              <w:t>弃土场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6.9pt;margin-top:-233.85pt;height:22.85pt;width:52.15pt;z-index:251670528;mso-width-relative:page;mso-height-relative:page;" filled="f" stroked="f" coordsize="21600,21600" o:gfxdata="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bKX3dAAAADQEAAA8AAAAAAAAAAQAgAAAAIgAA&#10;AGRycy9kb3ducmV2LnhtbFBLAQIUABQAAAAIAIdO4kDDloU+PAIAAGkEAAAOAAAAAAAAAAEAIAAA&#10;ACwBAABkcnMvZTJvRG9jLnhtbFBLBQYAAAAABgAGAFkBAADaBQAAAAA=&#10;">
                <v:fill on="f" focussize="0,0"/>
                <v:stroke on="f" weight="0.5pt"/>
                <v:imagedata o:title=""/>
                <o:lock v:ext="edit" aspectratio="f"/>
                <v:textbox>
                  <w:txbxContent>
                    <w:p w14:paraId="03652142">
                      <w:pPr>
                        <w:ind w:left="0" w:leftChars="0" w:firstLine="0" w:firstLineChars="0"/>
                        <w:rPr>
                          <w:rFonts w:hint="default" w:eastAsia="宋体"/>
                          <w:b/>
                          <w:bCs/>
                          <w:color w:val="FFC000"/>
                          <w:sz w:val="21"/>
                          <w:szCs w:val="21"/>
                          <w:lang w:val="en-US" w:eastAsia="zh-CN"/>
                        </w:rPr>
                      </w:pPr>
                      <w:r>
                        <w:rPr>
                          <w:rFonts w:hint="eastAsia"/>
                          <w:b/>
                          <w:bCs/>
                          <w:color w:val="FFC000"/>
                          <w:sz w:val="21"/>
                          <w:szCs w:val="21"/>
                          <w:lang w:val="en-US" w:eastAsia="zh-CN"/>
                        </w:rPr>
                        <w:t>弃土场</w:t>
                      </w:r>
                    </w:p>
                  </w:txbxContent>
                </v:textbox>
              </v:shape>
            </w:pict>
          </mc:Fallback>
        </mc:AlternateContent>
      </w:r>
      <w:r>
        <w:rPr>
          <w:b/>
          <w:bCs/>
          <w:sz w:val="28"/>
          <w:szCs w:val="28"/>
        </w:rPr>
        <mc:AlternateContent>
          <mc:Choice Requires="wps">
            <w:drawing>
              <wp:anchor distT="0" distB="0" distL="114300" distR="114300" simplePos="0" relativeHeight="251665408" behindDoc="0" locked="0" layoutInCell="1" allowOverlap="1">
                <wp:simplePos x="0" y="0"/>
                <wp:positionH relativeFrom="column">
                  <wp:posOffset>1144270</wp:posOffset>
                </wp:positionH>
                <wp:positionV relativeFrom="paragraph">
                  <wp:posOffset>7506335</wp:posOffset>
                </wp:positionV>
                <wp:extent cx="2790825" cy="3810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2790825" cy="381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35BC6A">
                            <w:pPr>
                              <w:jc w:val="both"/>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附图2：</w:t>
                            </w:r>
                            <w:r>
                              <w:rPr>
                                <w:rFonts w:hint="eastAsia" w:ascii="Times New Roman" w:hAnsi="Times New Roman" w:cs="Times New Roman"/>
                                <w:b/>
                                <w:bCs/>
                                <w:sz w:val="28"/>
                                <w:szCs w:val="28"/>
                                <w:lang w:val="en-US" w:eastAsia="zh-CN"/>
                              </w:rPr>
                              <w:t>项目线路走向图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0.1pt;margin-top:591.05pt;height:30pt;width:219.75pt;z-index:251665408;mso-width-relative:page;mso-height-relative:page;" filled="f" stroked="f" coordsize="21600,21600" o:gfxdata="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IjZSydwAAAANAQAADwAAAAAAAAABACAAAAAi&#10;AAAAZHJzL2Rvd25yZXYueG1sUEsBAhQAFAAAAAgAh07iQNz5Z7A/AgAAaAQAAA4AAAAAAAAAAQAg&#10;AAAAKwEAAGRycy9lMm9Eb2MueG1sUEsFBgAAAAAGAAYAWQEAANwFAAAAAA==&#10;">
                <v:fill on="f" focussize="0,0"/>
                <v:stroke on="f" weight="0.5pt"/>
                <v:imagedata o:title=""/>
                <o:lock v:ext="edit" aspectratio="f"/>
                <v:textbox>
                  <w:txbxContent>
                    <w:p w14:paraId="2E35BC6A">
                      <w:pPr>
                        <w:jc w:val="both"/>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附图2：</w:t>
                      </w:r>
                      <w:r>
                        <w:rPr>
                          <w:rFonts w:hint="eastAsia" w:ascii="Times New Roman" w:hAnsi="Times New Roman" w:cs="Times New Roman"/>
                          <w:b/>
                          <w:bCs/>
                          <w:sz w:val="28"/>
                          <w:szCs w:val="28"/>
                          <w:lang w:val="en-US" w:eastAsia="zh-CN"/>
                        </w:rPr>
                        <w:t>项目线路走向图</w:t>
                      </w:r>
                    </w:p>
                  </w:txbxContent>
                </v:textbox>
              </v:shape>
            </w:pict>
          </mc:Fallback>
        </mc:AlternateContent>
      </w:r>
      <w:r>
        <w:rPr>
          <w:rFonts w:hint="eastAsia" w:ascii="Times New Roman" w:hAnsi="Times New Roman" w:eastAsia="宋体" w:cs="Times New Roman"/>
          <w:b/>
          <w:bCs/>
          <w:color w:val="000000" w:themeColor="text1"/>
          <w:sz w:val="28"/>
          <w:szCs w:val="28"/>
          <w:lang w:val="en-US" w:eastAsia="zh-CN"/>
          <w14:textFill>
            <w14:solidFill>
              <w14:schemeClr w14:val="tx1"/>
            </w14:solidFill>
          </w14:textFill>
        </w:rPr>
        <w:t>附图2  施工平面布置图</w:t>
      </w:r>
    </w:p>
    <w:p w14:paraId="0A61EA49">
      <w:pPr>
        <w:jc w:val="center"/>
      </w:pPr>
      <w:r>
        <w:rPr>
          <w:rFonts w:hint="default" w:ascii="Times New Roman" w:hAnsi="Times New Roman" w:cs="Times New Roman"/>
          <w:color w:val="000000" w:themeColor="text1"/>
          <w:sz w:val="24"/>
          <w14:textFill>
            <w14:solidFill>
              <w14:schemeClr w14:val="tx1"/>
            </w14:solidFill>
          </w14:textFill>
        </w:rPr>
        <w:drawing>
          <wp:anchor distT="0" distB="0" distL="114300" distR="114300" simplePos="0" relativeHeight="251672576" behindDoc="0" locked="0" layoutInCell="1" allowOverlap="1">
            <wp:simplePos x="0" y="0"/>
            <wp:positionH relativeFrom="column">
              <wp:posOffset>13970</wp:posOffset>
            </wp:positionH>
            <wp:positionV relativeFrom="paragraph">
              <wp:posOffset>40005</wp:posOffset>
            </wp:positionV>
            <wp:extent cx="8575040" cy="5269230"/>
            <wp:effectExtent l="0" t="0" r="16510" b="7620"/>
            <wp:wrapTopAndBottom/>
            <wp:docPr id="12" name="图片 12" descr="皮山中水回用初步设计图纸合并1.24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皮山中水回用初步设计图纸合并1.24_04"/>
                    <pic:cNvPicPr>
                      <a:picLocks noChangeAspect="1"/>
                    </pic:cNvPicPr>
                  </pic:nvPicPr>
                  <pic:blipFill>
                    <a:blip r:embed="rId41"/>
                    <a:stretch>
                      <a:fillRect/>
                    </a:stretch>
                  </pic:blipFill>
                  <pic:spPr>
                    <a:xfrm>
                      <a:off x="0" y="0"/>
                      <a:ext cx="8575040" cy="5269230"/>
                    </a:xfrm>
                    <a:prstGeom prst="rect">
                      <a:avLst/>
                    </a:prstGeom>
                  </pic:spPr>
                </pic:pic>
              </a:graphicData>
            </a:graphic>
          </wp:anchor>
        </w:drawing>
      </w:r>
      <w:r>
        <w:rPr>
          <w:rFonts w:hint="default" w:ascii="Times New Roman" w:hAnsi="Times New Roman" w:cs="Times New Roman"/>
          <w:b/>
          <w:bCs/>
          <w:sz w:val="28"/>
          <w:szCs w:val="28"/>
          <w:lang w:val="en-US" w:eastAsia="zh-CN"/>
        </w:rPr>
        <w:t xml:space="preserve">附图3 </w:t>
      </w:r>
      <w:r>
        <w:rPr>
          <w:rFonts w:hint="eastAsia" w:ascii="Times New Roman" w:hAnsi="Times New Roman" w:cs="Times New Roman"/>
          <w:b/>
          <w:bCs/>
          <w:sz w:val="28"/>
          <w:szCs w:val="28"/>
          <w:lang w:val="en-US" w:eastAsia="zh-CN"/>
        </w:rPr>
        <w:t xml:space="preserve"> 项目区</w:t>
      </w:r>
      <w:r>
        <w:rPr>
          <w:rFonts w:hint="default" w:ascii="Times New Roman" w:hAnsi="Times New Roman" w:cs="Times New Roman"/>
          <w:b/>
          <w:bCs/>
          <w:sz w:val="28"/>
          <w:szCs w:val="28"/>
          <w:lang w:val="en-US" w:eastAsia="zh-CN"/>
        </w:rPr>
        <w:t>平面布置图</w:t>
      </w:r>
    </w:p>
    <w:p w14:paraId="717C8215">
      <w:pPr>
        <w:pStyle w:val="20"/>
      </w:pPr>
    </w:p>
    <w:sectPr>
      <w:footerReference r:id="rId20" w:type="default"/>
      <w:pgSz w:w="16839" w:h="11907" w:orient="landscape"/>
      <w:pgMar w:top="1440" w:right="1803" w:bottom="1440" w:left="1633" w:header="0" w:footer="0" w:gutter="0"/>
      <w:pgBorders>
        <w:top w:val="none" w:sz="0" w:space="0"/>
        <w:left w:val="none" w:sz="0" w:space="0"/>
        <w:bottom w:val="none" w:sz="0" w:space="0"/>
        <w:right w:val="none" w:sz="0" w:space="0"/>
      </w:pgBorders>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02"/>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仿宋_GB2312">
    <w:altName w:val="仿宋"/>
    <w:panose1 w:val="020106090300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DB9E">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9C29F4">
    <w:pPr>
      <w:spacing w:line="182" w:lineRule="auto"/>
      <w:ind w:left="4177"/>
      <w:rPr>
        <w:rFonts w:ascii="宋体" w:hAnsi="宋体" w:eastAsia="宋体" w:cs="宋体"/>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00400B">
                          <w:pPr>
                            <w:pStyle w:val="12"/>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2000400B">
                    <w:pPr>
                      <w:pStyle w:val="12"/>
                    </w:pPr>
                    <w:r>
                      <w:fldChar w:fldCharType="begin"/>
                    </w:r>
                    <w:r>
                      <w:instrText xml:space="preserve"> PAGE  \* MERGEFORMAT </w:instrText>
                    </w:r>
                    <w:r>
                      <w:fldChar w:fldCharType="separate"/>
                    </w:r>
                    <w:r>
                      <w:t>45</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4B26A">
    <w:pPr>
      <w:spacing w:line="182" w:lineRule="auto"/>
      <w:ind w:left="4187"/>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25110A">
                          <w:pPr>
                            <w:pStyle w:val="12"/>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0MQeM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NJYZpVPz04/vp&#10;58Pp1zeCMwjUuDBD3L1DZGzf2RZtM5wHHCbebeV1+oIRgR/yHi/yijYSni5NJ9NpDheHb9gAP3u8&#10;7nyI74XVJBkF9ahfJys7bELsQ4eQlM3YtVSqq6EypAGJ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0MQeMzAgAAYwQAAA4AAAAAAAAAAQAgAAAAHwEAAGRycy9lMm9Eb2MueG1sUEsF&#10;BgAAAAAGAAYAWQEAAMQFAAAAAA==&#10;">
              <v:fill on="f" focussize="0,0"/>
              <v:stroke on="f" weight="0.5pt"/>
              <v:imagedata o:title=""/>
              <o:lock v:ext="edit" aspectratio="f"/>
              <v:textbox inset="0mm,0mm,0mm,0mm" style="mso-fit-shape-to-text:t;">
                <w:txbxContent>
                  <w:p w14:paraId="3425110A">
                    <w:pPr>
                      <w:pStyle w:val="12"/>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C8BA3E">
    <w:pPr>
      <w:spacing w:line="182" w:lineRule="auto"/>
      <w:ind w:left="4187"/>
      <w:rPr>
        <w:rFonts w:ascii="宋体" w:hAnsi="宋体" w:eastAsia="宋体" w:cs="宋体"/>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DE97E8">
                          <w:pPr>
                            <w:pStyle w:val="12"/>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haH+c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CFof5zICAABjBAAADgAAAAAAAAABACAAAAAfAQAAZHJzL2Uyb0RvYy54bWxQSwUG&#10;AAAAAAYABgBZAQAAwwUAAAAA&#10;">
              <v:fill on="f" focussize="0,0"/>
              <v:stroke on="f" weight="0.5pt"/>
              <v:imagedata o:title=""/>
              <o:lock v:ext="edit" aspectratio="f"/>
              <v:textbox inset="0mm,0mm,0mm,0mm" style="mso-fit-shape-to-text:t;">
                <w:txbxContent>
                  <w:p w14:paraId="33DE97E8">
                    <w:pPr>
                      <w:pStyle w:val="12"/>
                    </w:pPr>
                    <w:r>
                      <w:fldChar w:fldCharType="begin"/>
                    </w:r>
                    <w:r>
                      <w:instrText xml:space="preserve"> PAGE  \* MERGEFORMAT </w:instrText>
                    </w:r>
                    <w:r>
                      <w:fldChar w:fldCharType="separate"/>
                    </w:r>
                    <w:r>
                      <w:t>53</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B59731">
    <w:pPr>
      <w:spacing w:line="14" w:lineRule="auto"/>
      <w:rPr>
        <w:rFonts w:ascii="Arial"/>
        <w:sz w:val="2"/>
      </w:rPr>
    </w:pPr>
    <w:r>
      <w:rPr>
        <w:sz w:val="2"/>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DBBBCD">
                          <w:pPr>
                            <w:pStyle w:val="12"/>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G+V5wzAgAAYw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G+V5wzAgAAYwQAAA4AAAAAAAAAAQAgAAAAHwEAAGRycy9lMm9Eb2MueG1sUEsF&#10;BgAAAAAGAAYAWQEAAMQFAAAAAA==&#10;">
              <v:fill on="f" focussize="0,0"/>
              <v:stroke on="f" weight="0.5pt"/>
              <v:imagedata o:title=""/>
              <o:lock v:ext="edit" aspectratio="f"/>
              <v:textbox inset="0mm,0mm,0mm,0mm" style="mso-fit-shape-to-text:t;">
                <w:txbxContent>
                  <w:p w14:paraId="7ADBBBCD">
                    <w:pPr>
                      <w:pStyle w:val="12"/>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26C41C">
    <w:pPr>
      <w:spacing w:before="1" w:line="220" w:lineRule="auto"/>
      <w:ind w:left="4968"/>
      <w:rPr>
        <w:rFonts w:ascii="宋体" w:hAnsi="宋体" w:eastAsia="宋体" w:cs="宋体"/>
        <w:sz w:val="24"/>
        <w:szCs w:val="24"/>
      </w:rPr>
    </w:pPr>
    <w:r>
      <w:rPr>
        <w:sz w:val="24"/>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EC9F84">
                          <w:pPr>
                            <w:pStyle w:val="1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ZAnnc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ZAnnczAgAAYwQAAA4AAAAAAAAAAQAgAAAAHwEAAGRycy9lMm9Eb2MueG1sUEsF&#10;BgAAAAAGAAYAWQEAAMQFAAAAAA==&#10;">
              <v:fill on="f" focussize="0,0"/>
              <v:stroke on="f" weight="0.5pt"/>
              <v:imagedata o:title=""/>
              <o:lock v:ext="edit" aspectratio="f"/>
              <v:textbox inset="0mm,0mm,0mm,0mm" style="mso-fit-shape-to-text:t;">
                <w:txbxContent>
                  <w:p w14:paraId="30EC9F84">
                    <w:pPr>
                      <w:pStyle w:val="12"/>
                    </w:pP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41576">
    <w:pPr>
      <w:spacing w:line="14" w:lineRule="auto"/>
      <w:rPr>
        <w:rFonts w:ascii="Arial"/>
        <w:sz w:val="2"/>
      </w:rPr>
    </w:pPr>
    <w:r>
      <w:rPr>
        <w:sz w:val="2"/>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B9530A">
                          <w:pPr>
                            <w:pStyle w:val="12"/>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oCZg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ToCZgzAgAAYwQAAA4AAAAAAAAAAQAgAAAAHwEAAGRycy9lMm9Eb2MueG1sUEsF&#10;BgAAAAAGAAYAWQEAAMQFAAAAAA==&#10;">
              <v:fill on="f" focussize="0,0"/>
              <v:stroke on="f" weight="0.5pt"/>
              <v:imagedata o:title=""/>
              <o:lock v:ext="edit" aspectratio="f"/>
              <v:textbox inset="0mm,0mm,0mm,0mm" style="mso-fit-shape-to-text:t;">
                <w:txbxContent>
                  <w:p w14:paraId="15B9530A">
                    <w:pPr>
                      <w:pStyle w:val="12"/>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66D959">
    <w:pPr>
      <w:spacing w:line="184" w:lineRule="auto"/>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9F4CF0">
                          <w:pPr>
                            <w:pStyle w:val="12"/>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14:paraId="2E9F4CF0">
                    <w:pPr>
                      <w:pStyle w:val="12"/>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51AF5">
    <w:pPr>
      <w:spacing w:line="181" w:lineRule="auto"/>
      <w:ind w:left="4232"/>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E8B4CF">
                          <w:pPr>
                            <w:pStyle w:val="1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AA3M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9d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2AA3MzAgAAYwQAAA4AAAAAAAAAAQAgAAAAHwEAAGRycy9lMm9Eb2MueG1sUEsF&#10;BgAAAAAGAAYAWQEAAMQFAAAAAA==&#10;">
              <v:fill on="f" focussize="0,0"/>
              <v:stroke on="f" weight="0.5pt"/>
              <v:imagedata o:title=""/>
              <o:lock v:ext="edit" aspectratio="f"/>
              <v:textbox inset="0mm,0mm,0mm,0mm" style="mso-fit-shape-to-text:t;">
                <w:txbxContent>
                  <w:p w14:paraId="3FE8B4CF">
                    <w:pPr>
                      <w:pStyle w:val="12"/>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8E8D94">
    <w:pPr>
      <w:spacing w:line="181" w:lineRule="auto"/>
      <w:ind w:left="4233"/>
      <w:rPr>
        <w:rFonts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422F3D">
                          <w:pPr>
                            <w:pStyle w:val="12"/>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J74X8zAgAAYw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ryd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J74X8zAgAAYwQAAA4AAAAAAAAAAQAgAAAAHwEAAGRycy9lMm9Eb2MueG1sUEsF&#10;BgAAAAAGAAYAWQEAAMQFAAAAAA==&#10;">
              <v:fill on="f" focussize="0,0"/>
              <v:stroke on="f" weight="0.5pt"/>
              <v:imagedata o:title=""/>
              <o:lock v:ext="edit" aspectratio="f"/>
              <v:textbox inset="0mm,0mm,0mm,0mm" style="mso-fit-shape-to-text:t;">
                <w:txbxContent>
                  <w:p w14:paraId="49422F3D">
                    <w:pPr>
                      <w:pStyle w:val="12"/>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9A0BB6">
    <w:pPr>
      <w:spacing w:line="183" w:lineRule="auto"/>
      <w:ind w:left="4484"/>
      <w:rPr>
        <w:rFonts w:ascii="宋体" w:hAnsi="宋体" w:eastAsia="宋体" w:cs="宋体"/>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67F6A8">
                          <w:pPr>
                            <w:pStyle w:val="12"/>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14:paraId="6A67F6A8">
                    <w:pPr>
                      <w:pStyle w:val="12"/>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FA3D37">
    <w:pPr>
      <w:spacing w:line="183" w:lineRule="auto"/>
      <w:ind w:left="4484"/>
      <w:rPr>
        <w:rFonts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260BA6">
                          <w:pPr>
                            <w:pStyle w:val="12"/>
                          </w:pPr>
                          <w:r>
                            <w:fldChar w:fldCharType="begin"/>
                          </w:r>
                          <w:r>
                            <w:instrText xml:space="preserve"> PAGE  \* MERGEFORMAT </w:instrText>
                          </w:r>
                          <w:r>
                            <w:fldChar w:fldCharType="separate"/>
                          </w:r>
                          <w:r>
                            <w:t>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4ls4k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v32apwuXDwAlxo5IonusdEK7a7tme1M&#10;cQIxZ7re8JZvaiTfMh/umUMz4MEYl3CHpZQGSUxvUVIZ9/Vf5zEeNYKXkgbNlVONWaJEftCoHQDD&#10;YLjB2A2GPqhbg26dYAwtTyYuuCAHs3RGfcEMrWIOuJjmyJTTMJi3oWtwzCAXq1UKOlhX76vuAjrP&#10;srDVD5bHNFFIb1eHADGTxlGgTpVeN/ReqlI/J7G5/9ynqKd/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4ls4kzAgAAYwQAAA4AAAAAAAAAAQAgAAAAHwEAAGRycy9lMm9Eb2MueG1sUEsF&#10;BgAAAAAGAAYAWQEAAMQFAAAAAA==&#10;">
              <v:fill on="f" focussize="0,0"/>
              <v:stroke on="f" weight="0.5pt"/>
              <v:imagedata o:title=""/>
              <o:lock v:ext="edit" aspectratio="f"/>
              <v:textbox inset="0mm,0mm,0mm,0mm" style="mso-fit-shape-to-text:t;">
                <w:txbxContent>
                  <w:p w14:paraId="68260BA6">
                    <w:pPr>
                      <w:pStyle w:val="12"/>
                    </w:pPr>
                    <w:r>
                      <w:fldChar w:fldCharType="begin"/>
                    </w:r>
                    <w:r>
                      <w:instrText xml:space="preserve"> PAGE  \* MERGEFORMAT </w:instrText>
                    </w:r>
                    <w:r>
                      <w:fldChar w:fldCharType="separate"/>
                    </w:r>
                    <w:r>
                      <w:t>28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4BEFE7">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666C48">
                          <w:pPr>
                            <w:pStyle w:val="12"/>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53666C48">
                    <w:pPr>
                      <w:pStyle w:val="12"/>
                    </w:pPr>
                    <w:r>
                      <w:fldChar w:fldCharType="begin"/>
                    </w:r>
                    <w:r>
                      <w:instrText xml:space="preserve"> PAGE  \* MERGEFORMAT </w:instrText>
                    </w:r>
                    <w:r>
                      <w:fldChar w:fldCharType="separate"/>
                    </w:r>
                    <w:r>
                      <w:t>35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DD0E9D">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492A3B">
                          <w:pPr>
                            <w:pStyle w:val="12"/>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JagQ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FCWoEMQIAAGMEAAAOAAAAAAAAAAEAIAAAAB8BAABkcnMvZTJvRG9jLnhtbFBLBQYA&#10;AAAABgAGAFkBAADCBQAAAAA=&#10;">
              <v:fill on="f" focussize="0,0"/>
              <v:stroke on="f" weight="0.5pt"/>
              <v:imagedata o:title=""/>
              <o:lock v:ext="edit" aspectratio="f"/>
              <v:textbox inset="0mm,0mm,0mm,0mm" style="mso-fit-shape-to-text:t;">
                <w:txbxContent>
                  <w:p w14:paraId="6A492A3B">
                    <w:pPr>
                      <w:pStyle w:val="12"/>
                    </w:pPr>
                    <w:r>
                      <w:fldChar w:fldCharType="begin"/>
                    </w:r>
                    <w:r>
                      <w:instrText xml:space="preserve"> PAGE  \* MERGEFORMAT </w:instrText>
                    </w:r>
                    <w:r>
                      <w:fldChar w:fldCharType="separate"/>
                    </w:r>
                    <w:r>
                      <w:t>39</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9CF1">
    <w:pPr>
      <w:spacing w:line="183" w:lineRule="auto"/>
      <w:ind w:left="4187"/>
      <w:rPr>
        <w:rFonts w:ascii="宋体" w:hAnsi="宋体" w:eastAsia="宋体" w:cs="宋体"/>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66802B">
                          <w:pPr>
                            <w:pStyle w:val="12"/>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L3o+8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wpMUyj4pfv3y4/&#10;fl1+fiU4g0C1C3PE7RwiY/PWNmib4TzgMPFuSq/TF4wI/JD3fJVXNJHwdGk2nc3GcHH4hg3ws8fr&#10;zof4TlhNkpFTj/q1srLTNsQudAhJ2YzdSKXaGipDapB4/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gvej7zICAABjBAAADgAAAAAAAAABACAAAAAfAQAAZHJzL2Uyb0RvYy54bWxQSwUG&#10;AAAAAAYABgBZAQAAwwUAAAAA&#10;">
              <v:fill on="f" focussize="0,0"/>
              <v:stroke on="f" weight="0.5pt"/>
              <v:imagedata o:title=""/>
              <o:lock v:ext="edit" aspectratio="f"/>
              <v:textbox inset="0mm,0mm,0mm,0mm" style="mso-fit-shape-to-text:t;">
                <w:txbxContent>
                  <w:p w14:paraId="2366802B">
                    <w:pPr>
                      <w:pStyle w:val="12"/>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641F7">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FDA3B1"/>
    <w:multiLevelType w:val="singleLevel"/>
    <w:tmpl w:val="8AFDA3B1"/>
    <w:lvl w:ilvl="0" w:tentative="0">
      <w:start w:val="1"/>
      <w:numFmt w:val="decimal"/>
      <w:suff w:val="nothing"/>
      <w:lvlText w:val="（%1）"/>
      <w:lvlJc w:val="left"/>
    </w:lvl>
  </w:abstractNum>
  <w:abstractNum w:abstractNumId="1">
    <w:nsid w:val="DE09DB63"/>
    <w:multiLevelType w:val="singleLevel"/>
    <w:tmpl w:val="DE09DB63"/>
    <w:lvl w:ilvl="0" w:tentative="0">
      <w:start w:val="1"/>
      <w:numFmt w:val="decimal"/>
      <w:suff w:val="nothing"/>
      <w:lvlText w:val="%1、"/>
      <w:lvlJc w:val="left"/>
    </w:lvl>
  </w:abstractNum>
  <w:abstractNum w:abstractNumId="2">
    <w:nsid w:val="F5F3C60C"/>
    <w:multiLevelType w:val="singleLevel"/>
    <w:tmpl w:val="F5F3C60C"/>
    <w:lvl w:ilvl="0" w:tentative="0">
      <w:start w:val="1"/>
      <w:numFmt w:val="decimalFullWidth"/>
      <w:suff w:val="nothing"/>
      <w:lvlText w:val="（%1）"/>
      <w:lvlJc w:val="left"/>
      <w:rPr>
        <w:rFonts w:hint="eastAsia"/>
      </w:rPr>
    </w:lvl>
  </w:abstractNum>
  <w:abstractNum w:abstractNumId="3">
    <w:nsid w:val="0A36AB77"/>
    <w:multiLevelType w:val="singleLevel"/>
    <w:tmpl w:val="0A36AB77"/>
    <w:lvl w:ilvl="0" w:tentative="0">
      <w:start w:val="1"/>
      <w:numFmt w:val="bullet"/>
      <w:pStyle w:val="11"/>
      <w:lvlText w:val=""/>
      <w:lvlJc w:val="left"/>
      <w:pPr>
        <w:tabs>
          <w:tab w:val="left" w:pos="2040"/>
        </w:tabs>
        <w:ind w:left="2040" w:hanging="360"/>
      </w:pPr>
      <w:rPr>
        <w:rFonts w:hint="default" w:ascii="Wingdings" w:hAnsi="Wingdings"/>
      </w:rPr>
    </w:lvl>
  </w:abstractNum>
  <w:abstractNum w:abstractNumId="4">
    <w:nsid w:val="157F75A9"/>
    <w:multiLevelType w:val="singleLevel"/>
    <w:tmpl w:val="157F75A9"/>
    <w:lvl w:ilvl="0" w:tentative="0">
      <w:start w:val="1"/>
      <w:numFmt w:val="decimal"/>
      <w:suff w:val="nothing"/>
      <w:lvlText w:val="%1、"/>
      <w:lvlJc w:val="left"/>
      <w:rPr>
        <w:rFonts w:hint="default"/>
        <w:sz w:val="24"/>
        <w:szCs w:val="24"/>
      </w:rPr>
    </w:lvl>
  </w:abstractNum>
  <w:abstractNum w:abstractNumId="5">
    <w:nsid w:val="3BE08946"/>
    <w:multiLevelType w:val="singleLevel"/>
    <w:tmpl w:val="3BE08946"/>
    <w:lvl w:ilvl="0" w:tentative="0">
      <w:start w:val="2"/>
      <w:numFmt w:val="decimal"/>
      <w:suff w:val="nothing"/>
      <w:lvlText w:val="（%1）"/>
      <w:lvlJc w:val="left"/>
    </w:lvl>
  </w:abstractNum>
  <w:num w:numId="1">
    <w:abstractNumId w:val="3"/>
  </w:num>
  <w:num w:numId="2">
    <w:abstractNumId w:val="4"/>
  </w:num>
  <w:num w:numId="3">
    <w:abstractNumId w:val="1"/>
  </w:num>
  <w:num w:numId="4">
    <w:abstractNumId w:val="2"/>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jY1MjczNzY5NTJlMjgxYzZlZTIwNWE3NDc3YWVhMjEifQ=="/>
  </w:docVars>
  <w:rsids>
    <w:rsidRoot w:val="00000000"/>
    <w:rsid w:val="00013654"/>
    <w:rsid w:val="014D1461"/>
    <w:rsid w:val="018362EB"/>
    <w:rsid w:val="027A3CB3"/>
    <w:rsid w:val="02BC1AB4"/>
    <w:rsid w:val="02DA1F3A"/>
    <w:rsid w:val="02E132C9"/>
    <w:rsid w:val="03433F84"/>
    <w:rsid w:val="045F6B9B"/>
    <w:rsid w:val="04651CD8"/>
    <w:rsid w:val="04666198"/>
    <w:rsid w:val="04F75026"/>
    <w:rsid w:val="054D2E98"/>
    <w:rsid w:val="056B57EE"/>
    <w:rsid w:val="06253E14"/>
    <w:rsid w:val="06695AAF"/>
    <w:rsid w:val="06744454"/>
    <w:rsid w:val="06E635A4"/>
    <w:rsid w:val="0828199A"/>
    <w:rsid w:val="082C4FE6"/>
    <w:rsid w:val="08B35707"/>
    <w:rsid w:val="099C43EE"/>
    <w:rsid w:val="0A951569"/>
    <w:rsid w:val="0ABF0394"/>
    <w:rsid w:val="0AC0235E"/>
    <w:rsid w:val="0B6131F9"/>
    <w:rsid w:val="0BAF665A"/>
    <w:rsid w:val="0BFE6C9A"/>
    <w:rsid w:val="0C061FF2"/>
    <w:rsid w:val="0CEC2F96"/>
    <w:rsid w:val="0D7D62E4"/>
    <w:rsid w:val="0E794CFD"/>
    <w:rsid w:val="0FBA06A9"/>
    <w:rsid w:val="0FBC11B8"/>
    <w:rsid w:val="11CC3396"/>
    <w:rsid w:val="11D84431"/>
    <w:rsid w:val="12040D82"/>
    <w:rsid w:val="12071ECB"/>
    <w:rsid w:val="130152C1"/>
    <w:rsid w:val="139C3180"/>
    <w:rsid w:val="13F60B9E"/>
    <w:rsid w:val="14027543"/>
    <w:rsid w:val="1494463F"/>
    <w:rsid w:val="149C060B"/>
    <w:rsid w:val="14BC5944"/>
    <w:rsid w:val="15604521"/>
    <w:rsid w:val="16E41182"/>
    <w:rsid w:val="16E8367D"/>
    <w:rsid w:val="17544559"/>
    <w:rsid w:val="177B2E56"/>
    <w:rsid w:val="17E4768B"/>
    <w:rsid w:val="189D5A8C"/>
    <w:rsid w:val="19505191"/>
    <w:rsid w:val="19C45874"/>
    <w:rsid w:val="19DB061A"/>
    <w:rsid w:val="1B27789C"/>
    <w:rsid w:val="1B3E5305"/>
    <w:rsid w:val="1B416BA3"/>
    <w:rsid w:val="1B754A9E"/>
    <w:rsid w:val="1BF14125"/>
    <w:rsid w:val="1C784846"/>
    <w:rsid w:val="1CBA4E5F"/>
    <w:rsid w:val="1CDA4A54"/>
    <w:rsid w:val="1CE41EDC"/>
    <w:rsid w:val="1D682B0D"/>
    <w:rsid w:val="1DA957BD"/>
    <w:rsid w:val="1E0508CE"/>
    <w:rsid w:val="1E262080"/>
    <w:rsid w:val="1F2C36C6"/>
    <w:rsid w:val="1F8B4890"/>
    <w:rsid w:val="1FE81CE3"/>
    <w:rsid w:val="20032679"/>
    <w:rsid w:val="20983709"/>
    <w:rsid w:val="22C02AA3"/>
    <w:rsid w:val="23496F3C"/>
    <w:rsid w:val="237613B4"/>
    <w:rsid w:val="23C71C0F"/>
    <w:rsid w:val="24A02B8C"/>
    <w:rsid w:val="25203CCD"/>
    <w:rsid w:val="256736AA"/>
    <w:rsid w:val="26720558"/>
    <w:rsid w:val="27651E6B"/>
    <w:rsid w:val="27750300"/>
    <w:rsid w:val="279B763B"/>
    <w:rsid w:val="27C25038"/>
    <w:rsid w:val="285717B4"/>
    <w:rsid w:val="28812569"/>
    <w:rsid w:val="28E53263"/>
    <w:rsid w:val="290B259E"/>
    <w:rsid w:val="290C4C94"/>
    <w:rsid w:val="292D4147"/>
    <w:rsid w:val="29325D7D"/>
    <w:rsid w:val="29422464"/>
    <w:rsid w:val="29E4176D"/>
    <w:rsid w:val="29EB48A9"/>
    <w:rsid w:val="2A1D2416"/>
    <w:rsid w:val="2AFA0B1C"/>
    <w:rsid w:val="2AFB6D6E"/>
    <w:rsid w:val="2BF832AE"/>
    <w:rsid w:val="2C29790B"/>
    <w:rsid w:val="2CAB47C4"/>
    <w:rsid w:val="2CF77A09"/>
    <w:rsid w:val="2D8D5C78"/>
    <w:rsid w:val="2DCF003E"/>
    <w:rsid w:val="2DEC65E8"/>
    <w:rsid w:val="2E5D389C"/>
    <w:rsid w:val="2E7D7A9A"/>
    <w:rsid w:val="2ECB4CA9"/>
    <w:rsid w:val="2F5702EB"/>
    <w:rsid w:val="303D3985"/>
    <w:rsid w:val="306116C9"/>
    <w:rsid w:val="30FF50DE"/>
    <w:rsid w:val="312E1E63"/>
    <w:rsid w:val="31411253"/>
    <w:rsid w:val="3179279B"/>
    <w:rsid w:val="31E14CB5"/>
    <w:rsid w:val="3212231A"/>
    <w:rsid w:val="32E53E60"/>
    <w:rsid w:val="33925D96"/>
    <w:rsid w:val="33E83C08"/>
    <w:rsid w:val="342F7A89"/>
    <w:rsid w:val="34452E08"/>
    <w:rsid w:val="34B00BC9"/>
    <w:rsid w:val="34EE524E"/>
    <w:rsid w:val="350B4EB3"/>
    <w:rsid w:val="35F5085E"/>
    <w:rsid w:val="3652180C"/>
    <w:rsid w:val="365E3FD9"/>
    <w:rsid w:val="36AC4A95"/>
    <w:rsid w:val="36FB00F6"/>
    <w:rsid w:val="371D1E1A"/>
    <w:rsid w:val="371D3646"/>
    <w:rsid w:val="3757357E"/>
    <w:rsid w:val="37AC319E"/>
    <w:rsid w:val="38156F95"/>
    <w:rsid w:val="38675A43"/>
    <w:rsid w:val="389A2971"/>
    <w:rsid w:val="38CF62BE"/>
    <w:rsid w:val="39462149"/>
    <w:rsid w:val="39B36A66"/>
    <w:rsid w:val="39B5458C"/>
    <w:rsid w:val="39BA6046"/>
    <w:rsid w:val="39FF3A59"/>
    <w:rsid w:val="3A1B4DE1"/>
    <w:rsid w:val="3ABB3E24"/>
    <w:rsid w:val="3B710987"/>
    <w:rsid w:val="3C97441D"/>
    <w:rsid w:val="3D804EB1"/>
    <w:rsid w:val="3E7F160D"/>
    <w:rsid w:val="3E9B190D"/>
    <w:rsid w:val="3F024F62"/>
    <w:rsid w:val="3FBB6674"/>
    <w:rsid w:val="401D732F"/>
    <w:rsid w:val="414D154E"/>
    <w:rsid w:val="41652D3C"/>
    <w:rsid w:val="4189672F"/>
    <w:rsid w:val="41E7532D"/>
    <w:rsid w:val="42617A9D"/>
    <w:rsid w:val="427D40B5"/>
    <w:rsid w:val="42D068DB"/>
    <w:rsid w:val="43C875B2"/>
    <w:rsid w:val="43EF2D90"/>
    <w:rsid w:val="450B3BFA"/>
    <w:rsid w:val="454A2974"/>
    <w:rsid w:val="46794B93"/>
    <w:rsid w:val="469F45FA"/>
    <w:rsid w:val="46BD68C4"/>
    <w:rsid w:val="46DD5122"/>
    <w:rsid w:val="47240FA3"/>
    <w:rsid w:val="473E2065"/>
    <w:rsid w:val="479A3013"/>
    <w:rsid w:val="47BB36B5"/>
    <w:rsid w:val="47C14A44"/>
    <w:rsid w:val="47E36768"/>
    <w:rsid w:val="483957D0"/>
    <w:rsid w:val="48C102B3"/>
    <w:rsid w:val="49204E51"/>
    <w:rsid w:val="49D97E23"/>
    <w:rsid w:val="49E62540"/>
    <w:rsid w:val="4A29347E"/>
    <w:rsid w:val="4A5D0A54"/>
    <w:rsid w:val="4A7B35D0"/>
    <w:rsid w:val="4A82670C"/>
    <w:rsid w:val="4A8835F7"/>
    <w:rsid w:val="4AEC5757"/>
    <w:rsid w:val="4B1561E5"/>
    <w:rsid w:val="4B517E8D"/>
    <w:rsid w:val="4BB072A9"/>
    <w:rsid w:val="4C143394"/>
    <w:rsid w:val="4CF82CB6"/>
    <w:rsid w:val="4DDB15D7"/>
    <w:rsid w:val="4F5F2D3D"/>
    <w:rsid w:val="4F7505EE"/>
    <w:rsid w:val="4F932CA9"/>
    <w:rsid w:val="4F981E3F"/>
    <w:rsid w:val="504D6185"/>
    <w:rsid w:val="514566E6"/>
    <w:rsid w:val="51D05FAF"/>
    <w:rsid w:val="52DC2732"/>
    <w:rsid w:val="52FE6B4C"/>
    <w:rsid w:val="532D11DF"/>
    <w:rsid w:val="53807561"/>
    <w:rsid w:val="53D855EF"/>
    <w:rsid w:val="53E83891"/>
    <w:rsid w:val="54B25E40"/>
    <w:rsid w:val="557F2C85"/>
    <w:rsid w:val="561843C9"/>
    <w:rsid w:val="56513437"/>
    <w:rsid w:val="565E627F"/>
    <w:rsid w:val="56945C15"/>
    <w:rsid w:val="573E7726"/>
    <w:rsid w:val="5765363E"/>
    <w:rsid w:val="57CF2865"/>
    <w:rsid w:val="57DB3900"/>
    <w:rsid w:val="57DD31D4"/>
    <w:rsid w:val="581204AB"/>
    <w:rsid w:val="58B33F35"/>
    <w:rsid w:val="59E20F76"/>
    <w:rsid w:val="5A551748"/>
    <w:rsid w:val="5A70032F"/>
    <w:rsid w:val="5B610C41"/>
    <w:rsid w:val="5B6F05E7"/>
    <w:rsid w:val="5B7200D7"/>
    <w:rsid w:val="5CE2303B"/>
    <w:rsid w:val="5D535CE6"/>
    <w:rsid w:val="5D5E0561"/>
    <w:rsid w:val="5DC42740"/>
    <w:rsid w:val="5EA507C4"/>
    <w:rsid w:val="5EE50BC0"/>
    <w:rsid w:val="5EEA61D6"/>
    <w:rsid w:val="5F1F3750"/>
    <w:rsid w:val="603040BD"/>
    <w:rsid w:val="60B46A9C"/>
    <w:rsid w:val="612F3657"/>
    <w:rsid w:val="61B71F4D"/>
    <w:rsid w:val="61E15FB7"/>
    <w:rsid w:val="622639C9"/>
    <w:rsid w:val="62586279"/>
    <w:rsid w:val="63350368"/>
    <w:rsid w:val="65E120E1"/>
    <w:rsid w:val="65FD3A5C"/>
    <w:rsid w:val="66173D55"/>
    <w:rsid w:val="6695111E"/>
    <w:rsid w:val="66A355E9"/>
    <w:rsid w:val="66D460EA"/>
    <w:rsid w:val="67515045"/>
    <w:rsid w:val="678119FF"/>
    <w:rsid w:val="68426BE7"/>
    <w:rsid w:val="6854495A"/>
    <w:rsid w:val="68FE11FC"/>
    <w:rsid w:val="6942733B"/>
    <w:rsid w:val="69E93C5A"/>
    <w:rsid w:val="6A260A0B"/>
    <w:rsid w:val="6A5D1F52"/>
    <w:rsid w:val="6A674B7F"/>
    <w:rsid w:val="6B6F2C52"/>
    <w:rsid w:val="6B7B4D86"/>
    <w:rsid w:val="6BFF7765"/>
    <w:rsid w:val="6CAE6A95"/>
    <w:rsid w:val="6D617FAC"/>
    <w:rsid w:val="6D854E0B"/>
    <w:rsid w:val="6DB66549"/>
    <w:rsid w:val="6EA8376D"/>
    <w:rsid w:val="6EC802E2"/>
    <w:rsid w:val="6EF114DE"/>
    <w:rsid w:val="708C17E3"/>
    <w:rsid w:val="71092E34"/>
    <w:rsid w:val="71123A97"/>
    <w:rsid w:val="716F0EE9"/>
    <w:rsid w:val="71844269"/>
    <w:rsid w:val="71B52674"/>
    <w:rsid w:val="71D92806"/>
    <w:rsid w:val="71EA19E2"/>
    <w:rsid w:val="73DC65DE"/>
    <w:rsid w:val="74212243"/>
    <w:rsid w:val="74CA6436"/>
    <w:rsid w:val="74D55507"/>
    <w:rsid w:val="74F6547D"/>
    <w:rsid w:val="75DE488F"/>
    <w:rsid w:val="769B008A"/>
    <w:rsid w:val="770D6534"/>
    <w:rsid w:val="778356EE"/>
    <w:rsid w:val="77C507B0"/>
    <w:rsid w:val="785E75C1"/>
    <w:rsid w:val="78621EDA"/>
    <w:rsid w:val="78686692"/>
    <w:rsid w:val="78743289"/>
    <w:rsid w:val="78A513B1"/>
    <w:rsid w:val="78DC470F"/>
    <w:rsid w:val="7A3E58FC"/>
    <w:rsid w:val="7A543372"/>
    <w:rsid w:val="7CF90201"/>
    <w:rsid w:val="7D8E6B9B"/>
    <w:rsid w:val="7DC9372F"/>
    <w:rsid w:val="7DCE6F97"/>
    <w:rsid w:val="7DF07878"/>
    <w:rsid w:val="7E9D39F7"/>
    <w:rsid w:val="7EB82CDC"/>
    <w:rsid w:val="7EC26994"/>
    <w:rsid w:val="7F4C29F3"/>
    <w:rsid w:val="7F65392B"/>
    <w:rsid w:val="7F6A0F4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99"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3">
    <w:name w:val="heading 1"/>
    <w:basedOn w:val="1"/>
    <w:next w:val="1"/>
    <w:autoRedefine/>
    <w:qFormat/>
    <w:uiPriority w:val="0"/>
    <w:pPr>
      <w:spacing w:beforeAutospacing="0" w:afterAutospacing="0" w:line="360" w:lineRule="auto"/>
      <w:jc w:val="left"/>
      <w:outlineLvl w:val="0"/>
    </w:pPr>
    <w:rPr>
      <w:rFonts w:hint="eastAsia" w:ascii="宋体" w:hAnsi="宋体" w:eastAsia="宋体" w:cs="宋体"/>
      <w:b/>
      <w:kern w:val="44"/>
      <w:sz w:val="28"/>
      <w:szCs w:val="48"/>
      <w:lang w:bidi="ar"/>
    </w:rPr>
  </w:style>
  <w:style w:type="paragraph" w:styleId="4">
    <w:name w:val="heading 3"/>
    <w:basedOn w:val="1"/>
    <w:next w:val="1"/>
    <w:autoRedefine/>
    <w:unhideWhenUsed/>
    <w:qFormat/>
    <w:uiPriority w:val="0"/>
    <w:pPr>
      <w:keepNext/>
      <w:keepLines/>
      <w:adjustRightInd/>
      <w:spacing w:line="360" w:lineRule="auto"/>
      <w:ind w:firstLine="0" w:firstLineChars="0"/>
      <w:outlineLvl w:val="2"/>
    </w:pPr>
    <w:rPr>
      <w:rFonts w:ascii="Times New Roman" w:hAnsi="Times New Roman" w:eastAsia="宋体" w:cs="Times New Roman"/>
      <w:b/>
      <w:bCs/>
      <w:kern w:val="0"/>
      <w:sz w:val="30"/>
      <w:szCs w:val="30"/>
    </w:rPr>
  </w:style>
  <w:style w:type="paragraph" w:styleId="5">
    <w:name w:val="heading 4"/>
    <w:basedOn w:val="1"/>
    <w:next w:val="1"/>
    <w:autoRedefine/>
    <w:semiHidden/>
    <w:unhideWhenUsed/>
    <w:qFormat/>
    <w:uiPriority w:val="0"/>
    <w:pPr>
      <w:keepNext/>
      <w:keepLines/>
      <w:spacing w:line="360" w:lineRule="auto"/>
      <w:ind w:firstLine="643" w:firstLineChars="200"/>
      <w:outlineLvl w:val="3"/>
    </w:pPr>
    <w:rPr>
      <w:rFonts w:ascii="Times New Roman" w:hAnsi="Times New Roman" w:eastAsia="宋体" w:cs="Times New Roman"/>
      <w:b/>
      <w:bCs/>
      <w:sz w:val="28"/>
      <w:szCs w:val="28"/>
    </w:rPr>
  </w:style>
  <w:style w:type="character" w:default="1" w:styleId="23">
    <w:name w:val="Default Paragraph Font"/>
    <w:autoRedefine/>
    <w:semiHidden/>
    <w:qFormat/>
    <w:uiPriority w:val="0"/>
  </w:style>
  <w:style w:type="table" w:default="1" w:styleId="21">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header"/>
    <w:basedOn w:val="1"/>
    <w:next w:val="1"/>
    <w:qFormat/>
    <w:uiPriority w:val="0"/>
    <w:pPr>
      <w:pBdr>
        <w:bottom w:val="single" w:color="auto" w:sz="6" w:space="1"/>
      </w:pBdr>
      <w:tabs>
        <w:tab w:val="center" w:pos="4153"/>
        <w:tab w:val="right" w:pos="8306"/>
      </w:tabs>
      <w:snapToGrid w:val="0"/>
      <w:jc w:val="center"/>
    </w:pPr>
    <w:rPr>
      <w:sz w:val="18"/>
      <w:szCs w:val="18"/>
    </w:rPr>
  </w:style>
  <w:style w:type="paragraph" w:styleId="6">
    <w:name w:val="index 8"/>
    <w:basedOn w:val="1"/>
    <w:next w:val="1"/>
    <w:autoRedefine/>
    <w:qFormat/>
    <w:uiPriority w:val="99"/>
    <w:pPr>
      <w:ind w:left="1400" w:leftChars="1400"/>
    </w:pPr>
    <w:rPr>
      <w:szCs w:val="24"/>
    </w:rPr>
  </w:style>
  <w:style w:type="paragraph" w:styleId="7">
    <w:name w:val="Normal Indent"/>
    <w:basedOn w:val="1"/>
    <w:autoRedefine/>
    <w:qFormat/>
    <w:uiPriority w:val="0"/>
    <w:pPr>
      <w:spacing w:line="520" w:lineRule="exact"/>
      <w:ind w:firstLine="420" w:firstLineChars="200"/>
    </w:pPr>
    <w:rPr>
      <w:rFonts w:ascii="Times New Roman" w:hAnsi="Times New Roman"/>
      <w:szCs w:val="24"/>
    </w:rPr>
  </w:style>
  <w:style w:type="paragraph" w:styleId="8">
    <w:name w:val="caption"/>
    <w:basedOn w:val="1"/>
    <w:next w:val="1"/>
    <w:autoRedefine/>
    <w:qFormat/>
    <w:uiPriority w:val="0"/>
    <w:pPr>
      <w:spacing w:before="152" w:beforeLines="0" w:beforeAutospacing="0" w:after="160" w:afterLines="0" w:afterAutospacing="0"/>
    </w:pPr>
    <w:rPr>
      <w:rFonts w:ascii="Arial" w:hAnsi="Arial" w:eastAsia="黑体"/>
      <w:kern w:val="2"/>
      <w:lang w:val="en-US" w:eastAsia="zh-CN"/>
    </w:rPr>
  </w:style>
  <w:style w:type="paragraph" w:styleId="9">
    <w:name w:val="Body Text"/>
    <w:basedOn w:val="1"/>
    <w:autoRedefine/>
    <w:qFormat/>
    <w:uiPriority w:val="0"/>
    <w:pPr>
      <w:spacing w:line="500" w:lineRule="exact"/>
    </w:pPr>
    <w:rPr>
      <w:rFonts w:ascii="Times New Roman" w:hAnsi="Times New Roman"/>
      <w:sz w:val="28"/>
      <w:szCs w:val="20"/>
    </w:rPr>
  </w:style>
  <w:style w:type="paragraph" w:styleId="10">
    <w:name w:val="Body Text Indent"/>
    <w:basedOn w:val="1"/>
    <w:next w:val="5"/>
    <w:autoRedefine/>
    <w:qFormat/>
    <w:uiPriority w:val="0"/>
    <w:pPr>
      <w:spacing w:after="120"/>
      <w:ind w:left="420" w:leftChars="200"/>
    </w:pPr>
    <w:rPr>
      <w:kern w:val="0"/>
      <w:sz w:val="24"/>
      <w:szCs w:val="20"/>
    </w:rPr>
  </w:style>
  <w:style w:type="paragraph" w:styleId="11">
    <w:name w:val="List Bullet 5"/>
    <w:basedOn w:val="1"/>
    <w:autoRedefine/>
    <w:qFormat/>
    <w:uiPriority w:val="0"/>
    <w:pPr>
      <w:numPr>
        <w:ilvl w:val="0"/>
        <w:numId w:val="1"/>
      </w:numPr>
    </w:pPr>
  </w:style>
  <w:style w:type="paragraph" w:styleId="12">
    <w:name w:val="footer"/>
    <w:basedOn w:val="1"/>
    <w:qFormat/>
    <w:uiPriority w:val="0"/>
    <w:pPr>
      <w:tabs>
        <w:tab w:val="center" w:pos="4153"/>
        <w:tab w:val="right" w:pos="8306"/>
      </w:tabs>
      <w:snapToGrid w:val="0"/>
      <w:jc w:val="left"/>
    </w:pPr>
    <w:rPr>
      <w:sz w:val="18"/>
    </w:rPr>
  </w:style>
  <w:style w:type="paragraph" w:styleId="13">
    <w:name w:val="toc 1"/>
    <w:basedOn w:val="1"/>
    <w:next w:val="1"/>
    <w:autoRedefine/>
    <w:qFormat/>
    <w:uiPriority w:val="0"/>
  </w:style>
  <w:style w:type="paragraph" w:styleId="14">
    <w:name w:val="index heading"/>
    <w:basedOn w:val="1"/>
    <w:next w:val="15"/>
    <w:autoRedefine/>
    <w:qFormat/>
    <w:uiPriority w:val="0"/>
    <w:rPr>
      <w:szCs w:val="20"/>
    </w:rPr>
  </w:style>
  <w:style w:type="paragraph" w:styleId="15">
    <w:name w:val="index 1"/>
    <w:basedOn w:val="1"/>
    <w:next w:val="1"/>
    <w:autoRedefine/>
    <w:qFormat/>
    <w:uiPriority w:val="0"/>
    <w:pPr>
      <w:spacing w:line="320" w:lineRule="exact"/>
      <w:jc w:val="center"/>
    </w:pPr>
    <w:rPr>
      <w:color w:val="000000"/>
      <w:szCs w:val="21"/>
    </w:rPr>
  </w:style>
  <w:style w:type="paragraph" w:styleId="16">
    <w:name w:val="List"/>
    <w:basedOn w:val="1"/>
    <w:next w:val="1"/>
    <w:autoRedefine/>
    <w:qFormat/>
    <w:uiPriority w:val="0"/>
    <w:pPr>
      <w:ind w:left="200" w:hanging="200" w:hangingChars="200"/>
    </w:pPr>
  </w:style>
  <w:style w:type="paragraph" w:styleId="17">
    <w:name w:val="toc 2"/>
    <w:basedOn w:val="1"/>
    <w:next w:val="1"/>
    <w:autoRedefine/>
    <w:qFormat/>
    <w:uiPriority w:val="39"/>
    <w:pPr>
      <w:ind w:left="420" w:leftChars="200"/>
    </w:pPr>
  </w:style>
  <w:style w:type="paragraph" w:styleId="18">
    <w:name w:val="Normal (Web)"/>
    <w:basedOn w:val="1"/>
    <w:autoRedefine/>
    <w:qFormat/>
    <w:uiPriority w:val="0"/>
    <w:pPr>
      <w:widowControl/>
      <w:spacing w:before="100" w:beforeLines="0" w:beforeAutospacing="1" w:after="100" w:afterLines="0" w:afterAutospacing="1"/>
      <w:jc w:val="left"/>
    </w:pPr>
    <w:rPr>
      <w:rFonts w:ascii="宋体" w:hAnsi="宋体"/>
      <w:kern w:val="0"/>
      <w:sz w:val="24"/>
    </w:rPr>
  </w:style>
  <w:style w:type="paragraph" w:styleId="19">
    <w:name w:val="Body Text First Indent"/>
    <w:basedOn w:val="9"/>
    <w:next w:val="10"/>
    <w:autoRedefine/>
    <w:qFormat/>
    <w:uiPriority w:val="0"/>
    <w:pPr>
      <w:keepNext w:val="0"/>
      <w:keepLines w:val="0"/>
      <w:widowControl w:val="0"/>
      <w:suppressLineNumbers w:val="0"/>
      <w:spacing w:after="120" w:afterLines="0" w:afterAutospacing="0"/>
      <w:ind w:firstLine="420" w:firstLineChars="100"/>
      <w:jc w:val="both"/>
    </w:pPr>
    <w:rPr>
      <w:rFonts w:hint="default" w:ascii="Times New Roman" w:hAnsi="Times New Roman" w:cs="Times New Roman"/>
      <w:kern w:val="2"/>
      <w:sz w:val="21"/>
      <w:szCs w:val="21"/>
      <w:lang w:val="en-US" w:eastAsia="zh-CN" w:bidi="ar"/>
    </w:rPr>
  </w:style>
  <w:style w:type="paragraph" w:styleId="20">
    <w:name w:val="Body Text First Indent 2"/>
    <w:basedOn w:val="10"/>
    <w:next w:val="19"/>
    <w:autoRedefine/>
    <w:qFormat/>
    <w:uiPriority w:val="0"/>
    <w:pPr>
      <w:spacing w:after="120"/>
      <w:ind w:left="420" w:leftChars="200" w:firstLine="420" w:firstLineChars="200"/>
    </w:pPr>
    <w:rPr>
      <w:sz w:val="21"/>
    </w:r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
    <w:name w:val="正文(首行缩进)"/>
    <w:basedOn w:val="1"/>
    <w:next w:val="1"/>
    <w:autoRedefine/>
    <w:unhideWhenUsed/>
    <w:qFormat/>
    <w:uiPriority w:val="0"/>
    <w:pPr>
      <w:spacing w:beforeLines="0" w:afterLines="0" w:line="360" w:lineRule="auto"/>
      <w:ind w:firstLine="540" w:firstLineChars="225"/>
    </w:pPr>
    <w:rPr>
      <w:rFonts w:hint="default"/>
      <w:snapToGrid w:val="0"/>
      <w:color w:val="000000"/>
      <w:sz w:val="24"/>
    </w:rPr>
  </w:style>
  <w:style w:type="paragraph" w:customStyle="1" w:styleId="25">
    <w:name w:val="表格"/>
    <w:basedOn w:val="16"/>
    <w:next w:val="1"/>
    <w:autoRedefine/>
    <w:qFormat/>
    <w:uiPriority w:val="0"/>
    <w:pPr>
      <w:kinsoku/>
      <w:overflowPunct w:val="0"/>
      <w:topLinePunct/>
      <w:spacing w:line="240" w:lineRule="auto"/>
      <w:ind w:firstLine="0" w:firstLineChars="0"/>
      <w:jc w:val="center"/>
    </w:pPr>
    <w:rPr>
      <w:rFonts w:ascii="Times New Roman" w:hAnsi="Times New Roman" w:cs="Times New Roman"/>
      <w:szCs w:val="24"/>
      <w:lang w:eastAsia="zh-CN" w:bidi="ar"/>
    </w:rPr>
  </w:style>
  <w:style w:type="paragraph" w:customStyle="1" w:styleId="26">
    <w:name w:val="Body Text 21"/>
    <w:basedOn w:val="1"/>
    <w:autoRedefine/>
    <w:qFormat/>
    <w:uiPriority w:val="0"/>
    <w:pPr>
      <w:spacing w:after="120" w:line="480" w:lineRule="auto"/>
    </w:pPr>
  </w:style>
  <w:style w:type="paragraph" w:customStyle="1" w:styleId="27">
    <w:name w:val="表格内"/>
    <w:basedOn w:val="1"/>
    <w:autoRedefine/>
    <w:qFormat/>
    <w:uiPriority w:val="0"/>
    <w:pPr>
      <w:widowControl/>
      <w:adjustRightInd w:val="0"/>
      <w:snapToGrid w:val="0"/>
      <w:spacing w:after="200" w:line="360" w:lineRule="exact"/>
      <w:jc w:val="center"/>
    </w:pPr>
    <w:rPr>
      <w:rFonts w:eastAsia="微软雅黑"/>
      <w:snapToGrid w:val="0"/>
      <w:kern w:val="0"/>
      <w:sz w:val="22"/>
      <w:szCs w:val="21"/>
    </w:rPr>
  </w:style>
  <w:style w:type="table" w:customStyle="1" w:styleId="28">
    <w:name w:val="Table Normal"/>
    <w:autoRedefine/>
    <w:semiHidden/>
    <w:unhideWhenUsed/>
    <w:qFormat/>
    <w:uiPriority w:val="0"/>
    <w:tblPr>
      <w:tblCellMar>
        <w:top w:w="0" w:type="dxa"/>
        <w:left w:w="0" w:type="dxa"/>
        <w:bottom w:w="0" w:type="dxa"/>
        <w:right w:w="0" w:type="dxa"/>
      </w:tblCellMar>
    </w:tblPr>
  </w:style>
  <w:style w:type="paragraph" w:customStyle="1" w:styleId="29">
    <w:name w:val="表+五号"/>
    <w:basedOn w:val="1"/>
    <w:autoRedefine/>
    <w:qFormat/>
    <w:uiPriority w:val="0"/>
    <w:rPr>
      <w:szCs w:val="28"/>
    </w:rPr>
  </w:style>
  <w:style w:type="paragraph" w:customStyle="1" w:styleId="30">
    <w:name w:val="样式 宋体 四号"/>
    <w:basedOn w:val="1"/>
    <w:autoRedefine/>
    <w:qFormat/>
    <w:uiPriority w:val="0"/>
    <w:pPr>
      <w:ind w:firstLine="560"/>
    </w:pPr>
    <w:rPr>
      <w:rFonts w:ascii="宋体" w:hAnsi="宋体" w:cs="宋体"/>
      <w:sz w:val="28"/>
      <w:szCs w:val="20"/>
    </w:rPr>
  </w:style>
  <w:style w:type="paragraph" w:customStyle="1" w:styleId="31">
    <w:name w:val="报告书正文"/>
    <w:basedOn w:val="1"/>
    <w:autoRedefine/>
    <w:qFormat/>
    <w:uiPriority w:val="0"/>
    <w:pPr>
      <w:spacing w:line="300" w:lineRule="auto"/>
      <w:ind w:firstLine="200" w:firstLineChars="200"/>
    </w:pPr>
    <w:rPr>
      <w:sz w:val="24"/>
    </w:rPr>
  </w:style>
  <w:style w:type="paragraph" w:customStyle="1" w:styleId="32">
    <w:name w:val="WPSOffice手动目录 1"/>
    <w:autoRedefine/>
    <w:qFormat/>
    <w:uiPriority w:val="0"/>
    <w:pPr>
      <w:ind w:leftChars="0"/>
    </w:pPr>
    <w:rPr>
      <w:rFonts w:ascii="Times New Roman" w:hAnsi="Times New Roman" w:eastAsia="宋体" w:cs="Times New Roman"/>
      <w:sz w:val="20"/>
      <w:szCs w:val="20"/>
    </w:rPr>
  </w:style>
  <w:style w:type="paragraph" w:customStyle="1" w:styleId="33">
    <w:name w:val="Table Text"/>
    <w:basedOn w:val="1"/>
    <w:autoRedefine/>
    <w:semiHidden/>
    <w:qFormat/>
    <w:uiPriority w:val="0"/>
    <w:rPr>
      <w:rFonts w:ascii="宋体" w:hAnsi="宋体" w:eastAsia="宋体" w:cs="宋体"/>
      <w:sz w:val="21"/>
      <w:szCs w:val="21"/>
      <w:lang w:val="en-US" w:eastAsia="en-US" w:bidi="ar-SA"/>
    </w:rPr>
  </w:style>
  <w:style w:type="paragraph" w:customStyle="1" w:styleId="34">
    <w:name w:val="正文（居中）"/>
    <w:basedOn w:val="1"/>
    <w:autoRedefine/>
    <w:qFormat/>
    <w:uiPriority w:val="0"/>
    <w:pPr>
      <w:spacing w:line="240" w:lineRule="auto"/>
      <w:ind w:firstLine="0" w:firstLineChars="0"/>
      <w:jc w:val="center"/>
    </w:pPr>
    <w:rPr>
      <w:rFonts w:ascii="Times New Roman" w:hAnsi="Times New Roman"/>
    </w:rPr>
  </w:style>
  <w:style w:type="paragraph" w:customStyle="1" w:styleId="35">
    <w:name w:val="表格文字"/>
    <w:next w:val="1"/>
    <w:autoRedefine/>
    <w:qFormat/>
    <w:uiPriority w:val="0"/>
    <w:pPr>
      <w:widowControl w:val="0"/>
      <w:autoSpaceDE w:val="0"/>
      <w:autoSpaceDN w:val="0"/>
      <w:adjustRightInd w:val="0"/>
      <w:textAlignment w:val="baseline"/>
    </w:pPr>
    <w:rPr>
      <w:rFonts w:ascii="宋体" w:hAnsi="Times New Roman" w:eastAsia="宋体" w:cs="Times New Roman"/>
      <w:color w:val="000000"/>
      <w:sz w:val="24"/>
      <w:lang w:val="en-US" w:eastAsia="zh-CN" w:bidi="ar-SA"/>
    </w:rPr>
  </w:style>
  <w:style w:type="paragraph" w:customStyle="1" w:styleId="36">
    <w:name w:val="Char"/>
    <w:basedOn w:val="1"/>
    <w:autoRedefine/>
    <w:qFormat/>
    <w:uiPriority w:val="0"/>
    <w:pPr>
      <w:spacing w:line="360" w:lineRule="auto"/>
    </w:pPr>
    <w:rPr>
      <w:rFonts w:ascii="宋体"/>
      <w:sz w:val="24"/>
      <w:szCs w:val="28"/>
    </w:rPr>
  </w:style>
  <w:style w:type="paragraph" w:customStyle="1" w:styleId="37">
    <w:name w:val="Default"/>
    <w:basedOn w:val="38"/>
    <w:next w:val="20"/>
    <w:autoRedefine/>
    <w:qFormat/>
    <w:uiPriority w:val="0"/>
    <w:pPr>
      <w:keepNext w:val="0"/>
      <w:keepLines w:val="0"/>
      <w:widowControl w:val="0"/>
      <w:suppressLineNumbers w:val="0"/>
      <w:autoSpaceDE w:val="0"/>
      <w:autoSpaceDN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38">
    <w:name w:val="纯文本1"/>
    <w:basedOn w:val="1"/>
    <w:autoRedefine/>
    <w:qFormat/>
    <w:uiPriority w:val="0"/>
    <w:rPr>
      <w:rFonts w:ascii="宋体" w:hAnsi="Courier New" w:cs="Courier New"/>
      <w:szCs w:val="21"/>
    </w:rPr>
  </w:style>
  <w:style w:type="paragraph" w:customStyle="1" w:styleId="39">
    <w:name w:val="缩进"/>
    <w:basedOn w:val="1"/>
    <w:autoRedefine/>
    <w:qFormat/>
    <w:uiPriority w:val="0"/>
    <w:pPr>
      <w:spacing w:line="360" w:lineRule="auto"/>
      <w:ind w:firstLine="200" w:firstLineChars="200"/>
    </w:pPr>
    <w:rPr>
      <w:sz w:val="24"/>
      <w:szCs w:val="24"/>
    </w:rPr>
  </w:style>
  <w:style w:type="paragraph" w:customStyle="1" w:styleId="40">
    <w:name w:val="文本"/>
    <w:basedOn w:val="1"/>
    <w:autoRedefine/>
    <w:qFormat/>
    <w:uiPriority w:val="0"/>
    <w:pPr>
      <w:adjustRightInd w:val="0"/>
      <w:snapToGrid w:val="0"/>
      <w:spacing w:line="360" w:lineRule="auto"/>
      <w:ind w:firstLine="480" w:firstLineChars="200"/>
      <w:jc w:val="left"/>
    </w:pPr>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20.jpeg"/><Relationship Id="rId40" Type="http://schemas.openxmlformats.org/officeDocument/2006/relationships/image" Target="media/image19.png"/><Relationship Id="rId4" Type="http://schemas.openxmlformats.org/officeDocument/2006/relationships/endnotes" Target="endnotes.xml"/><Relationship Id="rId39" Type="http://schemas.openxmlformats.org/officeDocument/2006/relationships/image" Target="media/image18.jpeg"/><Relationship Id="rId38" Type="http://schemas.openxmlformats.org/officeDocument/2006/relationships/image" Target="media/image17.png"/><Relationship Id="rId37" Type="http://schemas.openxmlformats.org/officeDocument/2006/relationships/image" Target="media/image16.png"/><Relationship Id="rId36" Type="http://schemas.openxmlformats.org/officeDocument/2006/relationships/image" Target="media/image15.png"/><Relationship Id="rId35" Type="http://schemas.openxmlformats.org/officeDocument/2006/relationships/image" Target="media/image14.png"/><Relationship Id="rId34" Type="http://schemas.openxmlformats.org/officeDocument/2006/relationships/image" Target="media/image13.pn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footnotes" Target="footnotes.xml"/><Relationship Id="rId29" Type="http://schemas.openxmlformats.org/officeDocument/2006/relationships/image" Target="media/image8.png"/><Relationship Id="rId28" Type="http://schemas.openxmlformats.org/officeDocument/2006/relationships/image" Target="media/image7.jpeg"/><Relationship Id="rId27" Type="http://schemas.openxmlformats.org/officeDocument/2006/relationships/image" Target="media/image6.jpeg"/><Relationship Id="rId26" Type="http://schemas.openxmlformats.org/officeDocument/2006/relationships/image" Target="media/image5.jpeg"/><Relationship Id="rId25" Type="http://schemas.openxmlformats.org/officeDocument/2006/relationships/image" Target="media/image4.jpeg"/><Relationship Id="rId24" Type="http://schemas.openxmlformats.org/officeDocument/2006/relationships/image" Target="media/image3.png"/><Relationship Id="rId23" Type="http://schemas.openxmlformats.org/officeDocument/2006/relationships/image" Target="media/image2.png"/><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75</Pages>
  <Words>3337</Words>
  <Characters>3867</Characters>
  <TotalTime>5</TotalTime>
  <ScaleCrop>false</ScaleCrop>
  <LinksUpToDate>false</LinksUpToDate>
  <CharactersWithSpaces>4002</CharactersWithSpaces>
  <Application>WPS Office_12.1.0.19302_F1E327BC-269C-435d-A152-05C5408002CA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2022-01-09T20:12:00Z</dcterms:created>
  <dc:creator>Administrator</dc:creator>
  <cp:lastModifiedBy>傲骄小粉条</cp:lastModifiedBy>
  <dcterms:modified xsi:type="dcterms:W3CDTF">2024-12-21T17:05:52Z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2022-05-23T16:12:24Z</vt:filetime>
  </property>
  <property fmtid="{D5CDD505-2E9C-101B-9397-08002B2CF9AE}" pid="4" name="KSOProductBuildVer">
    <vt:lpwstr>2052-12.1.0.19302</vt:lpwstr>
  </property>
  <property fmtid="{D5CDD505-2E9C-101B-9397-08002B2CF9AE}" pid="5" name="ICV">
    <vt:lpwstr>225EC68C933644619B06B8F0FE65CA17</vt:lpwstr>
  </property>
</Properties>
</file>